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640" w:lineRule="exact"/>
        <w:jc w:val="right"/>
        <w:rPr>
          <w:rFonts w:ascii="仿宋_GB2312" w:eastAsia="仿宋_GB2312"/>
          <w:sz w:val="32"/>
          <w:szCs w:val="32"/>
        </w:rPr>
      </w:pPr>
      <w:bookmarkStart w:id="0" w:name="_GoBack"/>
      <w:bookmarkEnd w:id="0"/>
      <w:r>
        <w:rPr>
          <w:rFonts w:ascii="方正小标宋简体" w:hAnsi="华文中宋" w:eastAsia="方正小标宋简体"/>
          <w:bCs/>
          <w:color w:val="000000"/>
          <w:sz w:val="44"/>
          <w:szCs w:val="44"/>
        </w:rPr>
        <w:t xml:space="preserve"> </w:t>
      </w:r>
    </w:p>
    <w:p>
      <w:pPr>
        <w:spacing w:line="348" w:lineRule="auto"/>
        <w:jc w:val="center"/>
        <w:rPr>
          <w:rFonts w:eastAsia="方正小标宋简体"/>
          <w:bCs/>
          <w:sz w:val="42"/>
          <w:szCs w:val="42"/>
        </w:rPr>
      </w:pPr>
    </w:p>
    <w:p>
      <w:pPr>
        <w:spacing w:line="800" w:lineRule="exact"/>
        <w:jc w:val="center"/>
        <w:rPr>
          <w:rFonts w:eastAsia="方正小标宋简体"/>
          <w:bCs/>
          <w:sz w:val="46"/>
          <w:szCs w:val="46"/>
        </w:rPr>
      </w:pPr>
      <w:r>
        <w:rPr>
          <w:rFonts w:hint="eastAsia" w:eastAsia="方正小标宋简体"/>
          <w:bCs/>
          <w:sz w:val="46"/>
          <w:szCs w:val="46"/>
        </w:rPr>
        <w:t>岳阳县</w:t>
      </w:r>
      <w:r>
        <w:rPr>
          <w:rFonts w:eastAsia="方正小标宋简体"/>
          <w:bCs/>
          <w:sz w:val="46"/>
          <w:szCs w:val="46"/>
        </w:rPr>
        <w:t>20</w:t>
      </w:r>
      <w:r>
        <w:rPr>
          <w:rFonts w:eastAsia="方正小标宋简体"/>
          <w:bCs/>
          <w:sz w:val="46"/>
          <w:szCs w:val="46"/>
          <w:u w:val="single"/>
        </w:rPr>
        <w:t>20</w:t>
      </w:r>
      <w:r>
        <w:rPr>
          <w:rFonts w:hint="eastAsia" w:eastAsia="方正小标宋简体"/>
          <w:bCs/>
          <w:sz w:val="46"/>
          <w:szCs w:val="46"/>
        </w:rPr>
        <w:t>年度部门整体支出</w:t>
      </w:r>
    </w:p>
    <w:p>
      <w:pPr>
        <w:spacing w:line="800" w:lineRule="exact"/>
        <w:jc w:val="center"/>
        <w:rPr>
          <w:rFonts w:eastAsia="方正小标宋简体"/>
          <w:bCs/>
          <w:sz w:val="46"/>
          <w:szCs w:val="46"/>
        </w:rPr>
      </w:pPr>
      <w:r>
        <w:rPr>
          <w:rFonts w:hint="eastAsia" w:eastAsia="方正小标宋简体"/>
          <w:bCs/>
          <w:sz w:val="46"/>
          <w:szCs w:val="46"/>
        </w:rPr>
        <w:t>绩效评价自评报告</w:t>
      </w:r>
    </w:p>
    <w:p>
      <w:pPr>
        <w:rPr>
          <w:rFonts w:eastAsia="仿宋_GB2312"/>
          <w:b/>
          <w:sz w:val="32"/>
        </w:rPr>
      </w:pPr>
    </w:p>
    <w:p>
      <w:pPr>
        <w:rPr>
          <w:rFonts w:eastAsia="仿宋_GB2312"/>
          <w:b/>
          <w:sz w:val="32"/>
        </w:rPr>
      </w:pPr>
    </w:p>
    <w:p>
      <w:pPr>
        <w:rPr>
          <w:rFonts w:eastAsia="仿宋_GB2312"/>
          <w:b/>
          <w:sz w:val="32"/>
        </w:rPr>
      </w:pPr>
    </w:p>
    <w:p>
      <w:pPr>
        <w:spacing w:beforeLines="50" w:line="348" w:lineRule="auto"/>
        <w:ind w:firstLine="476" w:firstLineChars="150"/>
        <w:rPr>
          <w:rFonts w:eastAsia="仿宋_GB2312"/>
          <w:sz w:val="32"/>
          <w:szCs w:val="32"/>
          <w:u w:val="single"/>
        </w:rPr>
      </w:pPr>
      <w:r>
        <w:rPr>
          <w:rFonts w:hint="eastAsia" w:eastAsia="仿宋_GB2312"/>
          <w:sz w:val="32"/>
          <w:szCs w:val="32"/>
        </w:rPr>
        <w:t>部门</w:t>
      </w:r>
      <w:r>
        <w:rPr>
          <w:rFonts w:eastAsia="仿宋_GB2312"/>
          <w:sz w:val="32"/>
          <w:szCs w:val="32"/>
        </w:rPr>
        <w:t>(</w:t>
      </w:r>
      <w:r>
        <w:rPr>
          <w:rFonts w:hint="eastAsia" w:eastAsia="仿宋_GB2312"/>
          <w:sz w:val="32"/>
          <w:szCs w:val="32"/>
        </w:rPr>
        <w:t>单位</w:t>
      </w:r>
      <w:r>
        <w:rPr>
          <w:rFonts w:eastAsia="仿宋_GB2312"/>
          <w:sz w:val="32"/>
          <w:szCs w:val="32"/>
        </w:rPr>
        <w:t>)</w:t>
      </w:r>
      <w:r>
        <w:rPr>
          <w:rFonts w:hint="eastAsia" w:eastAsia="仿宋_GB2312"/>
          <w:sz w:val="32"/>
          <w:szCs w:val="32"/>
        </w:rPr>
        <w:t>名称：</w:t>
      </w:r>
      <w:r>
        <w:rPr>
          <w:rFonts w:eastAsia="仿宋_GB2312"/>
          <w:sz w:val="32"/>
          <w:szCs w:val="32"/>
          <w:u w:val="single"/>
        </w:rPr>
        <w:t xml:space="preserve">             </w:t>
      </w:r>
      <w:r>
        <w:rPr>
          <w:rFonts w:hint="eastAsia" w:eastAsia="仿宋_GB2312"/>
          <w:sz w:val="32"/>
          <w:u w:val="single"/>
        </w:rPr>
        <w:t>岳阳县人大办</w:t>
      </w:r>
      <w:r>
        <w:rPr>
          <w:rFonts w:eastAsia="仿宋_GB2312"/>
          <w:sz w:val="32"/>
          <w:szCs w:val="32"/>
          <w:u w:val="single"/>
        </w:rPr>
        <w:t xml:space="preserve">                     </w:t>
      </w:r>
    </w:p>
    <w:p>
      <w:pPr>
        <w:spacing w:beforeLines="50" w:line="348" w:lineRule="auto"/>
        <w:ind w:firstLine="476" w:firstLineChars="150"/>
        <w:rPr>
          <w:rFonts w:eastAsia="仿宋_GB2312"/>
          <w:spacing w:val="20"/>
          <w:sz w:val="32"/>
          <w:szCs w:val="32"/>
        </w:rPr>
      </w:pPr>
      <w:r>
        <w:rPr>
          <w:rFonts w:hint="eastAsia" w:eastAsia="仿宋_GB2312"/>
          <w:sz w:val="32"/>
          <w:szCs w:val="32"/>
        </w:rPr>
        <w:t>预</w:t>
      </w:r>
      <w:r>
        <w:rPr>
          <w:rFonts w:eastAsia="仿宋_GB2312"/>
          <w:spacing w:val="30"/>
          <w:sz w:val="32"/>
          <w:szCs w:val="32"/>
        </w:rPr>
        <w:t xml:space="preserve"> </w:t>
      </w:r>
      <w:r>
        <w:rPr>
          <w:rFonts w:hint="eastAsia" w:eastAsia="仿宋_GB2312"/>
          <w:spacing w:val="30"/>
          <w:sz w:val="32"/>
          <w:szCs w:val="32"/>
        </w:rPr>
        <w:t>算</w:t>
      </w:r>
      <w:r>
        <w:rPr>
          <w:rFonts w:eastAsia="仿宋_GB2312"/>
          <w:spacing w:val="30"/>
          <w:sz w:val="32"/>
          <w:szCs w:val="32"/>
        </w:rPr>
        <w:t xml:space="preserve"> </w:t>
      </w:r>
      <w:r>
        <w:rPr>
          <w:rFonts w:hint="eastAsia" w:eastAsia="仿宋_GB2312"/>
          <w:spacing w:val="30"/>
          <w:sz w:val="32"/>
          <w:szCs w:val="32"/>
        </w:rPr>
        <w:t>编</w:t>
      </w:r>
      <w:r>
        <w:rPr>
          <w:rFonts w:eastAsia="仿宋_GB2312"/>
          <w:spacing w:val="30"/>
          <w:sz w:val="32"/>
          <w:szCs w:val="32"/>
        </w:rPr>
        <w:t xml:space="preserve"> </w:t>
      </w:r>
      <w:r>
        <w:rPr>
          <w:rFonts w:hint="eastAsia" w:eastAsia="仿宋_GB2312"/>
          <w:spacing w:val="30"/>
          <w:sz w:val="32"/>
          <w:szCs w:val="32"/>
        </w:rPr>
        <w:t>码：</w:t>
      </w:r>
      <w:r>
        <w:rPr>
          <w:rFonts w:eastAsia="仿宋_GB2312"/>
          <w:spacing w:val="20"/>
          <w:sz w:val="32"/>
          <w:szCs w:val="32"/>
          <w:u w:val="single"/>
        </w:rPr>
        <w:t xml:space="preserve">           </w:t>
      </w:r>
      <w:r>
        <w:rPr>
          <w:rFonts w:eastAsia="仿宋_GB2312"/>
          <w:sz w:val="32"/>
          <w:u w:val="single"/>
        </w:rPr>
        <w:t>YYX003</w:t>
      </w:r>
      <w:r>
        <w:rPr>
          <w:rFonts w:eastAsia="仿宋_GB2312"/>
          <w:spacing w:val="20"/>
          <w:sz w:val="32"/>
          <w:szCs w:val="32"/>
          <w:u w:val="single"/>
        </w:rPr>
        <w:t xml:space="preserve">                 </w:t>
      </w:r>
    </w:p>
    <w:p>
      <w:pPr>
        <w:spacing w:beforeLines="50" w:line="348" w:lineRule="auto"/>
        <w:ind w:firstLine="476" w:firstLineChars="150"/>
        <w:rPr>
          <w:rFonts w:eastAsia="仿宋_GB2312"/>
          <w:sz w:val="32"/>
          <w:szCs w:val="32"/>
        </w:rPr>
      </w:pPr>
      <w:r>
        <w:rPr>
          <w:rFonts w:hint="eastAsia" w:eastAsia="仿宋_GB2312"/>
          <w:sz w:val="32"/>
          <w:szCs w:val="32"/>
        </w:rPr>
        <w:t>评价方式：部门（单位）绩效自评</w:t>
      </w:r>
    </w:p>
    <w:p>
      <w:pPr>
        <w:spacing w:beforeLines="50" w:line="348" w:lineRule="auto"/>
        <w:ind w:firstLine="476" w:firstLineChars="150"/>
        <w:rPr>
          <w:rFonts w:eastAsia="仿宋_GB2312"/>
          <w:sz w:val="32"/>
          <w:szCs w:val="32"/>
        </w:rPr>
      </w:pPr>
      <w:r>
        <w:rPr>
          <w:rFonts w:hint="eastAsia" w:eastAsia="仿宋_GB2312"/>
          <w:sz w:val="32"/>
          <w:szCs w:val="32"/>
        </w:rPr>
        <w:t>评价机构：部门（单位）评价组</w:t>
      </w:r>
      <w:r>
        <w:rPr>
          <w:rFonts w:eastAsia="仿宋_GB2312"/>
          <w:sz w:val="32"/>
          <w:szCs w:val="32"/>
        </w:rPr>
        <w:t xml:space="preserve">   </w:t>
      </w:r>
    </w:p>
    <w:p>
      <w:pPr>
        <w:spacing w:line="720" w:lineRule="exact"/>
        <w:ind w:firstLine="2188" w:firstLineChars="690"/>
        <w:rPr>
          <w:rFonts w:eastAsia="仿宋_GB2312"/>
          <w:sz w:val="32"/>
        </w:rPr>
      </w:pPr>
    </w:p>
    <w:p>
      <w:pPr>
        <w:spacing w:line="720" w:lineRule="exact"/>
        <w:ind w:firstLine="2188" w:firstLineChars="690"/>
        <w:rPr>
          <w:rFonts w:eastAsia="仿宋_GB2312"/>
          <w:sz w:val="32"/>
        </w:rPr>
      </w:pPr>
    </w:p>
    <w:p>
      <w:pPr>
        <w:spacing w:line="720" w:lineRule="exact"/>
        <w:ind w:firstLine="2188" w:firstLineChars="690"/>
        <w:rPr>
          <w:rFonts w:eastAsia="仿宋_GB2312"/>
          <w:sz w:val="32"/>
        </w:rPr>
      </w:pPr>
    </w:p>
    <w:p>
      <w:pPr>
        <w:spacing w:line="348" w:lineRule="auto"/>
        <w:jc w:val="center"/>
        <w:rPr>
          <w:rFonts w:eastAsia="仿宋_GB2312"/>
          <w:sz w:val="32"/>
        </w:rPr>
      </w:pPr>
      <w:r>
        <w:rPr>
          <w:rFonts w:hint="eastAsia" w:eastAsia="仿宋_GB2312"/>
          <w:sz w:val="32"/>
        </w:rPr>
        <w:t>报告日期：</w:t>
      </w:r>
      <w:r>
        <w:rPr>
          <w:rFonts w:eastAsia="仿宋_GB2312"/>
          <w:sz w:val="32"/>
        </w:rPr>
        <w:t>2021</w:t>
      </w:r>
      <w:r>
        <w:rPr>
          <w:rFonts w:hint="eastAsia" w:eastAsia="仿宋_GB2312"/>
          <w:sz w:val="32"/>
        </w:rPr>
        <w:t>年</w:t>
      </w:r>
      <w:r>
        <w:rPr>
          <w:rFonts w:eastAsia="仿宋_GB2312"/>
          <w:sz w:val="32"/>
        </w:rPr>
        <w:t>07</w:t>
      </w:r>
      <w:r>
        <w:rPr>
          <w:rFonts w:hint="eastAsia" w:eastAsia="仿宋_GB2312"/>
          <w:sz w:val="32"/>
        </w:rPr>
        <w:t>月</w:t>
      </w:r>
      <w:r>
        <w:rPr>
          <w:rFonts w:eastAsia="仿宋_GB2312"/>
          <w:sz w:val="32"/>
        </w:rPr>
        <w:t>12</w:t>
      </w:r>
      <w:r>
        <w:rPr>
          <w:rFonts w:hint="eastAsia" w:eastAsia="仿宋_GB2312"/>
          <w:sz w:val="32"/>
        </w:rPr>
        <w:t>日</w:t>
      </w:r>
    </w:p>
    <w:p>
      <w:pPr>
        <w:autoSpaceDN w:val="0"/>
        <w:jc w:val="center"/>
        <w:textAlignment w:val="center"/>
        <w:rPr>
          <w:rFonts w:eastAsia="仿宋_GB2312"/>
          <w:sz w:val="32"/>
          <w:szCs w:val="32"/>
        </w:rPr>
      </w:pPr>
      <w:r>
        <w:rPr>
          <w:rFonts w:hint="eastAsia" w:eastAsia="仿宋_GB2312"/>
          <w:sz w:val="32"/>
        </w:rPr>
        <w:t>岳阳县财政</w:t>
      </w:r>
      <w:r>
        <w:rPr>
          <w:rFonts w:hint="eastAsia" w:eastAsia="仿宋_GB2312"/>
          <w:sz w:val="32"/>
          <w:szCs w:val="32"/>
        </w:rPr>
        <w:t>局（制）</w:t>
      </w:r>
    </w:p>
    <w:p>
      <w:pPr>
        <w:widowControl/>
        <w:jc w:val="left"/>
        <w:rPr>
          <w:rFonts w:eastAsia="仿宋_GB2312"/>
          <w:sz w:val="32"/>
          <w:szCs w:val="32"/>
        </w:rPr>
        <w:sectPr>
          <w:pgSz w:w="11906" w:h="16838"/>
          <w:pgMar w:top="1588" w:right="1588" w:bottom="1588" w:left="1588" w:header="851" w:footer="992" w:gutter="0"/>
          <w:pgNumType w:start="1"/>
          <w:cols w:space="720" w:num="1"/>
          <w:docGrid w:type="linesAndChars" w:linePitch="602" w:charSpace="-782"/>
        </w:sectPr>
      </w:pPr>
    </w:p>
    <w:tbl>
      <w:tblPr>
        <w:tblStyle w:val="6"/>
        <w:tblW w:w="980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41"/>
        <w:gridCol w:w="213"/>
        <w:gridCol w:w="46"/>
        <w:gridCol w:w="1080"/>
        <w:gridCol w:w="210"/>
        <w:gridCol w:w="1145"/>
        <w:gridCol w:w="272"/>
        <w:gridCol w:w="808"/>
        <w:gridCol w:w="1479"/>
        <w:gridCol w:w="226"/>
        <w:gridCol w:w="196"/>
        <w:gridCol w:w="259"/>
        <w:gridCol w:w="1080"/>
        <w:gridCol w:w="265"/>
        <w:gridCol w:w="139"/>
        <w:gridCol w:w="316"/>
        <w:gridCol w:w="6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800" w:type="dxa"/>
            <w:gridSpan w:val="17"/>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一、部门（单位）基本概况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654"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联系人</w:t>
            </w:r>
          </w:p>
        </w:tc>
        <w:tc>
          <w:tcPr>
            <w:tcW w:w="3561" w:type="dxa"/>
            <w:gridSpan w:val="6"/>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王敏</w:t>
            </w:r>
          </w:p>
        </w:tc>
        <w:tc>
          <w:tcPr>
            <w:tcW w:w="1479" w:type="dxa"/>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联络电话</w:t>
            </w:r>
          </w:p>
        </w:tc>
        <w:tc>
          <w:tcPr>
            <w:tcW w:w="3106" w:type="dxa"/>
            <w:gridSpan w:val="8"/>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13607403439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654"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人员编制</w:t>
            </w:r>
          </w:p>
        </w:tc>
        <w:tc>
          <w:tcPr>
            <w:tcW w:w="3561" w:type="dxa"/>
            <w:gridSpan w:val="6"/>
            <w:tcMar>
              <w:top w:w="0" w:type="dxa"/>
              <w:left w:w="15" w:type="dxa"/>
              <w:bottom w:w="0" w:type="dxa"/>
              <w:right w:w="15" w:type="dxa"/>
            </w:tcMar>
            <w:vAlign w:val="center"/>
          </w:tcPr>
          <w:p>
            <w:pPr>
              <w:autoSpaceDN w:val="0"/>
              <w:spacing w:line="40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41</w:t>
            </w:r>
          </w:p>
        </w:tc>
        <w:tc>
          <w:tcPr>
            <w:tcW w:w="1479" w:type="dxa"/>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实有人数</w:t>
            </w:r>
          </w:p>
        </w:tc>
        <w:tc>
          <w:tcPr>
            <w:tcW w:w="3106" w:type="dxa"/>
            <w:gridSpan w:val="8"/>
            <w:tcMar>
              <w:top w:w="0" w:type="dxa"/>
              <w:left w:w="15" w:type="dxa"/>
              <w:bottom w:w="0" w:type="dxa"/>
              <w:right w:w="15" w:type="dxa"/>
            </w:tcMar>
            <w:vAlign w:val="center"/>
          </w:tcPr>
          <w:p>
            <w:pPr>
              <w:autoSpaceDN w:val="0"/>
              <w:spacing w:line="40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41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56" w:hRule="atLeast"/>
          <w:jc w:val="center"/>
        </w:trPr>
        <w:tc>
          <w:tcPr>
            <w:tcW w:w="1654"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职能职责概述</w:t>
            </w:r>
          </w:p>
        </w:tc>
        <w:tc>
          <w:tcPr>
            <w:tcW w:w="8146" w:type="dxa"/>
            <w:gridSpan w:val="15"/>
            <w:tcMar>
              <w:top w:w="0" w:type="dxa"/>
              <w:left w:w="15" w:type="dxa"/>
              <w:bottom w:w="0" w:type="dxa"/>
              <w:right w:w="15" w:type="dxa"/>
            </w:tcMar>
            <w:vAlign w:val="center"/>
          </w:tcPr>
          <w:p>
            <w:pPr>
              <w:spacing w:afterLines="50" w:line="600" w:lineRule="exact"/>
              <w:ind w:firstLine="645"/>
              <w:rPr>
                <w:rFonts w:ascii="仿宋_GB2312" w:eastAsia="仿宋_GB2312"/>
                <w:sz w:val="24"/>
              </w:rPr>
            </w:pPr>
            <w:r>
              <w:rPr>
                <w:rFonts w:hint="eastAsia" w:ascii="仿宋_GB2312" w:eastAsia="仿宋_GB2312"/>
                <w:sz w:val="24"/>
              </w:rPr>
              <w:t>县级人大常委会共有十四项职权，概括为四大类。一是监督权，监督同级人民政府、人民法院和人民检察院的工作。二是执法检查权，在本行政区域内，保证宪法、法律、行政法规和上级人民代表大会及其常务委员会决议的遵守和执行。三是重大事项决定权，讨论决定本行政区域内政治、经济、教育、科技、文化、卫生、环境和资源保护、民政、民族等工作的重大事项。四是人事任免权。</w:t>
            </w:r>
          </w:p>
          <w:p>
            <w:pPr>
              <w:autoSpaceDN w:val="0"/>
              <w:spacing w:line="40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64" w:hRule="atLeast"/>
          <w:jc w:val="center"/>
        </w:trPr>
        <w:tc>
          <w:tcPr>
            <w:tcW w:w="1654"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年度主要</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工作内容</w:t>
            </w:r>
          </w:p>
        </w:tc>
        <w:tc>
          <w:tcPr>
            <w:tcW w:w="8146" w:type="dxa"/>
            <w:gridSpan w:val="15"/>
            <w:tcMar>
              <w:top w:w="0" w:type="dxa"/>
              <w:left w:w="15" w:type="dxa"/>
              <w:bottom w:w="0" w:type="dxa"/>
              <w:right w:w="15" w:type="dxa"/>
            </w:tcMar>
            <w:vAlign w:val="center"/>
          </w:tcPr>
          <w:p>
            <w:pPr>
              <w:autoSpaceDN w:val="0"/>
              <w:spacing w:line="40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任务</w:t>
            </w:r>
            <w:r>
              <w:rPr>
                <w:rFonts w:ascii="仿宋_GB2312" w:hAnsi="仿宋_GB2312" w:eastAsia="仿宋_GB2312" w:cs="仿宋_GB2312"/>
                <w:color w:val="000000"/>
                <w:sz w:val="24"/>
              </w:rPr>
              <w:t>1</w:t>
            </w:r>
            <w:r>
              <w:rPr>
                <w:rFonts w:hint="eastAsia" w:ascii="仿宋_GB2312" w:hAnsi="仿宋_GB2312" w:eastAsia="仿宋_GB2312" w:cs="仿宋_GB2312"/>
                <w:color w:val="000000"/>
                <w:sz w:val="24"/>
              </w:rPr>
              <w:t>：突出抓好对计划和预算的监督</w:t>
            </w:r>
          </w:p>
          <w:p>
            <w:pPr>
              <w:autoSpaceDN w:val="0"/>
              <w:spacing w:line="40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任务</w:t>
            </w:r>
            <w:r>
              <w:rPr>
                <w:rFonts w:ascii="仿宋_GB2312" w:hAnsi="仿宋_GB2312" w:eastAsia="仿宋_GB2312" w:cs="仿宋_GB2312"/>
                <w:color w:val="000000"/>
                <w:sz w:val="24"/>
              </w:rPr>
              <w:t>2</w:t>
            </w:r>
            <w:r>
              <w:rPr>
                <w:rFonts w:hint="eastAsia" w:ascii="仿宋_GB2312" w:hAnsi="仿宋_GB2312" w:eastAsia="仿宋_GB2312" w:cs="仿宋_GB2312"/>
                <w:color w:val="000000"/>
                <w:sz w:val="24"/>
              </w:rPr>
              <w:t>：加强对依法治县，对民生领域，对各项工作的监督</w:t>
            </w:r>
          </w:p>
          <w:p>
            <w:pPr>
              <w:autoSpaceDN w:val="0"/>
              <w:spacing w:line="40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任务</w:t>
            </w:r>
            <w:r>
              <w:rPr>
                <w:rFonts w:ascii="仿宋_GB2312" w:hAnsi="仿宋_GB2312" w:eastAsia="仿宋_GB2312" w:cs="仿宋_GB2312"/>
                <w:color w:val="000000"/>
                <w:sz w:val="24"/>
              </w:rPr>
              <w:t>3</w:t>
            </w:r>
            <w:r>
              <w:rPr>
                <w:rFonts w:hint="eastAsia" w:ascii="仿宋_GB2312" w:hAnsi="仿宋_GB2312" w:eastAsia="仿宋_GB2312" w:cs="仿宋_GB2312"/>
                <w:color w:val="000000"/>
                <w:sz w:val="24"/>
              </w:rPr>
              <w:t>：依法决定和监督重大事项</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任务</w:t>
            </w:r>
            <w:r>
              <w:rPr>
                <w:rFonts w:ascii="仿宋_GB2312" w:hAnsi="仿宋_GB2312" w:eastAsia="仿宋_GB2312" w:cs="仿宋_GB2312"/>
                <w:color w:val="000000"/>
                <w:sz w:val="24"/>
              </w:rPr>
              <w:t>4</w:t>
            </w:r>
            <w:r>
              <w:rPr>
                <w:rFonts w:hint="eastAsia" w:ascii="仿宋_GB2312" w:hAnsi="仿宋_GB2312" w:eastAsia="仿宋_GB2312" w:cs="仿宋_GB2312"/>
                <w:color w:val="000000"/>
                <w:sz w:val="24"/>
              </w:rPr>
              <w:t>：加大对议案，建设督办力度……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60" w:hRule="atLeast"/>
          <w:jc w:val="center"/>
        </w:trPr>
        <w:tc>
          <w:tcPr>
            <w:tcW w:w="1654"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pacing w:val="-6"/>
                <w:sz w:val="24"/>
              </w:rPr>
            </w:pPr>
            <w:r>
              <w:rPr>
                <w:rFonts w:hint="eastAsia" w:ascii="仿宋_GB2312" w:hAnsi="仿宋_GB2312" w:eastAsia="仿宋_GB2312" w:cs="仿宋_GB2312"/>
                <w:color w:val="000000"/>
                <w:spacing w:val="-6"/>
                <w:sz w:val="24"/>
              </w:rPr>
              <w:t>年度部门（单位）总体运行情况及取得的成绩</w:t>
            </w:r>
          </w:p>
        </w:tc>
        <w:tc>
          <w:tcPr>
            <w:tcW w:w="8146" w:type="dxa"/>
            <w:gridSpan w:val="15"/>
            <w:tcMar>
              <w:top w:w="0" w:type="dxa"/>
              <w:left w:w="15" w:type="dxa"/>
              <w:bottom w:w="0" w:type="dxa"/>
              <w:right w:w="15" w:type="dxa"/>
            </w:tcMar>
            <w:vAlign w:val="center"/>
          </w:tcPr>
          <w:p>
            <w:pPr>
              <w:spacing w:line="580" w:lineRule="exact"/>
              <w:ind w:firstLine="480" w:firstLineChars="200"/>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一、坚持党的领导，服从服务大局</w:t>
            </w:r>
            <w:r>
              <w:rPr>
                <w:rFonts w:ascii="仿宋_GB2312" w:hAnsi="仿宋_GB2312" w:eastAsia="仿宋_GB2312" w:cs="仿宋_GB2312"/>
                <w:color w:val="000000"/>
                <w:sz w:val="24"/>
              </w:rPr>
              <w:t>;</w:t>
            </w:r>
          </w:p>
          <w:p>
            <w:pPr>
              <w:spacing w:line="580" w:lineRule="exact"/>
              <w:ind w:firstLine="480" w:firstLineChars="200"/>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二、有效开展监督，依法担当作为</w:t>
            </w:r>
            <w:r>
              <w:rPr>
                <w:rFonts w:ascii="仿宋_GB2312" w:hAnsi="仿宋_GB2312" w:eastAsia="仿宋_GB2312" w:cs="仿宋_GB2312"/>
                <w:color w:val="000000"/>
                <w:sz w:val="24"/>
              </w:rPr>
              <w:t>;</w:t>
            </w:r>
          </w:p>
          <w:p>
            <w:pPr>
              <w:spacing w:line="580" w:lineRule="exact"/>
              <w:ind w:firstLine="480" w:firstLineChars="200"/>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三、突出主体地位，发挥代表作用</w:t>
            </w:r>
            <w:r>
              <w:rPr>
                <w:rFonts w:ascii="仿宋_GB2312" w:hAnsi="仿宋_GB2312" w:eastAsia="仿宋_GB2312" w:cs="仿宋_GB2312"/>
                <w:color w:val="000000"/>
                <w:sz w:val="24"/>
              </w:rPr>
              <w:t>;</w:t>
            </w:r>
          </w:p>
          <w:p>
            <w:pPr>
              <w:spacing w:line="580" w:lineRule="exact"/>
              <w:ind w:firstLine="480" w:firstLineChars="200"/>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四、着力基层基础，规范乡镇人大工作</w:t>
            </w:r>
            <w:r>
              <w:rPr>
                <w:rFonts w:ascii="仿宋_GB2312" w:hAnsi="仿宋_GB2312" w:eastAsia="仿宋_GB2312" w:cs="仿宋_GB2312"/>
                <w:color w:val="000000"/>
                <w:sz w:val="24"/>
              </w:rPr>
              <w:t>;</w:t>
            </w:r>
          </w:p>
          <w:p>
            <w:pPr>
              <w:spacing w:line="580" w:lineRule="exact"/>
              <w:ind w:firstLine="480" w:firstLineChars="200"/>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五、强化自身建设，展示良好形象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800" w:type="dxa"/>
            <w:gridSpan w:val="17"/>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二、部门（单位）收支情况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800" w:type="dxa"/>
            <w:gridSpan w:val="17"/>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年度收入情况（万元）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700" w:type="dxa"/>
            <w:gridSpan w:val="3"/>
            <w:vMerge w:val="restart"/>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机构名称</w:t>
            </w:r>
          </w:p>
        </w:tc>
        <w:tc>
          <w:tcPr>
            <w:tcW w:w="1080" w:type="dxa"/>
            <w:vMerge w:val="restart"/>
            <w:tcBorders>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收入合计</w:t>
            </w:r>
          </w:p>
        </w:tc>
        <w:tc>
          <w:tcPr>
            <w:tcW w:w="7020" w:type="dxa"/>
            <w:gridSpan w:val="13"/>
            <w:tcBorders>
              <w:lef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14" w:hRule="atLeast"/>
          <w:jc w:val="center"/>
        </w:trPr>
        <w:tc>
          <w:tcPr>
            <w:tcW w:w="1700" w:type="dxa"/>
            <w:gridSpan w:val="3"/>
            <w:vMerge w:val="continue"/>
            <w:vAlign w:val="center"/>
          </w:tcPr>
          <w:p>
            <w:pPr>
              <w:widowControl/>
              <w:jc w:val="left"/>
              <w:rPr>
                <w:rFonts w:ascii="仿宋_GB2312" w:hAnsi="仿宋_GB2312" w:eastAsia="仿宋_GB2312" w:cs="仿宋_GB2312"/>
                <w:color w:val="000000"/>
                <w:sz w:val="24"/>
              </w:rPr>
            </w:pPr>
          </w:p>
        </w:tc>
        <w:tc>
          <w:tcPr>
            <w:tcW w:w="1080" w:type="dxa"/>
            <w:vMerge w:val="continue"/>
            <w:tcBorders>
              <w:right w:val="single" w:color="auto" w:sz="4" w:space="0"/>
            </w:tcBorders>
            <w:vAlign w:val="center"/>
          </w:tcPr>
          <w:p>
            <w:pPr>
              <w:widowControl/>
              <w:jc w:val="left"/>
              <w:rPr>
                <w:rFonts w:ascii="仿宋_GB2312" w:hAnsi="仿宋_GB2312" w:eastAsia="仿宋_GB2312" w:cs="仿宋_GB2312"/>
                <w:color w:val="000000"/>
                <w:sz w:val="24"/>
              </w:rPr>
            </w:pPr>
          </w:p>
        </w:tc>
        <w:tc>
          <w:tcPr>
            <w:tcW w:w="1355" w:type="dxa"/>
            <w:gridSpan w:val="2"/>
            <w:tcBorders>
              <w:lef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上年结转</w:t>
            </w:r>
          </w:p>
        </w:tc>
        <w:tc>
          <w:tcPr>
            <w:tcW w:w="1080"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公共财</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政拨款</w:t>
            </w:r>
          </w:p>
        </w:tc>
        <w:tc>
          <w:tcPr>
            <w:tcW w:w="1705"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政府基金拨款</w:t>
            </w:r>
          </w:p>
        </w:tc>
        <w:tc>
          <w:tcPr>
            <w:tcW w:w="1800" w:type="dxa"/>
            <w:gridSpan w:val="4"/>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纳入专户管理的非税收入拨款</w:t>
            </w:r>
          </w:p>
        </w:tc>
        <w:tc>
          <w:tcPr>
            <w:tcW w:w="1080" w:type="dxa"/>
            <w:gridSpan w:val="3"/>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72" w:hRule="atLeast"/>
          <w:jc w:val="center"/>
        </w:trPr>
        <w:tc>
          <w:tcPr>
            <w:tcW w:w="1700" w:type="dxa"/>
            <w:gridSpan w:val="3"/>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1326.17</w:t>
            </w:r>
          </w:p>
        </w:tc>
        <w:tc>
          <w:tcPr>
            <w:tcW w:w="1355" w:type="dxa"/>
            <w:gridSpan w:val="2"/>
            <w:tcBorders>
              <w:left w:val="single" w:color="auto"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105.92</w:t>
            </w:r>
          </w:p>
        </w:tc>
        <w:tc>
          <w:tcPr>
            <w:tcW w:w="1080" w:type="dxa"/>
            <w:gridSpan w:val="2"/>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1211.71</w:t>
            </w:r>
          </w:p>
        </w:tc>
        <w:tc>
          <w:tcPr>
            <w:tcW w:w="1705" w:type="dxa"/>
            <w:gridSpan w:val="2"/>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800" w:type="dxa"/>
            <w:gridSpan w:val="4"/>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5.54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700" w:type="dxa"/>
            <w:gridSpan w:val="3"/>
            <w:tcMar>
              <w:top w:w="0" w:type="dxa"/>
              <w:left w:w="15" w:type="dxa"/>
              <w:bottom w:w="0" w:type="dxa"/>
              <w:right w:w="15" w:type="dxa"/>
            </w:tcMar>
            <w:vAlign w:val="center"/>
          </w:tcPr>
          <w:p>
            <w:pPr>
              <w:spacing w:line="320" w:lineRule="exact"/>
              <w:rPr>
                <w:rFonts w:ascii="仿宋_GB2312" w:hAnsi="仿宋_GB2312" w:eastAsia="仿宋_GB2312" w:cs="仿宋_GB2312"/>
                <w:sz w:val="24"/>
              </w:rPr>
            </w:pPr>
            <w:r>
              <w:rPr>
                <w:rFonts w:ascii="仿宋_GB2312" w:hAnsi="仿宋_GB2312" w:eastAsia="仿宋_GB2312" w:cs="仿宋_GB2312"/>
                <w:sz w:val="24"/>
              </w:rPr>
              <w:t>1</w:t>
            </w:r>
            <w:r>
              <w:rPr>
                <w:rFonts w:hint="eastAsia" w:ascii="仿宋_GB2312" w:hAnsi="仿宋_GB2312" w:eastAsia="仿宋_GB2312" w:cs="仿宋_GB2312"/>
                <w:sz w:val="24"/>
              </w:rPr>
              <w:t>、局机关</w:t>
            </w:r>
          </w:p>
        </w:tc>
        <w:tc>
          <w:tcPr>
            <w:tcW w:w="1080" w:type="dxa"/>
            <w:tcBorders>
              <w:right w:val="single" w:color="auto"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1326.17</w:t>
            </w:r>
          </w:p>
        </w:tc>
        <w:tc>
          <w:tcPr>
            <w:tcW w:w="1355" w:type="dxa"/>
            <w:gridSpan w:val="2"/>
            <w:tcBorders>
              <w:left w:val="single" w:color="auto"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105.92</w:t>
            </w:r>
          </w:p>
        </w:tc>
        <w:tc>
          <w:tcPr>
            <w:tcW w:w="1080" w:type="dxa"/>
            <w:gridSpan w:val="2"/>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1211.71</w:t>
            </w:r>
          </w:p>
        </w:tc>
        <w:tc>
          <w:tcPr>
            <w:tcW w:w="1705" w:type="dxa"/>
            <w:gridSpan w:val="2"/>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800" w:type="dxa"/>
            <w:gridSpan w:val="4"/>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5.54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700" w:type="dxa"/>
            <w:gridSpan w:val="3"/>
            <w:tcMar>
              <w:top w:w="0" w:type="dxa"/>
              <w:left w:w="15" w:type="dxa"/>
              <w:bottom w:w="0" w:type="dxa"/>
              <w:right w:w="15" w:type="dxa"/>
            </w:tcMar>
            <w:vAlign w:val="center"/>
          </w:tcPr>
          <w:p>
            <w:pPr>
              <w:spacing w:line="320" w:lineRule="exact"/>
              <w:rPr>
                <w:rFonts w:ascii="仿宋_GB2312" w:hAnsi="仿宋_GB2312" w:eastAsia="仿宋_GB2312" w:cs="仿宋_GB2312"/>
                <w:sz w:val="24"/>
              </w:rPr>
            </w:pPr>
            <w:r>
              <w:rPr>
                <w:rFonts w:ascii="仿宋_GB2312" w:hAnsi="仿宋_GB2312" w:eastAsia="仿宋_GB2312" w:cs="仿宋_GB2312"/>
                <w:sz w:val="24"/>
              </w:rPr>
              <w:t>2</w:t>
            </w:r>
            <w:r>
              <w:rPr>
                <w:rFonts w:hint="eastAsia" w:ascii="仿宋_GB2312" w:hAnsi="仿宋_GB2312" w:eastAsia="仿宋_GB2312" w:cs="仿宋_GB2312"/>
                <w:sz w:val="24"/>
              </w:rPr>
              <w:t>、二级机构</w:t>
            </w:r>
            <w:r>
              <w:rPr>
                <w:rFonts w:ascii="仿宋_GB2312" w:hAnsi="仿宋_GB2312" w:eastAsia="仿宋_GB2312" w:cs="仿宋_GB2312"/>
                <w:sz w:val="24"/>
              </w:rPr>
              <w:t>1</w:t>
            </w:r>
          </w:p>
        </w:tc>
        <w:tc>
          <w:tcPr>
            <w:tcW w:w="1080" w:type="dxa"/>
            <w:tcBorders>
              <w:right w:val="single" w:color="auto"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355" w:type="dxa"/>
            <w:gridSpan w:val="2"/>
            <w:tcBorders>
              <w:left w:val="single" w:color="auto"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080" w:type="dxa"/>
            <w:gridSpan w:val="2"/>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705" w:type="dxa"/>
            <w:gridSpan w:val="2"/>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800" w:type="dxa"/>
            <w:gridSpan w:val="4"/>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700" w:type="dxa"/>
            <w:gridSpan w:val="3"/>
            <w:tcMar>
              <w:top w:w="0" w:type="dxa"/>
              <w:left w:w="15" w:type="dxa"/>
              <w:bottom w:w="0" w:type="dxa"/>
              <w:right w:w="15" w:type="dxa"/>
            </w:tcMar>
            <w:vAlign w:val="center"/>
          </w:tcPr>
          <w:p>
            <w:pPr>
              <w:spacing w:line="320" w:lineRule="exact"/>
              <w:rPr>
                <w:rFonts w:ascii="仿宋_GB2312" w:hAnsi="仿宋_GB2312" w:eastAsia="仿宋_GB2312" w:cs="仿宋_GB2312"/>
                <w:sz w:val="24"/>
              </w:rPr>
            </w:pPr>
            <w:r>
              <w:rPr>
                <w:rFonts w:ascii="仿宋_GB2312" w:hAnsi="仿宋_GB2312" w:eastAsia="仿宋_GB2312" w:cs="仿宋_GB2312"/>
                <w:sz w:val="24"/>
              </w:rPr>
              <w:t>3</w:t>
            </w:r>
            <w:r>
              <w:rPr>
                <w:rFonts w:hint="eastAsia" w:ascii="仿宋_GB2312" w:hAnsi="仿宋_GB2312" w:eastAsia="仿宋_GB2312" w:cs="仿宋_GB2312"/>
                <w:sz w:val="24"/>
              </w:rPr>
              <w:t>、二级机构</w:t>
            </w:r>
            <w:r>
              <w:rPr>
                <w:rFonts w:ascii="仿宋_GB2312" w:hAnsi="仿宋_GB2312" w:eastAsia="仿宋_GB2312" w:cs="仿宋_GB2312"/>
                <w:sz w:val="24"/>
              </w:rPr>
              <w:t>2</w:t>
            </w:r>
          </w:p>
        </w:tc>
        <w:tc>
          <w:tcPr>
            <w:tcW w:w="1080" w:type="dxa"/>
            <w:tcBorders>
              <w:right w:val="single" w:color="auto"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355" w:type="dxa"/>
            <w:gridSpan w:val="2"/>
            <w:tcBorders>
              <w:left w:val="single" w:color="auto"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080" w:type="dxa"/>
            <w:gridSpan w:val="2"/>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705" w:type="dxa"/>
            <w:gridSpan w:val="2"/>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800" w:type="dxa"/>
            <w:gridSpan w:val="4"/>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9800" w:type="dxa"/>
            <w:gridSpan w:val="17"/>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部门（单位）年度支出和结余情况（万元）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vMerge w:val="restart"/>
            <w:tcMar>
              <w:top w:w="0" w:type="dxa"/>
              <w:left w:w="15" w:type="dxa"/>
              <w:bottom w:w="0" w:type="dxa"/>
              <w:right w:w="15" w:type="dxa"/>
            </w:tcMar>
            <w:vAlign w:val="center"/>
          </w:tcPr>
          <w:p>
            <w:pPr>
              <w:snapToGrid w:val="0"/>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支出合计</w:t>
            </w:r>
          </w:p>
        </w:tc>
        <w:tc>
          <w:tcPr>
            <w:tcW w:w="5675" w:type="dxa"/>
            <w:gridSpan w:val="9"/>
            <w:tcBorders>
              <w:left w:val="single" w:color="auto" w:sz="4" w:space="0"/>
              <w:bottom w:val="single" w:color="auto"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345" w:type="dxa"/>
            <w:gridSpan w:val="4"/>
            <w:tcBorders>
              <w:left w:val="single" w:color="auto" w:sz="4" w:space="0"/>
              <w:bottom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vMerge w:val="continue"/>
            <w:vAlign w:val="center"/>
          </w:tcPr>
          <w:p>
            <w:pPr>
              <w:widowControl/>
              <w:jc w:val="left"/>
              <w:rPr>
                <w:rFonts w:ascii="仿宋_GB2312" w:hAnsi="仿宋_GB2312" w:eastAsia="仿宋_GB2312" w:cs="仿宋_GB2312"/>
                <w:sz w:val="24"/>
              </w:rPr>
            </w:pPr>
          </w:p>
        </w:tc>
        <w:tc>
          <w:tcPr>
            <w:tcW w:w="1080" w:type="dxa"/>
            <w:vMerge w:val="continue"/>
            <w:tcBorders>
              <w:right w:val="single" w:color="auto" w:sz="4" w:space="0"/>
            </w:tcBorders>
            <w:vAlign w:val="center"/>
          </w:tcPr>
          <w:p>
            <w:pPr>
              <w:widowControl/>
              <w:jc w:val="left"/>
              <w:rPr>
                <w:rFonts w:ascii="仿宋_GB2312" w:hAnsi="仿宋_GB2312" w:eastAsia="仿宋_GB2312" w:cs="仿宋_GB2312"/>
                <w:color w:val="000000"/>
                <w:sz w:val="24"/>
              </w:rPr>
            </w:pPr>
          </w:p>
        </w:tc>
        <w:tc>
          <w:tcPr>
            <w:tcW w:w="1355" w:type="dxa"/>
            <w:gridSpan w:val="2"/>
            <w:vMerge w:val="restart"/>
            <w:tcBorders>
              <w:top w:val="single" w:color="auto" w:sz="4" w:space="0"/>
              <w:lef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基本支出</w:t>
            </w:r>
          </w:p>
        </w:tc>
        <w:tc>
          <w:tcPr>
            <w:tcW w:w="3240" w:type="dxa"/>
            <w:gridSpan w:val="6"/>
            <w:tcBorders>
              <w:top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080" w:type="dxa"/>
            <w:vMerge w:val="restart"/>
            <w:tcBorders>
              <w:top w:val="single" w:color="auto"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项目支出</w:t>
            </w:r>
          </w:p>
        </w:tc>
        <w:tc>
          <w:tcPr>
            <w:tcW w:w="720" w:type="dxa"/>
            <w:gridSpan w:val="3"/>
            <w:vMerge w:val="restart"/>
            <w:tcBorders>
              <w:top w:val="single" w:color="auto" w:sz="4" w:space="0"/>
              <w:left w:val="single" w:color="auto"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当年结余</w:t>
            </w:r>
          </w:p>
        </w:tc>
        <w:tc>
          <w:tcPr>
            <w:tcW w:w="625" w:type="dxa"/>
            <w:vMerge w:val="restart"/>
            <w:tcBorders>
              <w:top w:val="single" w:color="auto" w:sz="4" w:space="0"/>
              <w:lef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累计结余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vMerge w:val="continue"/>
            <w:vAlign w:val="center"/>
          </w:tcPr>
          <w:p>
            <w:pPr>
              <w:widowControl/>
              <w:jc w:val="left"/>
              <w:rPr>
                <w:rFonts w:ascii="仿宋_GB2312" w:hAnsi="仿宋_GB2312" w:eastAsia="仿宋_GB2312" w:cs="仿宋_GB2312"/>
                <w:sz w:val="24"/>
              </w:rPr>
            </w:pPr>
          </w:p>
        </w:tc>
        <w:tc>
          <w:tcPr>
            <w:tcW w:w="1080" w:type="dxa"/>
            <w:vMerge w:val="continue"/>
            <w:tcBorders>
              <w:right w:val="single" w:color="auto" w:sz="4" w:space="0"/>
            </w:tcBorders>
            <w:vAlign w:val="center"/>
          </w:tcPr>
          <w:p>
            <w:pPr>
              <w:widowControl/>
              <w:jc w:val="left"/>
              <w:rPr>
                <w:rFonts w:ascii="仿宋_GB2312" w:hAnsi="仿宋_GB2312" w:eastAsia="仿宋_GB2312" w:cs="仿宋_GB2312"/>
                <w:color w:val="000000"/>
                <w:sz w:val="24"/>
              </w:rPr>
            </w:pPr>
          </w:p>
        </w:tc>
        <w:tc>
          <w:tcPr>
            <w:tcW w:w="1355" w:type="dxa"/>
            <w:gridSpan w:val="2"/>
            <w:vMerge w:val="continue"/>
            <w:tcBorders>
              <w:top w:val="single" w:color="auto" w:sz="4" w:space="0"/>
              <w:left w:val="single" w:color="auto" w:sz="4" w:space="0"/>
            </w:tcBorders>
            <w:vAlign w:val="center"/>
          </w:tcPr>
          <w:p>
            <w:pPr>
              <w:widowControl/>
              <w:jc w:val="left"/>
              <w:rPr>
                <w:rFonts w:ascii="仿宋_GB2312" w:hAnsi="仿宋_GB2312" w:eastAsia="仿宋_GB2312" w:cs="仿宋_GB2312"/>
                <w:color w:val="000000"/>
                <w:sz w:val="24"/>
              </w:rPr>
            </w:pPr>
          </w:p>
        </w:tc>
        <w:tc>
          <w:tcPr>
            <w:tcW w:w="1080"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人员支出</w:t>
            </w:r>
          </w:p>
        </w:tc>
        <w:tc>
          <w:tcPr>
            <w:tcW w:w="2160" w:type="dxa"/>
            <w:gridSpan w:val="4"/>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公用支出</w:t>
            </w:r>
          </w:p>
        </w:tc>
        <w:tc>
          <w:tcPr>
            <w:tcW w:w="1080" w:type="dxa"/>
            <w:vMerge w:val="continue"/>
            <w:tcBorders>
              <w:top w:val="single" w:color="auto" w:sz="4" w:space="0"/>
              <w:right w:val="single" w:color="auto" w:sz="4" w:space="0"/>
            </w:tcBorders>
            <w:vAlign w:val="center"/>
          </w:tcPr>
          <w:p>
            <w:pPr>
              <w:widowControl/>
              <w:jc w:val="left"/>
              <w:rPr>
                <w:rFonts w:ascii="仿宋_GB2312" w:hAnsi="仿宋_GB2312" w:eastAsia="仿宋_GB2312" w:cs="仿宋_GB2312"/>
                <w:color w:val="000000"/>
                <w:sz w:val="24"/>
              </w:rPr>
            </w:pPr>
          </w:p>
        </w:tc>
        <w:tc>
          <w:tcPr>
            <w:tcW w:w="720" w:type="dxa"/>
            <w:gridSpan w:val="3"/>
            <w:vMerge w:val="continue"/>
            <w:tcBorders>
              <w:top w:val="single" w:color="auto" w:sz="4" w:space="0"/>
              <w:left w:val="single" w:color="auto" w:sz="4" w:space="0"/>
              <w:right w:val="single" w:color="auto" w:sz="4" w:space="0"/>
            </w:tcBorders>
            <w:vAlign w:val="center"/>
          </w:tcPr>
          <w:p>
            <w:pPr>
              <w:widowControl/>
              <w:jc w:val="left"/>
              <w:rPr>
                <w:rFonts w:ascii="仿宋_GB2312" w:hAnsi="仿宋_GB2312" w:eastAsia="仿宋_GB2312" w:cs="仿宋_GB2312"/>
                <w:color w:val="000000"/>
                <w:sz w:val="24"/>
              </w:rPr>
            </w:pPr>
          </w:p>
        </w:tc>
        <w:tc>
          <w:tcPr>
            <w:tcW w:w="625" w:type="dxa"/>
            <w:vMerge w:val="continue"/>
            <w:tcBorders>
              <w:top w:val="single" w:color="auto" w:sz="4" w:space="0"/>
              <w:left w:val="single" w:color="auto" w:sz="4" w:space="0"/>
            </w:tcBorders>
            <w:vAlign w:val="center"/>
          </w:tcPr>
          <w:p>
            <w:pPr>
              <w:widowControl/>
              <w:jc w:val="left"/>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77" w:hRule="atLeast"/>
          <w:jc w:val="center"/>
        </w:trPr>
        <w:tc>
          <w:tcPr>
            <w:tcW w:w="1700" w:type="dxa"/>
            <w:gridSpan w:val="3"/>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1155.87</w:t>
            </w:r>
          </w:p>
        </w:tc>
        <w:tc>
          <w:tcPr>
            <w:tcW w:w="1355" w:type="dxa"/>
            <w:gridSpan w:val="2"/>
            <w:tcBorders>
              <w:lef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986.37</w:t>
            </w:r>
          </w:p>
        </w:tc>
        <w:tc>
          <w:tcPr>
            <w:tcW w:w="1080"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642.47</w:t>
            </w:r>
          </w:p>
        </w:tc>
        <w:tc>
          <w:tcPr>
            <w:tcW w:w="2160" w:type="dxa"/>
            <w:gridSpan w:val="4"/>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343.90</w:t>
            </w:r>
          </w:p>
        </w:tc>
        <w:tc>
          <w:tcPr>
            <w:tcW w:w="1080" w:type="dxa"/>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169.50</w:t>
            </w:r>
          </w:p>
        </w:tc>
        <w:tc>
          <w:tcPr>
            <w:tcW w:w="720" w:type="dxa"/>
            <w:gridSpan w:val="3"/>
            <w:tcBorders>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64.38</w:t>
            </w:r>
          </w:p>
        </w:tc>
        <w:tc>
          <w:tcPr>
            <w:tcW w:w="625" w:type="dxa"/>
            <w:tcBorders>
              <w:lef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170.30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tcMar>
              <w:top w:w="0" w:type="dxa"/>
              <w:left w:w="15" w:type="dxa"/>
              <w:bottom w:w="0" w:type="dxa"/>
              <w:right w:w="15" w:type="dxa"/>
            </w:tcMar>
            <w:vAlign w:val="center"/>
          </w:tcPr>
          <w:p>
            <w:pPr>
              <w:spacing w:line="320" w:lineRule="exact"/>
              <w:jc w:val="left"/>
              <w:rPr>
                <w:rFonts w:ascii="仿宋_GB2312" w:hAnsi="仿宋_GB2312" w:eastAsia="仿宋_GB2312" w:cs="仿宋_GB2312"/>
                <w:color w:val="000000"/>
                <w:sz w:val="24"/>
              </w:rPr>
            </w:pPr>
            <w:r>
              <w:rPr>
                <w:rFonts w:ascii="仿宋_GB2312" w:hAnsi="仿宋_GB2312" w:eastAsia="仿宋_GB2312" w:cs="仿宋_GB2312"/>
                <w:sz w:val="24"/>
              </w:rPr>
              <w:t>1</w:t>
            </w:r>
            <w:r>
              <w:rPr>
                <w:rFonts w:hint="eastAsia" w:ascii="仿宋_GB2312" w:hAnsi="仿宋_GB2312" w:eastAsia="仿宋_GB2312" w:cs="仿宋_GB2312"/>
                <w:sz w:val="24"/>
              </w:rPr>
              <w:t>、局机关</w:t>
            </w:r>
          </w:p>
        </w:tc>
        <w:tc>
          <w:tcPr>
            <w:tcW w:w="1080" w:type="dxa"/>
            <w:tcBorders>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1155.87</w:t>
            </w:r>
          </w:p>
        </w:tc>
        <w:tc>
          <w:tcPr>
            <w:tcW w:w="1355" w:type="dxa"/>
            <w:gridSpan w:val="2"/>
            <w:tcBorders>
              <w:lef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986.37</w:t>
            </w:r>
          </w:p>
        </w:tc>
        <w:tc>
          <w:tcPr>
            <w:tcW w:w="1080"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642.47</w:t>
            </w:r>
          </w:p>
        </w:tc>
        <w:tc>
          <w:tcPr>
            <w:tcW w:w="2160" w:type="dxa"/>
            <w:gridSpan w:val="4"/>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343.90</w:t>
            </w:r>
          </w:p>
        </w:tc>
        <w:tc>
          <w:tcPr>
            <w:tcW w:w="1080" w:type="dxa"/>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169.50</w:t>
            </w:r>
          </w:p>
        </w:tc>
        <w:tc>
          <w:tcPr>
            <w:tcW w:w="720" w:type="dxa"/>
            <w:gridSpan w:val="3"/>
            <w:tcBorders>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64.38</w:t>
            </w:r>
          </w:p>
        </w:tc>
        <w:tc>
          <w:tcPr>
            <w:tcW w:w="625" w:type="dxa"/>
            <w:tcBorders>
              <w:lef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170.30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tcMar>
              <w:top w:w="0" w:type="dxa"/>
              <w:left w:w="15" w:type="dxa"/>
              <w:bottom w:w="0" w:type="dxa"/>
              <w:right w:w="15" w:type="dxa"/>
            </w:tcMar>
            <w:vAlign w:val="center"/>
          </w:tcPr>
          <w:p>
            <w:pPr>
              <w:spacing w:line="320" w:lineRule="exact"/>
              <w:jc w:val="left"/>
              <w:rPr>
                <w:rFonts w:ascii="仿宋_GB2312" w:hAnsi="仿宋_GB2312" w:eastAsia="仿宋_GB2312" w:cs="仿宋_GB2312"/>
                <w:color w:val="000000"/>
                <w:sz w:val="24"/>
              </w:rPr>
            </w:pPr>
            <w:r>
              <w:rPr>
                <w:rFonts w:ascii="仿宋_GB2312" w:hAnsi="仿宋_GB2312" w:eastAsia="仿宋_GB2312" w:cs="仿宋_GB2312"/>
                <w:sz w:val="24"/>
              </w:rPr>
              <w:t>2</w:t>
            </w:r>
            <w:r>
              <w:rPr>
                <w:rFonts w:hint="eastAsia" w:ascii="仿宋_GB2312" w:hAnsi="仿宋_GB2312" w:eastAsia="仿宋_GB2312" w:cs="仿宋_GB2312"/>
                <w:sz w:val="24"/>
              </w:rPr>
              <w:t>、二级机构</w:t>
            </w:r>
            <w:r>
              <w:rPr>
                <w:rFonts w:ascii="仿宋_GB2312" w:hAnsi="仿宋_GB2312" w:eastAsia="仿宋_GB2312" w:cs="仿宋_GB2312"/>
                <w:sz w:val="24"/>
              </w:rPr>
              <w:t>1</w:t>
            </w:r>
          </w:p>
        </w:tc>
        <w:tc>
          <w:tcPr>
            <w:tcW w:w="1080" w:type="dxa"/>
            <w:tcBorders>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20" w:type="dxa"/>
            <w:gridSpan w:val="3"/>
            <w:tcBorders>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tcBorders>
              <w:lef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tcMar>
              <w:top w:w="0" w:type="dxa"/>
              <w:left w:w="15" w:type="dxa"/>
              <w:bottom w:w="0" w:type="dxa"/>
              <w:right w:w="15" w:type="dxa"/>
            </w:tcMar>
            <w:vAlign w:val="center"/>
          </w:tcPr>
          <w:p>
            <w:pPr>
              <w:spacing w:line="320" w:lineRule="exact"/>
              <w:jc w:val="left"/>
              <w:rPr>
                <w:rFonts w:ascii="仿宋_GB2312" w:hAnsi="仿宋_GB2312" w:eastAsia="仿宋_GB2312" w:cs="仿宋_GB2312"/>
                <w:color w:val="000000"/>
                <w:sz w:val="24"/>
              </w:rPr>
            </w:pPr>
            <w:r>
              <w:rPr>
                <w:rFonts w:ascii="仿宋_GB2312" w:hAnsi="仿宋_GB2312" w:eastAsia="仿宋_GB2312" w:cs="仿宋_GB2312"/>
                <w:sz w:val="24"/>
              </w:rPr>
              <w:t>3</w:t>
            </w:r>
            <w:r>
              <w:rPr>
                <w:rFonts w:hint="eastAsia" w:ascii="仿宋_GB2312" w:hAnsi="仿宋_GB2312" w:eastAsia="仿宋_GB2312" w:cs="仿宋_GB2312"/>
                <w:sz w:val="24"/>
              </w:rPr>
              <w:t>、二级机构</w:t>
            </w:r>
            <w:r>
              <w:rPr>
                <w:rFonts w:ascii="仿宋_GB2312" w:hAnsi="仿宋_GB2312" w:eastAsia="仿宋_GB2312" w:cs="仿宋_GB2312"/>
                <w:sz w:val="24"/>
              </w:rPr>
              <w:t>2</w:t>
            </w:r>
          </w:p>
        </w:tc>
        <w:tc>
          <w:tcPr>
            <w:tcW w:w="1080" w:type="dxa"/>
            <w:tcBorders>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20" w:type="dxa"/>
            <w:gridSpan w:val="3"/>
            <w:tcBorders>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tcBorders>
              <w:lef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vMerge w:val="restart"/>
            <w:tcMar>
              <w:top w:w="0" w:type="dxa"/>
              <w:left w:w="15" w:type="dxa"/>
              <w:bottom w:w="0" w:type="dxa"/>
              <w:right w:w="15" w:type="dxa"/>
            </w:tcMar>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三公经费</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7020" w:type="dxa"/>
            <w:gridSpan w:val="13"/>
            <w:tcBorders>
              <w:lef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vMerge w:val="continue"/>
            <w:vAlign w:val="center"/>
          </w:tcPr>
          <w:p>
            <w:pPr>
              <w:widowControl/>
              <w:jc w:val="left"/>
              <w:rPr>
                <w:rFonts w:ascii="仿宋_GB2312" w:hAnsi="仿宋_GB2312" w:eastAsia="仿宋_GB2312" w:cs="仿宋_GB2312"/>
                <w:sz w:val="24"/>
              </w:rPr>
            </w:pPr>
          </w:p>
        </w:tc>
        <w:tc>
          <w:tcPr>
            <w:tcW w:w="1080" w:type="dxa"/>
            <w:vMerge w:val="continue"/>
            <w:tcBorders>
              <w:right w:val="single" w:color="auto" w:sz="4" w:space="0"/>
            </w:tcBorders>
            <w:vAlign w:val="center"/>
          </w:tcPr>
          <w:p>
            <w:pPr>
              <w:widowControl/>
              <w:jc w:val="left"/>
              <w:rPr>
                <w:rFonts w:ascii="仿宋_GB2312" w:hAnsi="仿宋_GB2312" w:eastAsia="仿宋_GB2312" w:cs="仿宋_GB2312"/>
                <w:color w:val="000000"/>
                <w:sz w:val="24"/>
              </w:rPr>
            </w:pPr>
          </w:p>
        </w:tc>
        <w:tc>
          <w:tcPr>
            <w:tcW w:w="1355" w:type="dxa"/>
            <w:gridSpan w:val="2"/>
            <w:tcBorders>
              <w:lef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公务接待费</w:t>
            </w:r>
          </w:p>
        </w:tc>
        <w:tc>
          <w:tcPr>
            <w:tcW w:w="1080"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公务用车运维费</w:t>
            </w:r>
          </w:p>
        </w:tc>
        <w:tc>
          <w:tcPr>
            <w:tcW w:w="2160" w:type="dxa"/>
            <w:gridSpan w:val="4"/>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公务用车购置费</w:t>
            </w:r>
          </w:p>
        </w:tc>
        <w:tc>
          <w:tcPr>
            <w:tcW w:w="2425" w:type="dxa"/>
            <w:gridSpan w:val="5"/>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因公出国费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8" w:hRule="atLeast"/>
          <w:jc w:val="center"/>
        </w:trPr>
        <w:tc>
          <w:tcPr>
            <w:tcW w:w="1700" w:type="dxa"/>
            <w:gridSpan w:val="3"/>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5.04</w:t>
            </w:r>
          </w:p>
        </w:tc>
        <w:tc>
          <w:tcPr>
            <w:tcW w:w="1355" w:type="dxa"/>
            <w:gridSpan w:val="2"/>
            <w:tcBorders>
              <w:lef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5.04</w:t>
            </w:r>
          </w:p>
        </w:tc>
        <w:tc>
          <w:tcPr>
            <w:tcW w:w="1080"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25" w:type="dxa"/>
            <w:gridSpan w:val="5"/>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r>
              <w:rPr>
                <w:rFonts w:ascii="仿宋_GB2312" w:hAnsi="仿宋_GB2312" w:eastAsia="仿宋_GB2312" w:cs="仿宋_GB2312"/>
                <w:sz w:val="24"/>
              </w:rPr>
              <w:t>1</w:t>
            </w:r>
            <w:r>
              <w:rPr>
                <w:rFonts w:hint="eastAsia" w:ascii="仿宋_GB2312" w:hAnsi="仿宋_GB2312" w:eastAsia="仿宋_GB2312" w:cs="仿宋_GB2312"/>
                <w:sz w:val="24"/>
              </w:rPr>
              <w:t>、局机关</w:t>
            </w:r>
          </w:p>
        </w:tc>
        <w:tc>
          <w:tcPr>
            <w:tcW w:w="1080" w:type="dxa"/>
            <w:tcBorders>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5.04</w:t>
            </w:r>
          </w:p>
        </w:tc>
        <w:tc>
          <w:tcPr>
            <w:tcW w:w="1355" w:type="dxa"/>
            <w:gridSpan w:val="2"/>
            <w:tcBorders>
              <w:lef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5.04</w:t>
            </w:r>
          </w:p>
        </w:tc>
        <w:tc>
          <w:tcPr>
            <w:tcW w:w="1080"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25" w:type="dxa"/>
            <w:gridSpan w:val="5"/>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r>
              <w:rPr>
                <w:rFonts w:ascii="仿宋_GB2312" w:hAnsi="仿宋_GB2312" w:eastAsia="仿宋_GB2312" w:cs="仿宋_GB2312"/>
                <w:sz w:val="24"/>
              </w:rPr>
              <w:t>2</w:t>
            </w:r>
            <w:r>
              <w:rPr>
                <w:rFonts w:hint="eastAsia" w:ascii="仿宋_GB2312" w:hAnsi="仿宋_GB2312" w:eastAsia="仿宋_GB2312" w:cs="仿宋_GB2312"/>
                <w:sz w:val="24"/>
              </w:rPr>
              <w:t>、二级机构</w:t>
            </w:r>
            <w:r>
              <w:rPr>
                <w:rFonts w:ascii="仿宋_GB2312" w:hAnsi="仿宋_GB2312" w:eastAsia="仿宋_GB2312" w:cs="仿宋_GB2312"/>
                <w:sz w:val="24"/>
              </w:rPr>
              <w:t>1</w:t>
            </w:r>
          </w:p>
        </w:tc>
        <w:tc>
          <w:tcPr>
            <w:tcW w:w="1080" w:type="dxa"/>
            <w:tcBorders>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25" w:type="dxa"/>
            <w:gridSpan w:val="5"/>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r>
              <w:rPr>
                <w:rFonts w:ascii="仿宋_GB2312" w:hAnsi="仿宋_GB2312" w:eastAsia="仿宋_GB2312" w:cs="仿宋_GB2312"/>
                <w:sz w:val="24"/>
              </w:rPr>
              <w:t>3</w:t>
            </w:r>
            <w:r>
              <w:rPr>
                <w:rFonts w:hint="eastAsia" w:ascii="仿宋_GB2312" w:hAnsi="仿宋_GB2312" w:eastAsia="仿宋_GB2312" w:cs="仿宋_GB2312"/>
                <w:sz w:val="24"/>
              </w:rPr>
              <w:t>、二级机构</w:t>
            </w:r>
            <w:r>
              <w:rPr>
                <w:rFonts w:ascii="仿宋_GB2312" w:hAnsi="仿宋_GB2312" w:eastAsia="仿宋_GB2312" w:cs="仿宋_GB2312"/>
                <w:sz w:val="24"/>
              </w:rPr>
              <w:t>2</w:t>
            </w:r>
          </w:p>
        </w:tc>
        <w:tc>
          <w:tcPr>
            <w:tcW w:w="1080" w:type="dxa"/>
            <w:tcBorders>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25" w:type="dxa"/>
            <w:gridSpan w:val="5"/>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vMerge w:val="restart"/>
            <w:tcMar>
              <w:top w:w="0" w:type="dxa"/>
              <w:left w:w="15" w:type="dxa"/>
              <w:bottom w:w="0" w:type="dxa"/>
              <w:right w:w="15" w:type="dxa"/>
            </w:tcMar>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固定资产</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6079" w:type="dxa"/>
            <w:gridSpan w:val="11"/>
            <w:tcBorders>
              <w:left w:val="single" w:color="auto"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941" w:type="dxa"/>
            <w:gridSpan w:val="2"/>
            <w:vMerge w:val="restart"/>
            <w:tcBorders>
              <w:lef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vMerge w:val="continue"/>
            <w:vAlign w:val="center"/>
          </w:tcPr>
          <w:p>
            <w:pPr>
              <w:widowControl/>
              <w:jc w:val="left"/>
              <w:rPr>
                <w:rFonts w:ascii="仿宋_GB2312" w:hAnsi="仿宋_GB2312" w:eastAsia="仿宋_GB2312" w:cs="仿宋_GB2312"/>
                <w:sz w:val="24"/>
              </w:rPr>
            </w:pPr>
          </w:p>
        </w:tc>
        <w:tc>
          <w:tcPr>
            <w:tcW w:w="1080" w:type="dxa"/>
            <w:vMerge w:val="continue"/>
            <w:tcBorders>
              <w:right w:val="single" w:color="auto" w:sz="4" w:space="0"/>
            </w:tcBorders>
            <w:vAlign w:val="center"/>
          </w:tcPr>
          <w:p>
            <w:pPr>
              <w:widowControl/>
              <w:jc w:val="left"/>
              <w:rPr>
                <w:rFonts w:ascii="仿宋_GB2312" w:hAnsi="仿宋_GB2312" w:eastAsia="仿宋_GB2312" w:cs="仿宋_GB2312"/>
                <w:color w:val="000000"/>
                <w:sz w:val="24"/>
              </w:rPr>
            </w:pPr>
          </w:p>
        </w:tc>
        <w:tc>
          <w:tcPr>
            <w:tcW w:w="2435" w:type="dxa"/>
            <w:gridSpan w:val="4"/>
            <w:tcBorders>
              <w:lef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在用固定资产</w:t>
            </w:r>
          </w:p>
        </w:tc>
        <w:tc>
          <w:tcPr>
            <w:tcW w:w="3644" w:type="dxa"/>
            <w:gridSpan w:val="7"/>
            <w:tcBorders>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出租固定资产</w:t>
            </w:r>
          </w:p>
        </w:tc>
        <w:tc>
          <w:tcPr>
            <w:tcW w:w="941" w:type="dxa"/>
            <w:gridSpan w:val="2"/>
            <w:vMerge w:val="continue"/>
            <w:tcBorders>
              <w:left w:val="single" w:color="auto" w:sz="4" w:space="0"/>
            </w:tcBorders>
            <w:vAlign w:val="center"/>
          </w:tcPr>
          <w:p>
            <w:pPr>
              <w:widowControl/>
              <w:jc w:val="left"/>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5" w:hRule="atLeast"/>
          <w:jc w:val="center"/>
        </w:trPr>
        <w:tc>
          <w:tcPr>
            <w:tcW w:w="1700" w:type="dxa"/>
            <w:gridSpan w:val="3"/>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92.91</w:t>
            </w:r>
          </w:p>
        </w:tc>
        <w:tc>
          <w:tcPr>
            <w:tcW w:w="2435" w:type="dxa"/>
            <w:gridSpan w:val="4"/>
            <w:tcBorders>
              <w:lef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92.91</w:t>
            </w:r>
          </w:p>
        </w:tc>
        <w:tc>
          <w:tcPr>
            <w:tcW w:w="3644" w:type="dxa"/>
            <w:gridSpan w:val="7"/>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r>
              <w:rPr>
                <w:rFonts w:ascii="仿宋_GB2312" w:hAnsi="仿宋_GB2312" w:eastAsia="仿宋_GB2312" w:cs="仿宋_GB2312"/>
                <w:sz w:val="24"/>
              </w:rPr>
              <w:t>1</w:t>
            </w:r>
            <w:r>
              <w:rPr>
                <w:rFonts w:hint="eastAsia" w:ascii="仿宋_GB2312" w:hAnsi="仿宋_GB2312" w:eastAsia="仿宋_GB2312" w:cs="仿宋_GB2312"/>
                <w:sz w:val="24"/>
              </w:rPr>
              <w:t>、局机关</w:t>
            </w:r>
          </w:p>
        </w:tc>
        <w:tc>
          <w:tcPr>
            <w:tcW w:w="1080" w:type="dxa"/>
            <w:tcBorders>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92.91</w:t>
            </w:r>
          </w:p>
        </w:tc>
        <w:tc>
          <w:tcPr>
            <w:tcW w:w="2435" w:type="dxa"/>
            <w:gridSpan w:val="4"/>
            <w:tcBorders>
              <w:lef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92.91</w:t>
            </w:r>
          </w:p>
        </w:tc>
        <w:tc>
          <w:tcPr>
            <w:tcW w:w="3644" w:type="dxa"/>
            <w:gridSpan w:val="7"/>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r>
              <w:rPr>
                <w:rFonts w:ascii="仿宋_GB2312" w:hAnsi="仿宋_GB2312" w:eastAsia="仿宋_GB2312" w:cs="仿宋_GB2312"/>
                <w:sz w:val="24"/>
              </w:rPr>
              <w:t>2</w:t>
            </w:r>
            <w:r>
              <w:rPr>
                <w:rFonts w:hint="eastAsia" w:ascii="仿宋_GB2312" w:hAnsi="仿宋_GB2312" w:eastAsia="仿宋_GB2312" w:cs="仿宋_GB2312"/>
                <w:sz w:val="24"/>
              </w:rPr>
              <w:t>、二级机构</w:t>
            </w:r>
            <w:r>
              <w:rPr>
                <w:rFonts w:ascii="仿宋_GB2312" w:hAnsi="仿宋_GB2312" w:eastAsia="仿宋_GB2312" w:cs="仿宋_GB2312"/>
                <w:sz w:val="24"/>
              </w:rPr>
              <w:t>1</w:t>
            </w:r>
          </w:p>
        </w:tc>
        <w:tc>
          <w:tcPr>
            <w:tcW w:w="1080" w:type="dxa"/>
            <w:tcBorders>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35" w:type="dxa"/>
            <w:gridSpan w:val="4"/>
            <w:tcBorders>
              <w:lef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644" w:type="dxa"/>
            <w:gridSpan w:val="7"/>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r>
              <w:rPr>
                <w:rFonts w:ascii="仿宋_GB2312" w:hAnsi="仿宋_GB2312" w:eastAsia="仿宋_GB2312" w:cs="仿宋_GB2312"/>
                <w:sz w:val="24"/>
              </w:rPr>
              <w:t>3</w:t>
            </w:r>
            <w:r>
              <w:rPr>
                <w:rFonts w:hint="eastAsia" w:ascii="仿宋_GB2312" w:hAnsi="仿宋_GB2312" w:eastAsia="仿宋_GB2312" w:cs="仿宋_GB2312"/>
                <w:sz w:val="24"/>
              </w:rPr>
              <w:t>、二级机构</w:t>
            </w:r>
            <w:r>
              <w:rPr>
                <w:rFonts w:ascii="仿宋_GB2312" w:hAnsi="仿宋_GB2312" w:eastAsia="仿宋_GB2312" w:cs="仿宋_GB2312"/>
                <w:sz w:val="24"/>
              </w:rPr>
              <w:t>2</w:t>
            </w:r>
          </w:p>
        </w:tc>
        <w:tc>
          <w:tcPr>
            <w:tcW w:w="1080" w:type="dxa"/>
            <w:tcBorders>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35" w:type="dxa"/>
            <w:gridSpan w:val="4"/>
            <w:tcBorders>
              <w:lef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644" w:type="dxa"/>
            <w:gridSpan w:val="7"/>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800" w:type="dxa"/>
            <w:gridSpan w:val="17"/>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三、部门（单位）整体支出绩效自评情况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91" w:hRule="atLeast"/>
          <w:jc w:val="center"/>
        </w:trPr>
        <w:tc>
          <w:tcPr>
            <w:tcW w:w="1441" w:type="dxa"/>
            <w:vMerge w:val="restart"/>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整体支出绩效定性目标及实施计划完成情况</w:t>
            </w:r>
          </w:p>
        </w:tc>
        <w:tc>
          <w:tcPr>
            <w:tcW w:w="3774" w:type="dxa"/>
            <w:gridSpan w:val="7"/>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预期目标</w:t>
            </w:r>
          </w:p>
        </w:tc>
        <w:tc>
          <w:tcPr>
            <w:tcW w:w="4585" w:type="dxa"/>
            <w:gridSpan w:val="9"/>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实际完成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72" w:hRule="atLeast"/>
          <w:jc w:val="center"/>
        </w:trPr>
        <w:tc>
          <w:tcPr>
            <w:tcW w:w="1441" w:type="dxa"/>
            <w:vMerge w:val="continue"/>
            <w:vAlign w:val="center"/>
          </w:tcPr>
          <w:p>
            <w:pPr>
              <w:widowControl/>
              <w:jc w:val="left"/>
              <w:rPr>
                <w:rFonts w:ascii="仿宋_GB2312" w:hAnsi="仿宋_GB2312" w:eastAsia="仿宋_GB2312" w:cs="仿宋_GB2312"/>
                <w:color w:val="000000"/>
                <w:sz w:val="24"/>
              </w:rPr>
            </w:pPr>
          </w:p>
        </w:tc>
        <w:tc>
          <w:tcPr>
            <w:tcW w:w="3774" w:type="dxa"/>
            <w:gridSpan w:val="7"/>
            <w:tcMar>
              <w:top w:w="0" w:type="dxa"/>
              <w:left w:w="15" w:type="dxa"/>
              <w:bottom w:w="0" w:type="dxa"/>
              <w:right w:w="15" w:type="dxa"/>
            </w:tcMar>
            <w:vAlign w:val="center"/>
          </w:tcPr>
          <w:p>
            <w:pPr>
              <w:autoSpaceDN w:val="0"/>
              <w:spacing w:line="40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目标</w:t>
            </w:r>
            <w:r>
              <w:rPr>
                <w:rFonts w:ascii="仿宋_GB2312" w:hAnsi="仿宋_GB2312" w:eastAsia="仿宋_GB2312" w:cs="仿宋_GB2312"/>
                <w:color w:val="000000"/>
                <w:sz w:val="24"/>
              </w:rPr>
              <w:t>1</w:t>
            </w:r>
            <w:r>
              <w:rPr>
                <w:rFonts w:hint="eastAsia" w:ascii="仿宋_GB2312" w:hAnsi="仿宋_GB2312" w:eastAsia="仿宋_GB2312" w:cs="仿宋_GB2312"/>
                <w:color w:val="000000"/>
                <w:sz w:val="24"/>
              </w:rPr>
              <w:t>：突出抓好对计划和预算的监督</w:t>
            </w:r>
          </w:p>
          <w:p>
            <w:pPr>
              <w:autoSpaceDN w:val="0"/>
              <w:spacing w:line="40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目标</w:t>
            </w:r>
            <w:r>
              <w:rPr>
                <w:rFonts w:ascii="仿宋_GB2312" w:hAnsi="仿宋_GB2312" w:eastAsia="仿宋_GB2312" w:cs="仿宋_GB2312"/>
                <w:color w:val="000000"/>
                <w:sz w:val="24"/>
              </w:rPr>
              <w:t>2</w:t>
            </w:r>
            <w:r>
              <w:rPr>
                <w:rFonts w:hint="eastAsia" w:ascii="仿宋_GB2312" w:hAnsi="仿宋_GB2312" w:eastAsia="仿宋_GB2312" w:cs="仿宋_GB2312"/>
                <w:color w:val="000000"/>
                <w:sz w:val="24"/>
              </w:rPr>
              <w:t>：加强对依法治县，对民生领域，对各项工作的监督</w:t>
            </w:r>
          </w:p>
          <w:p>
            <w:pPr>
              <w:autoSpaceDN w:val="0"/>
              <w:spacing w:line="40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目标</w:t>
            </w:r>
            <w:r>
              <w:rPr>
                <w:rFonts w:ascii="仿宋_GB2312" w:hAnsi="仿宋_GB2312" w:eastAsia="仿宋_GB2312" w:cs="仿宋_GB2312"/>
                <w:color w:val="000000"/>
                <w:sz w:val="24"/>
              </w:rPr>
              <w:t>3</w:t>
            </w:r>
            <w:r>
              <w:rPr>
                <w:rFonts w:hint="eastAsia" w:ascii="仿宋_GB2312" w:hAnsi="仿宋_GB2312" w:eastAsia="仿宋_GB2312" w:cs="仿宋_GB2312"/>
                <w:color w:val="000000"/>
                <w:sz w:val="24"/>
              </w:rPr>
              <w:t>：依法决定和监督重大事项</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目标</w:t>
            </w:r>
            <w:r>
              <w:rPr>
                <w:rFonts w:ascii="仿宋_GB2312" w:hAnsi="仿宋_GB2312" w:eastAsia="仿宋_GB2312" w:cs="仿宋_GB2312"/>
                <w:color w:val="000000"/>
                <w:sz w:val="24"/>
              </w:rPr>
              <w:t>4</w:t>
            </w:r>
            <w:r>
              <w:rPr>
                <w:rFonts w:hint="eastAsia" w:ascii="仿宋_GB2312" w:hAnsi="仿宋_GB2312" w:eastAsia="仿宋_GB2312" w:cs="仿宋_GB2312"/>
                <w:color w:val="000000"/>
                <w:sz w:val="24"/>
              </w:rPr>
              <w:t>：加大对议案，建设督办力度……</w:t>
            </w:r>
          </w:p>
        </w:tc>
        <w:tc>
          <w:tcPr>
            <w:tcW w:w="4585" w:type="dxa"/>
            <w:gridSpan w:val="9"/>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共任免政府组成部门负责人</w:t>
            </w:r>
            <w:r>
              <w:rPr>
                <w:rFonts w:ascii="仿宋_GB2312" w:hAnsi="仿宋_GB2312" w:eastAsia="仿宋_GB2312" w:cs="仿宋_GB2312"/>
                <w:color w:val="000000"/>
                <w:sz w:val="24"/>
              </w:rPr>
              <w:t>25</w:t>
            </w:r>
            <w:r>
              <w:rPr>
                <w:rFonts w:hint="eastAsia" w:ascii="仿宋_GB2312" w:hAnsi="仿宋_GB2312" w:eastAsia="仿宋_GB2312" w:cs="仿宋_GB2312"/>
                <w:color w:val="000000"/>
                <w:sz w:val="24"/>
              </w:rPr>
              <w:t>人次，任免监察委委员</w:t>
            </w:r>
            <w:r>
              <w:rPr>
                <w:rFonts w:ascii="仿宋_GB2312" w:hAnsi="仿宋_GB2312" w:eastAsia="仿宋_GB2312" w:cs="仿宋_GB2312"/>
                <w:color w:val="000000"/>
                <w:sz w:val="24"/>
              </w:rPr>
              <w:t>4</w:t>
            </w:r>
            <w:r>
              <w:rPr>
                <w:rFonts w:hint="eastAsia" w:ascii="仿宋_GB2312" w:hAnsi="仿宋_GB2312" w:eastAsia="仿宋_GB2312" w:cs="仿宋_GB2312"/>
                <w:color w:val="000000"/>
                <w:sz w:val="24"/>
              </w:rPr>
              <w:t>人次，任免“两院”工作人员</w:t>
            </w:r>
            <w:r>
              <w:rPr>
                <w:rFonts w:ascii="仿宋_GB2312" w:hAnsi="仿宋_GB2312" w:eastAsia="仿宋_GB2312" w:cs="仿宋_GB2312"/>
                <w:color w:val="000000"/>
                <w:sz w:val="24"/>
              </w:rPr>
              <w:t>28</w:t>
            </w:r>
            <w:r>
              <w:rPr>
                <w:rFonts w:hint="eastAsia" w:ascii="仿宋_GB2312" w:hAnsi="仿宋_GB2312" w:eastAsia="仿宋_GB2312" w:cs="仿宋_GB2312"/>
                <w:color w:val="000000"/>
                <w:sz w:val="24"/>
              </w:rPr>
              <w:t>人次，任免常委会机关工作人员</w:t>
            </w:r>
            <w:r>
              <w:rPr>
                <w:rFonts w:ascii="仿宋_GB2312" w:hAnsi="仿宋_GB2312" w:eastAsia="仿宋_GB2312" w:cs="仿宋_GB2312"/>
                <w:color w:val="000000"/>
                <w:sz w:val="24"/>
              </w:rPr>
              <w:t>5</w:t>
            </w:r>
            <w:r>
              <w:rPr>
                <w:rFonts w:hint="eastAsia" w:ascii="仿宋_GB2312" w:hAnsi="仿宋_GB2312" w:eastAsia="仿宋_GB2312" w:cs="仿宋_GB2312"/>
                <w:color w:val="000000"/>
                <w:sz w:val="24"/>
              </w:rPr>
              <w:t>人次，实现了党委意图与人民意志的有机结合。紧紧围绕全县工作大局，守正创新，依法履职，为岳阳县经济社会发展和民主法治建设做出了新的贡献。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441" w:type="dxa"/>
            <w:vMerge w:val="restart"/>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整体支出</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绩效定量目标及实施计划完成情况</w:t>
            </w:r>
          </w:p>
        </w:tc>
        <w:tc>
          <w:tcPr>
            <w:tcW w:w="2966" w:type="dxa"/>
            <w:gridSpan w:val="6"/>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评价内容</w:t>
            </w:r>
          </w:p>
        </w:tc>
        <w:tc>
          <w:tcPr>
            <w:tcW w:w="2709" w:type="dxa"/>
            <w:gridSpan w:val="4"/>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绩效目标</w:t>
            </w:r>
          </w:p>
        </w:tc>
        <w:tc>
          <w:tcPr>
            <w:tcW w:w="2684" w:type="dxa"/>
            <w:gridSpan w:val="6"/>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vAlign w:val="center"/>
          </w:tcPr>
          <w:p>
            <w:pPr>
              <w:widowControl/>
              <w:jc w:val="left"/>
              <w:rPr>
                <w:rFonts w:ascii="仿宋_GB2312" w:hAnsi="仿宋_GB2312" w:eastAsia="仿宋_GB2312" w:cs="仿宋_GB2312"/>
                <w:color w:val="000000"/>
                <w:sz w:val="24"/>
              </w:rPr>
            </w:pPr>
          </w:p>
        </w:tc>
        <w:tc>
          <w:tcPr>
            <w:tcW w:w="1549" w:type="dxa"/>
            <w:gridSpan w:val="4"/>
            <w:vMerge w:val="restart"/>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产出目标</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（部门工作实绩，包含上级部门和市委市政府布置的重点工作、实事任务等，根据部门实际进行调整细化）</w:t>
            </w:r>
          </w:p>
        </w:tc>
        <w:tc>
          <w:tcPr>
            <w:tcW w:w="1417" w:type="dxa"/>
            <w:gridSpan w:val="2"/>
            <w:vMerge w:val="restart"/>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质量指标</w:t>
            </w:r>
          </w:p>
        </w:tc>
        <w:tc>
          <w:tcPr>
            <w:tcW w:w="2709" w:type="dxa"/>
            <w:gridSpan w:val="4"/>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人大代表提案回复率</w:t>
            </w:r>
            <w:r>
              <w:rPr>
                <w:rFonts w:ascii="仿宋_GB2312" w:hAnsi="仿宋_GB2312" w:eastAsia="仿宋_GB2312" w:cs="仿宋_GB2312"/>
                <w:color w:val="000000"/>
                <w:sz w:val="24"/>
              </w:rPr>
              <w:t>100%</w:t>
            </w:r>
          </w:p>
        </w:tc>
        <w:tc>
          <w:tcPr>
            <w:tcW w:w="2684" w:type="dxa"/>
            <w:gridSpan w:val="6"/>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vAlign w:val="center"/>
          </w:tcPr>
          <w:p>
            <w:pPr>
              <w:widowControl/>
              <w:jc w:val="left"/>
              <w:rPr>
                <w:rFonts w:ascii="仿宋_GB2312" w:hAnsi="仿宋_GB2312" w:eastAsia="仿宋_GB2312" w:cs="仿宋_GB2312"/>
                <w:color w:val="000000"/>
                <w:sz w:val="24"/>
              </w:rPr>
            </w:pPr>
          </w:p>
        </w:tc>
        <w:tc>
          <w:tcPr>
            <w:tcW w:w="1549" w:type="dxa"/>
            <w:gridSpan w:val="4"/>
            <w:vMerge w:val="continue"/>
            <w:vAlign w:val="center"/>
          </w:tcPr>
          <w:p>
            <w:pPr>
              <w:widowControl/>
              <w:jc w:val="left"/>
              <w:rPr>
                <w:rFonts w:ascii="仿宋_GB2312" w:hAnsi="仿宋_GB2312" w:eastAsia="仿宋_GB2312" w:cs="仿宋_GB2312"/>
                <w:color w:val="000000"/>
                <w:sz w:val="24"/>
              </w:rPr>
            </w:pPr>
          </w:p>
        </w:tc>
        <w:tc>
          <w:tcPr>
            <w:tcW w:w="1417" w:type="dxa"/>
            <w:gridSpan w:val="2"/>
            <w:vMerge w:val="continue"/>
            <w:vAlign w:val="center"/>
          </w:tcPr>
          <w:p>
            <w:pPr>
              <w:widowControl/>
              <w:jc w:val="left"/>
              <w:rPr>
                <w:rFonts w:ascii="仿宋_GB2312" w:hAnsi="仿宋_GB2312" w:eastAsia="仿宋_GB2312" w:cs="仿宋_GB2312"/>
                <w:color w:val="000000"/>
                <w:sz w:val="24"/>
              </w:rPr>
            </w:pPr>
          </w:p>
        </w:tc>
        <w:tc>
          <w:tcPr>
            <w:tcW w:w="2709" w:type="dxa"/>
            <w:gridSpan w:val="4"/>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“三公经费”变动率≤</w:t>
            </w:r>
            <w:r>
              <w:rPr>
                <w:rFonts w:ascii="仿宋_GB2312" w:hAnsi="仿宋_GB2312" w:eastAsia="仿宋_GB2312" w:cs="仿宋_GB2312"/>
                <w:color w:val="000000"/>
                <w:sz w:val="24"/>
              </w:rPr>
              <w:t>0</w:t>
            </w:r>
          </w:p>
        </w:tc>
        <w:tc>
          <w:tcPr>
            <w:tcW w:w="2684" w:type="dxa"/>
            <w:gridSpan w:val="6"/>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w:t>
            </w:r>
            <w:r>
              <w:rPr>
                <w:rFonts w:ascii="仿宋_GB2312" w:hAnsi="仿宋_GB2312" w:eastAsia="仿宋_GB2312" w:cs="仿宋_GB2312"/>
                <w:color w:val="000000"/>
                <w:sz w:val="24"/>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vAlign w:val="center"/>
          </w:tcPr>
          <w:p>
            <w:pPr>
              <w:widowControl/>
              <w:jc w:val="left"/>
              <w:rPr>
                <w:rFonts w:ascii="仿宋_GB2312" w:hAnsi="仿宋_GB2312" w:eastAsia="仿宋_GB2312" w:cs="仿宋_GB2312"/>
                <w:color w:val="000000"/>
                <w:sz w:val="24"/>
              </w:rPr>
            </w:pPr>
          </w:p>
        </w:tc>
        <w:tc>
          <w:tcPr>
            <w:tcW w:w="1549" w:type="dxa"/>
            <w:gridSpan w:val="4"/>
            <w:vMerge w:val="continue"/>
            <w:vAlign w:val="center"/>
          </w:tcPr>
          <w:p>
            <w:pPr>
              <w:widowControl/>
              <w:jc w:val="left"/>
              <w:rPr>
                <w:rFonts w:ascii="仿宋_GB2312" w:hAnsi="仿宋_GB2312" w:eastAsia="仿宋_GB2312" w:cs="仿宋_GB2312"/>
                <w:color w:val="000000"/>
                <w:sz w:val="24"/>
              </w:rPr>
            </w:pPr>
          </w:p>
        </w:tc>
        <w:tc>
          <w:tcPr>
            <w:tcW w:w="1417" w:type="dxa"/>
            <w:gridSpan w:val="2"/>
            <w:vMerge w:val="continue"/>
            <w:vAlign w:val="center"/>
          </w:tcPr>
          <w:p>
            <w:pPr>
              <w:widowControl/>
              <w:jc w:val="left"/>
              <w:rPr>
                <w:rFonts w:ascii="仿宋_GB2312" w:hAnsi="仿宋_GB2312" w:eastAsia="仿宋_GB2312" w:cs="仿宋_GB2312"/>
                <w:color w:val="000000"/>
                <w:sz w:val="24"/>
              </w:rPr>
            </w:pPr>
          </w:p>
        </w:tc>
        <w:tc>
          <w:tcPr>
            <w:tcW w:w="2709" w:type="dxa"/>
            <w:gridSpan w:val="4"/>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2684" w:type="dxa"/>
            <w:gridSpan w:val="6"/>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vAlign w:val="center"/>
          </w:tcPr>
          <w:p>
            <w:pPr>
              <w:widowControl/>
              <w:jc w:val="left"/>
              <w:rPr>
                <w:rFonts w:ascii="仿宋_GB2312" w:hAnsi="仿宋_GB2312" w:eastAsia="仿宋_GB2312" w:cs="仿宋_GB2312"/>
                <w:color w:val="000000"/>
                <w:sz w:val="24"/>
              </w:rPr>
            </w:pPr>
          </w:p>
        </w:tc>
        <w:tc>
          <w:tcPr>
            <w:tcW w:w="1549" w:type="dxa"/>
            <w:gridSpan w:val="4"/>
            <w:vMerge w:val="continue"/>
            <w:vAlign w:val="center"/>
          </w:tcPr>
          <w:p>
            <w:pPr>
              <w:widowControl/>
              <w:jc w:val="left"/>
              <w:rPr>
                <w:rFonts w:ascii="仿宋_GB2312" w:hAnsi="仿宋_GB2312" w:eastAsia="仿宋_GB2312" w:cs="仿宋_GB2312"/>
                <w:color w:val="000000"/>
                <w:sz w:val="24"/>
              </w:rPr>
            </w:pPr>
          </w:p>
        </w:tc>
        <w:tc>
          <w:tcPr>
            <w:tcW w:w="1417" w:type="dxa"/>
            <w:gridSpan w:val="2"/>
            <w:vMerge w:val="restart"/>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数量指标</w:t>
            </w:r>
          </w:p>
        </w:tc>
        <w:tc>
          <w:tcPr>
            <w:tcW w:w="2709" w:type="dxa"/>
            <w:gridSpan w:val="4"/>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专项调研</w:t>
            </w:r>
            <w:r>
              <w:rPr>
                <w:rFonts w:ascii="仿宋_GB2312" w:hAnsi="仿宋_GB2312" w:eastAsia="仿宋_GB2312" w:cs="仿宋_GB2312"/>
                <w:color w:val="000000"/>
                <w:sz w:val="24"/>
              </w:rPr>
              <w:t>6</w:t>
            </w:r>
            <w:r>
              <w:rPr>
                <w:rFonts w:hint="eastAsia" w:ascii="仿宋_GB2312" w:hAnsi="仿宋_GB2312" w:eastAsia="仿宋_GB2312" w:cs="仿宋_GB2312"/>
                <w:color w:val="000000"/>
                <w:sz w:val="24"/>
              </w:rPr>
              <w:t>次以上</w:t>
            </w:r>
          </w:p>
        </w:tc>
        <w:tc>
          <w:tcPr>
            <w:tcW w:w="2684" w:type="dxa"/>
            <w:gridSpan w:val="6"/>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b/>
                <w:color w:val="000000"/>
                <w:sz w:val="24"/>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1" w:hRule="atLeast"/>
          <w:jc w:val="center"/>
        </w:trPr>
        <w:tc>
          <w:tcPr>
            <w:tcW w:w="1441" w:type="dxa"/>
            <w:vMerge w:val="continue"/>
            <w:vAlign w:val="center"/>
          </w:tcPr>
          <w:p>
            <w:pPr>
              <w:widowControl/>
              <w:jc w:val="left"/>
              <w:rPr>
                <w:rFonts w:ascii="仿宋_GB2312" w:hAnsi="仿宋_GB2312" w:eastAsia="仿宋_GB2312" w:cs="仿宋_GB2312"/>
                <w:color w:val="000000"/>
                <w:sz w:val="24"/>
              </w:rPr>
            </w:pPr>
          </w:p>
        </w:tc>
        <w:tc>
          <w:tcPr>
            <w:tcW w:w="1549" w:type="dxa"/>
            <w:gridSpan w:val="4"/>
            <w:vMerge w:val="continue"/>
            <w:vAlign w:val="center"/>
          </w:tcPr>
          <w:p>
            <w:pPr>
              <w:widowControl/>
              <w:jc w:val="left"/>
              <w:rPr>
                <w:rFonts w:ascii="仿宋_GB2312" w:hAnsi="仿宋_GB2312" w:eastAsia="仿宋_GB2312" w:cs="仿宋_GB2312"/>
                <w:color w:val="000000"/>
                <w:sz w:val="24"/>
              </w:rPr>
            </w:pPr>
          </w:p>
        </w:tc>
        <w:tc>
          <w:tcPr>
            <w:tcW w:w="1417" w:type="dxa"/>
            <w:gridSpan w:val="2"/>
            <w:vMerge w:val="continue"/>
            <w:vAlign w:val="center"/>
          </w:tcPr>
          <w:p>
            <w:pPr>
              <w:widowControl/>
              <w:jc w:val="left"/>
              <w:rPr>
                <w:rFonts w:ascii="仿宋_GB2312" w:hAnsi="仿宋_GB2312" w:eastAsia="仿宋_GB2312" w:cs="仿宋_GB2312"/>
                <w:color w:val="000000"/>
                <w:sz w:val="24"/>
              </w:rPr>
            </w:pPr>
          </w:p>
        </w:tc>
        <w:tc>
          <w:tcPr>
            <w:tcW w:w="2709" w:type="dxa"/>
            <w:gridSpan w:val="4"/>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视察评议</w:t>
            </w:r>
            <w:r>
              <w:rPr>
                <w:rFonts w:ascii="仿宋_GB2312" w:hAnsi="仿宋_GB2312" w:eastAsia="仿宋_GB2312" w:cs="仿宋_GB2312"/>
                <w:color w:val="000000"/>
                <w:sz w:val="24"/>
              </w:rPr>
              <w:t>2</w:t>
            </w:r>
            <w:r>
              <w:rPr>
                <w:rFonts w:hint="eastAsia" w:ascii="仿宋_GB2312" w:hAnsi="仿宋_GB2312" w:eastAsia="仿宋_GB2312" w:cs="仿宋_GB2312"/>
                <w:color w:val="000000"/>
                <w:sz w:val="24"/>
              </w:rPr>
              <w:t>次以上</w:t>
            </w:r>
          </w:p>
        </w:tc>
        <w:tc>
          <w:tcPr>
            <w:tcW w:w="2684" w:type="dxa"/>
            <w:gridSpan w:val="6"/>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b/>
                <w:color w:val="000000"/>
                <w:sz w:val="24"/>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1" w:hRule="atLeast"/>
          <w:jc w:val="center"/>
        </w:trPr>
        <w:tc>
          <w:tcPr>
            <w:tcW w:w="1441" w:type="dxa"/>
            <w:vMerge w:val="continue"/>
            <w:vAlign w:val="center"/>
          </w:tcPr>
          <w:p>
            <w:pPr>
              <w:widowControl/>
              <w:jc w:val="left"/>
              <w:rPr>
                <w:rFonts w:ascii="仿宋_GB2312" w:hAnsi="仿宋_GB2312" w:eastAsia="仿宋_GB2312" w:cs="仿宋_GB2312"/>
                <w:color w:val="000000"/>
                <w:sz w:val="24"/>
              </w:rPr>
            </w:pPr>
          </w:p>
        </w:tc>
        <w:tc>
          <w:tcPr>
            <w:tcW w:w="1549" w:type="dxa"/>
            <w:gridSpan w:val="4"/>
            <w:vMerge w:val="continue"/>
            <w:vAlign w:val="center"/>
          </w:tcPr>
          <w:p>
            <w:pPr>
              <w:widowControl/>
              <w:jc w:val="left"/>
              <w:rPr>
                <w:rFonts w:ascii="仿宋_GB2312" w:hAnsi="仿宋_GB2312" w:eastAsia="仿宋_GB2312" w:cs="仿宋_GB2312"/>
                <w:color w:val="000000"/>
                <w:sz w:val="24"/>
              </w:rPr>
            </w:pPr>
          </w:p>
        </w:tc>
        <w:tc>
          <w:tcPr>
            <w:tcW w:w="1417" w:type="dxa"/>
            <w:gridSpan w:val="2"/>
            <w:vMerge w:val="continue"/>
            <w:vAlign w:val="center"/>
          </w:tcPr>
          <w:p>
            <w:pPr>
              <w:widowControl/>
              <w:jc w:val="left"/>
              <w:rPr>
                <w:rFonts w:ascii="仿宋_GB2312" w:hAnsi="仿宋_GB2312" w:eastAsia="仿宋_GB2312" w:cs="仿宋_GB2312"/>
                <w:color w:val="000000"/>
                <w:sz w:val="24"/>
              </w:rPr>
            </w:pPr>
          </w:p>
        </w:tc>
        <w:tc>
          <w:tcPr>
            <w:tcW w:w="2709" w:type="dxa"/>
            <w:gridSpan w:val="4"/>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2684" w:type="dxa"/>
            <w:gridSpan w:val="6"/>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vAlign w:val="center"/>
          </w:tcPr>
          <w:p>
            <w:pPr>
              <w:widowControl/>
              <w:jc w:val="left"/>
              <w:rPr>
                <w:rFonts w:ascii="仿宋_GB2312" w:hAnsi="仿宋_GB2312" w:eastAsia="仿宋_GB2312" w:cs="仿宋_GB2312"/>
                <w:color w:val="000000"/>
                <w:sz w:val="24"/>
              </w:rPr>
            </w:pPr>
          </w:p>
        </w:tc>
        <w:tc>
          <w:tcPr>
            <w:tcW w:w="1549" w:type="dxa"/>
            <w:gridSpan w:val="4"/>
            <w:vMerge w:val="continue"/>
            <w:vAlign w:val="center"/>
          </w:tcPr>
          <w:p>
            <w:pPr>
              <w:widowControl/>
              <w:jc w:val="left"/>
              <w:rPr>
                <w:rFonts w:ascii="仿宋_GB2312" w:hAnsi="仿宋_GB2312" w:eastAsia="仿宋_GB2312" w:cs="仿宋_GB2312"/>
                <w:color w:val="000000"/>
                <w:sz w:val="24"/>
              </w:rPr>
            </w:pPr>
          </w:p>
        </w:tc>
        <w:tc>
          <w:tcPr>
            <w:tcW w:w="1417" w:type="dxa"/>
            <w:gridSpan w:val="2"/>
            <w:vMerge w:val="restart"/>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时效指标</w:t>
            </w:r>
          </w:p>
        </w:tc>
        <w:tc>
          <w:tcPr>
            <w:tcW w:w="2709" w:type="dxa"/>
            <w:gridSpan w:val="4"/>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专项调研</w:t>
            </w:r>
            <w:r>
              <w:rPr>
                <w:rFonts w:ascii="仿宋_GB2312" w:hAnsi="仿宋_GB2312" w:eastAsia="仿宋_GB2312" w:cs="仿宋_GB2312"/>
                <w:color w:val="000000"/>
                <w:sz w:val="24"/>
              </w:rPr>
              <w:t>6</w:t>
            </w:r>
            <w:r>
              <w:rPr>
                <w:rFonts w:hint="eastAsia" w:ascii="仿宋_GB2312" w:hAnsi="仿宋_GB2312" w:eastAsia="仿宋_GB2312" w:cs="仿宋_GB2312"/>
                <w:color w:val="000000"/>
                <w:sz w:val="24"/>
              </w:rPr>
              <w:t>次以上</w:t>
            </w:r>
          </w:p>
        </w:tc>
        <w:tc>
          <w:tcPr>
            <w:tcW w:w="2684" w:type="dxa"/>
            <w:gridSpan w:val="6"/>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b/>
                <w:color w:val="000000"/>
                <w:sz w:val="24"/>
              </w:rPr>
              <w:t>已如质如量完成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vAlign w:val="center"/>
          </w:tcPr>
          <w:p>
            <w:pPr>
              <w:widowControl/>
              <w:jc w:val="left"/>
              <w:rPr>
                <w:rFonts w:ascii="仿宋_GB2312" w:hAnsi="仿宋_GB2312" w:eastAsia="仿宋_GB2312" w:cs="仿宋_GB2312"/>
                <w:color w:val="000000"/>
                <w:sz w:val="24"/>
              </w:rPr>
            </w:pPr>
          </w:p>
        </w:tc>
        <w:tc>
          <w:tcPr>
            <w:tcW w:w="1549" w:type="dxa"/>
            <w:gridSpan w:val="4"/>
            <w:vMerge w:val="continue"/>
            <w:vAlign w:val="center"/>
          </w:tcPr>
          <w:p>
            <w:pPr>
              <w:widowControl/>
              <w:jc w:val="left"/>
              <w:rPr>
                <w:rFonts w:ascii="仿宋_GB2312" w:hAnsi="仿宋_GB2312" w:eastAsia="仿宋_GB2312" w:cs="仿宋_GB2312"/>
                <w:color w:val="000000"/>
                <w:sz w:val="24"/>
              </w:rPr>
            </w:pPr>
          </w:p>
        </w:tc>
        <w:tc>
          <w:tcPr>
            <w:tcW w:w="1417" w:type="dxa"/>
            <w:gridSpan w:val="2"/>
            <w:vMerge w:val="continue"/>
            <w:vAlign w:val="center"/>
          </w:tcPr>
          <w:p>
            <w:pPr>
              <w:widowControl/>
              <w:jc w:val="left"/>
              <w:rPr>
                <w:rFonts w:ascii="仿宋_GB2312" w:hAnsi="仿宋_GB2312" w:eastAsia="仿宋_GB2312" w:cs="仿宋_GB2312"/>
                <w:color w:val="000000"/>
                <w:sz w:val="24"/>
              </w:rPr>
            </w:pPr>
          </w:p>
        </w:tc>
        <w:tc>
          <w:tcPr>
            <w:tcW w:w="2709" w:type="dxa"/>
            <w:gridSpan w:val="4"/>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w:t>
            </w:r>
            <w:r>
              <w:rPr>
                <w:rFonts w:ascii="仿宋_GB2312" w:hAnsi="仿宋_GB2312" w:eastAsia="仿宋_GB2312" w:cs="仿宋_GB2312"/>
                <w:color w:val="000000"/>
                <w:sz w:val="24"/>
              </w:rPr>
              <w:t>2</w:t>
            </w:r>
            <w:r>
              <w:rPr>
                <w:rFonts w:hint="eastAsia" w:ascii="仿宋_GB2312" w:hAnsi="仿宋_GB2312" w:eastAsia="仿宋_GB2312" w:cs="仿宋_GB2312"/>
                <w:color w:val="000000"/>
                <w:sz w:val="24"/>
              </w:rPr>
              <w:t>：</w:t>
            </w:r>
          </w:p>
        </w:tc>
        <w:tc>
          <w:tcPr>
            <w:tcW w:w="2684" w:type="dxa"/>
            <w:gridSpan w:val="6"/>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vAlign w:val="center"/>
          </w:tcPr>
          <w:p>
            <w:pPr>
              <w:widowControl/>
              <w:jc w:val="left"/>
              <w:rPr>
                <w:rFonts w:ascii="仿宋_GB2312" w:hAnsi="仿宋_GB2312" w:eastAsia="仿宋_GB2312" w:cs="仿宋_GB2312"/>
                <w:color w:val="000000"/>
                <w:sz w:val="24"/>
              </w:rPr>
            </w:pPr>
          </w:p>
        </w:tc>
        <w:tc>
          <w:tcPr>
            <w:tcW w:w="1549" w:type="dxa"/>
            <w:gridSpan w:val="4"/>
            <w:vMerge w:val="continue"/>
            <w:vAlign w:val="center"/>
          </w:tcPr>
          <w:p>
            <w:pPr>
              <w:widowControl/>
              <w:jc w:val="left"/>
              <w:rPr>
                <w:rFonts w:ascii="仿宋_GB2312" w:hAnsi="仿宋_GB2312" w:eastAsia="仿宋_GB2312" w:cs="仿宋_GB2312"/>
                <w:color w:val="000000"/>
                <w:sz w:val="24"/>
              </w:rPr>
            </w:pPr>
          </w:p>
        </w:tc>
        <w:tc>
          <w:tcPr>
            <w:tcW w:w="1417" w:type="dxa"/>
            <w:gridSpan w:val="2"/>
            <w:vMerge w:val="continue"/>
            <w:vAlign w:val="center"/>
          </w:tcPr>
          <w:p>
            <w:pPr>
              <w:widowControl/>
              <w:jc w:val="left"/>
              <w:rPr>
                <w:rFonts w:ascii="仿宋_GB2312" w:hAnsi="仿宋_GB2312" w:eastAsia="仿宋_GB2312" w:cs="仿宋_GB2312"/>
                <w:color w:val="000000"/>
                <w:sz w:val="24"/>
              </w:rPr>
            </w:pPr>
          </w:p>
        </w:tc>
        <w:tc>
          <w:tcPr>
            <w:tcW w:w="2709" w:type="dxa"/>
            <w:gridSpan w:val="4"/>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2684" w:type="dxa"/>
            <w:gridSpan w:val="6"/>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vAlign w:val="center"/>
          </w:tcPr>
          <w:p>
            <w:pPr>
              <w:widowControl/>
              <w:jc w:val="left"/>
              <w:rPr>
                <w:rFonts w:ascii="仿宋_GB2312" w:hAnsi="仿宋_GB2312" w:eastAsia="仿宋_GB2312" w:cs="仿宋_GB2312"/>
                <w:color w:val="000000"/>
                <w:sz w:val="24"/>
              </w:rPr>
            </w:pPr>
          </w:p>
        </w:tc>
        <w:tc>
          <w:tcPr>
            <w:tcW w:w="1549" w:type="dxa"/>
            <w:gridSpan w:val="4"/>
            <w:vMerge w:val="continue"/>
            <w:vAlign w:val="center"/>
          </w:tcPr>
          <w:p>
            <w:pPr>
              <w:widowControl/>
              <w:jc w:val="left"/>
              <w:rPr>
                <w:rFonts w:ascii="仿宋_GB2312" w:hAnsi="仿宋_GB2312" w:eastAsia="仿宋_GB2312" w:cs="仿宋_GB2312"/>
                <w:color w:val="000000"/>
                <w:sz w:val="24"/>
              </w:rPr>
            </w:pPr>
          </w:p>
        </w:tc>
        <w:tc>
          <w:tcPr>
            <w:tcW w:w="1417" w:type="dxa"/>
            <w:gridSpan w:val="2"/>
            <w:vMerge w:val="restart"/>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成本指标</w:t>
            </w:r>
          </w:p>
        </w:tc>
        <w:tc>
          <w:tcPr>
            <w:tcW w:w="2709" w:type="dxa"/>
            <w:gridSpan w:val="4"/>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全年财政整体支出</w:t>
            </w:r>
            <w:r>
              <w:rPr>
                <w:rFonts w:ascii="仿宋_GB2312" w:hAnsi="仿宋_GB2312" w:eastAsia="仿宋_GB2312" w:cs="仿宋_GB2312"/>
                <w:color w:val="000000"/>
                <w:sz w:val="24"/>
              </w:rPr>
              <w:t>1326.17</w:t>
            </w:r>
            <w:r>
              <w:rPr>
                <w:rFonts w:hint="eastAsia" w:ascii="仿宋_GB2312" w:hAnsi="仿宋_GB2312" w:eastAsia="仿宋_GB2312" w:cs="仿宋_GB2312"/>
                <w:color w:val="000000"/>
                <w:sz w:val="24"/>
              </w:rPr>
              <w:t>万元</w:t>
            </w:r>
          </w:p>
        </w:tc>
        <w:tc>
          <w:tcPr>
            <w:tcW w:w="2684" w:type="dxa"/>
            <w:gridSpan w:val="6"/>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000000"/>
                <w:sz w:val="24"/>
              </w:rPr>
            </w:pPr>
            <w:r>
              <w:rPr>
                <w:rFonts w:ascii="仿宋_GB2312" w:hAnsi="仿宋_GB2312" w:eastAsia="仿宋_GB2312" w:cs="仿宋_GB2312"/>
                <w:color w:val="000000"/>
                <w:sz w:val="24"/>
              </w:rPr>
              <w:t>1155.87</w:t>
            </w:r>
            <w:r>
              <w:rPr>
                <w:rFonts w:hint="eastAsia" w:ascii="仿宋_GB2312" w:hAnsi="仿宋_GB2312" w:eastAsia="仿宋_GB2312" w:cs="仿宋_GB2312"/>
                <w:color w:val="000000"/>
                <w:sz w:val="24"/>
              </w:rPr>
              <w:t>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vAlign w:val="center"/>
          </w:tcPr>
          <w:p>
            <w:pPr>
              <w:widowControl/>
              <w:jc w:val="left"/>
              <w:rPr>
                <w:rFonts w:ascii="仿宋_GB2312" w:hAnsi="仿宋_GB2312" w:eastAsia="仿宋_GB2312" w:cs="仿宋_GB2312"/>
                <w:color w:val="000000"/>
                <w:sz w:val="24"/>
              </w:rPr>
            </w:pPr>
          </w:p>
        </w:tc>
        <w:tc>
          <w:tcPr>
            <w:tcW w:w="1549" w:type="dxa"/>
            <w:gridSpan w:val="4"/>
            <w:vMerge w:val="continue"/>
            <w:vAlign w:val="center"/>
          </w:tcPr>
          <w:p>
            <w:pPr>
              <w:widowControl/>
              <w:jc w:val="left"/>
              <w:rPr>
                <w:rFonts w:ascii="仿宋_GB2312" w:hAnsi="仿宋_GB2312" w:eastAsia="仿宋_GB2312" w:cs="仿宋_GB2312"/>
                <w:color w:val="000000"/>
                <w:sz w:val="24"/>
              </w:rPr>
            </w:pPr>
          </w:p>
        </w:tc>
        <w:tc>
          <w:tcPr>
            <w:tcW w:w="1417" w:type="dxa"/>
            <w:gridSpan w:val="2"/>
            <w:vMerge w:val="continue"/>
            <w:vAlign w:val="center"/>
          </w:tcPr>
          <w:p>
            <w:pPr>
              <w:widowControl/>
              <w:jc w:val="left"/>
              <w:rPr>
                <w:rFonts w:ascii="仿宋_GB2312" w:hAnsi="仿宋_GB2312" w:eastAsia="仿宋_GB2312" w:cs="仿宋_GB2312"/>
                <w:color w:val="000000"/>
                <w:sz w:val="24"/>
              </w:rPr>
            </w:pPr>
          </w:p>
        </w:tc>
        <w:tc>
          <w:tcPr>
            <w:tcW w:w="2709" w:type="dxa"/>
            <w:gridSpan w:val="4"/>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w:t>
            </w:r>
            <w:r>
              <w:rPr>
                <w:rFonts w:ascii="仿宋_GB2312" w:hAnsi="仿宋_GB2312" w:eastAsia="仿宋_GB2312" w:cs="仿宋_GB2312"/>
                <w:color w:val="000000"/>
                <w:sz w:val="24"/>
              </w:rPr>
              <w:t>2</w:t>
            </w:r>
            <w:r>
              <w:rPr>
                <w:rFonts w:hint="eastAsia" w:ascii="仿宋_GB2312" w:hAnsi="仿宋_GB2312" w:eastAsia="仿宋_GB2312" w:cs="仿宋_GB2312"/>
                <w:color w:val="000000"/>
                <w:sz w:val="24"/>
              </w:rPr>
              <w:t>：</w:t>
            </w:r>
          </w:p>
        </w:tc>
        <w:tc>
          <w:tcPr>
            <w:tcW w:w="2684" w:type="dxa"/>
            <w:gridSpan w:val="6"/>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vAlign w:val="center"/>
          </w:tcPr>
          <w:p>
            <w:pPr>
              <w:widowControl/>
              <w:jc w:val="left"/>
              <w:rPr>
                <w:rFonts w:ascii="仿宋_GB2312" w:hAnsi="仿宋_GB2312" w:eastAsia="仿宋_GB2312" w:cs="仿宋_GB2312"/>
                <w:color w:val="000000"/>
                <w:sz w:val="24"/>
              </w:rPr>
            </w:pPr>
          </w:p>
        </w:tc>
        <w:tc>
          <w:tcPr>
            <w:tcW w:w="1549" w:type="dxa"/>
            <w:gridSpan w:val="4"/>
            <w:vMerge w:val="continue"/>
            <w:vAlign w:val="center"/>
          </w:tcPr>
          <w:p>
            <w:pPr>
              <w:widowControl/>
              <w:jc w:val="left"/>
              <w:rPr>
                <w:rFonts w:ascii="仿宋_GB2312" w:hAnsi="仿宋_GB2312" w:eastAsia="仿宋_GB2312" w:cs="仿宋_GB2312"/>
                <w:color w:val="000000"/>
                <w:sz w:val="24"/>
              </w:rPr>
            </w:pPr>
          </w:p>
        </w:tc>
        <w:tc>
          <w:tcPr>
            <w:tcW w:w="1417" w:type="dxa"/>
            <w:gridSpan w:val="2"/>
            <w:vMerge w:val="continue"/>
            <w:vAlign w:val="center"/>
          </w:tcPr>
          <w:p>
            <w:pPr>
              <w:widowControl/>
              <w:jc w:val="left"/>
              <w:rPr>
                <w:rFonts w:ascii="仿宋_GB2312" w:hAnsi="仿宋_GB2312" w:eastAsia="仿宋_GB2312" w:cs="仿宋_GB2312"/>
                <w:color w:val="000000"/>
                <w:sz w:val="24"/>
              </w:rPr>
            </w:pPr>
          </w:p>
        </w:tc>
        <w:tc>
          <w:tcPr>
            <w:tcW w:w="2709" w:type="dxa"/>
            <w:gridSpan w:val="4"/>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2684" w:type="dxa"/>
            <w:gridSpan w:val="6"/>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vAlign w:val="center"/>
          </w:tcPr>
          <w:p>
            <w:pPr>
              <w:widowControl/>
              <w:jc w:val="left"/>
              <w:rPr>
                <w:rFonts w:ascii="仿宋_GB2312" w:hAnsi="仿宋_GB2312" w:eastAsia="仿宋_GB2312" w:cs="仿宋_GB2312"/>
                <w:color w:val="000000"/>
                <w:sz w:val="24"/>
              </w:rPr>
            </w:pPr>
          </w:p>
        </w:tc>
        <w:tc>
          <w:tcPr>
            <w:tcW w:w="1549" w:type="dxa"/>
            <w:gridSpan w:val="4"/>
            <w:vMerge w:val="restart"/>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效益目标</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（预期实现的效益）</w:t>
            </w:r>
          </w:p>
        </w:tc>
        <w:tc>
          <w:tcPr>
            <w:tcW w:w="1417"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社会效益</w:t>
            </w:r>
          </w:p>
        </w:tc>
        <w:tc>
          <w:tcPr>
            <w:tcW w:w="2709" w:type="dxa"/>
            <w:gridSpan w:val="4"/>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w:t>
            </w:r>
            <w:r>
              <w:rPr>
                <w:rFonts w:ascii="仿宋_GB2312" w:hAnsi="仿宋_GB2312" w:eastAsia="仿宋_GB2312" w:cs="仿宋_GB2312"/>
                <w:color w:val="000000"/>
                <w:sz w:val="24"/>
              </w:rPr>
              <w:t>1</w:t>
            </w:r>
            <w:r>
              <w:rPr>
                <w:rFonts w:hint="eastAsia" w:ascii="仿宋_GB2312" w:hAnsi="仿宋_GB2312" w:eastAsia="仿宋_GB2312" w:cs="仿宋_GB2312"/>
                <w:color w:val="000000"/>
                <w:sz w:val="24"/>
              </w:rPr>
              <w:t>：</w:t>
            </w:r>
            <w:r>
              <w:rPr>
                <w:rFonts w:hint="eastAsia" w:ascii="仿宋_GB2312" w:hAnsi="仿宋_GB2312" w:eastAsia="仿宋_GB2312" w:cs="仿宋_GB2312"/>
                <w:color w:val="000000"/>
                <w:szCs w:val="21"/>
              </w:rPr>
              <w:t>通过办理提案等收集社情民意</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w:t>
            </w:r>
            <w:r>
              <w:rPr>
                <w:rFonts w:ascii="仿宋_GB2312" w:hAnsi="仿宋_GB2312" w:eastAsia="仿宋_GB2312" w:cs="仿宋_GB2312"/>
                <w:color w:val="000000"/>
                <w:sz w:val="24"/>
              </w:rPr>
              <w:t>2</w:t>
            </w:r>
            <w:r>
              <w:rPr>
                <w:rFonts w:hint="eastAsia" w:ascii="仿宋_GB2312" w:hAnsi="仿宋_GB2312" w:eastAsia="仿宋_GB2312" w:cs="仿宋_GB2312"/>
                <w:color w:val="000000"/>
                <w:sz w:val="24"/>
              </w:rPr>
              <w:t>：</w:t>
            </w:r>
            <w:r>
              <w:rPr>
                <w:rFonts w:hint="eastAsia" w:ascii="仿宋_GB2312" w:hAnsi="仿宋_GB2312" w:eastAsia="仿宋_GB2312" w:cs="仿宋_GB2312"/>
                <w:color w:val="000000"/>
                <w:szCs w:val="21"/>
              </w:rPr>
              <w:t>督办人民信访化解社会矛盾</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2684" w:type="dxa"/>
            <w:gridSpan w:val="6"/>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b/>
                <w:color w:val="000000"/>
                <w:sz w:val="24"/>
              </w:rPr>
              <w:t>效果明显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vAlign w:val="center"/>
          </w:tcPr>
          <w:p>
            <w:pPr>
              <w:widowControl/>
              <w:jc w:val="left"/>
              <w:rPr>
                <w:rFonts w:ascii="仿宋_GB2312" w:hAnsi="仿宋_GB2312" w:eastAsia="仿宋_GB2312" w:cs="仿宋_GB2312"/>
                <w:color w:val="000000"/>
                <w:sz w:val="24"/>
              </w:rPr>
            </w:pPr>
          </w:p>
        </w:tc>
        <w:tc>
          <w:tcPr>
            <w:tcW w:w="1549" w:type="dxa"/>
            <w:gridSpan w:val="4"/>
            <w:vMerge w:val="continue"/>
            <w:vAlign w:val="center"/>
          </w:tcPr>
          <w:p>
            <w:pPr>
              <w:widowControl/>
              <w:jc w:val="left"/>
              <w:rPr>
                <w:rFonts w:ascii="仿宋_GB2312" w:hAnsi="仿宋_GB2312" w:eastAsia="仿宋_GB2312" w:cs="仿宋_GB2312"/>
                <w:color w:val="000000"/>
                <w:sz w:val="24"/>
              </w:rPr>
            </w:pPr>
          </w:p>
        </w:tc>
        <w:tc>
          <w:tcPr>
            <w:tcW w:w="1417"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经济效益</w:t>
            </w:r>
          </w:p>
        </w:tc>
        <w:tc>
          <w:tcPr>
            <w:tcW w:w="2709" w:type="dxa"/>
            <w:gridSpan w:val="4"/>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w:t>
            </w:r>
            <w:r>
              <w:rPr>
                <w:rFonts w:ascii="仿宋_GB2312" w:hAnsi="仿宋_GB2312" w:eastAsia="仿宋_GB2312" w:cs="仿宋_GB2312"/>
                <w:color w:val="000000"/>
                <w:sz w:val="24"/>
              </w:rPr>
              <w:t>1</w:t>
            </w:r>
            <w:r>
              <w:rPr>
                <w:rFonts w:hint="eastAsia" w:ascii="仿宋_GB2312" w:hAnsi="仿宋_GB2312" w:eastAsia="仿宋_GB2312" w:cs="仿宋_GB2312"/>
                <w:color w:val="000000"/>
                <w:sz w:val="24"/>
              </w:rPr>
              <w:t>：联手帮扶企业</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w:t>
            </w:r>
            <w:r>
              <w:rPr>
                <w:rFonts w:ascii="仿宋_GB2312" w:hAnsi="仿宋_GB2312" w:eastAsia="仿宋_GB2312" w:cs="仿宋_GB2312"/>
                <w:color w:val="000000"/>
                <w:sz w:val="24"/>
              </w:rPr>
              <w:t>2</w:t>
            </w:r>
            <w:r>
              <w:rPr>
                <w:rFonts w:hint="eastAsia" w:ascii="仿宋_GB2312" w:hAnsi="仿宋_GB2312" w:eastAsia="仿宋_GB2312" w:cs="仿宋_GB2312"/>
                <w:color w:val="000000"/>
                <w:sz w:val="24"/>
              </w:rPr>
              <w:t>：</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2684" w:type="dxa"/>
            <w:gridSpan w:val="6"/>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b/>
                <w:color w:val="000000"/>
                <w:sz w:val="24"/>
              </w:rPr>
              <w:t>效果明显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vAlign w:val="center"/>
          </w:tcPr>
          <w:p>
            <w:pPr>
              <w:widowControl/>
              <w:jc w:val="left"/>
              <w:rPr>
                <w:rFonts w:ascii="仿宋_GB2312" w:hAnsi="仿宋_GB2312" w:eastAsia="仿宋_GB2312" w:cs="仿宋_GB2312"/>
                <w:color w:val="000000"/>
                <w:sz w:val="24"/>
              </w:rPr>
            </w:pPr>
          </w:p>
        </w:tc>
        <w:tc>
          <w:tcPr>
            <w:tcW w:w="1549" w:type="dxa"/>
            <w:gridSpan w:val="4"/>
            <w:vMerge w:val="continue"/>
            <w:vAlign w:val="center"/>
          </w:tcPr>
          <w:p>
            <w:pPr>
              <w:widowControl/>
              <w:jc w:val="left"/>
              <w:rPr>
                <w:rFonts w:ascii="仿宋_GB2312" w:hAnsi="仿宋_GB2312" w:eastAsia="仿宋_GB2312" w:cs="仿宋_GB2312"/>
                <w:color w:val="000000"/>
                <w:sz w:val="24"/>
              </w:rPr>
            </w:pPr>
          </w:p>
        </w:tc>
        <w:tc>
          <w:tcPr>
            <w:tcW w:w="1417"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生态效益</w:t>
            </w:r>
          </w:p>
        </w:tc>
        <w:tc>
          <w:tcPr>
            <w:tcW w:w="2709" w:type="dxa"/>
            <w:gridSpan w:val="4"/>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w:t>
            </w:r>
            <w:r>
              <w:rPr>
                <w:rFonts w:ascii="仿宋_GB2312" w:hAnsi="仿宋_GB2312" w:eastAsia="仿宋_GB2312" w:cs="仿宋_GB2312"/>
                <w:color w:val="000000"/>
                <w:sz w:val="24"/>
              </w:rPr>
              <w:t>1</w:t>
            </w:r>
            <w:r>
              <w:rPr>
                <w:rFonts w:hint="eastAsia" w:ascii="仿宋_GB2312" w:hAnsi="仿宋_GB2312" w:eastAsia="仿宋_GB2312" w:cs="仿宋_GB2312"/>
                <w:color w:val="000000"/>
                <w:sz w:val="24"/>
              </w:rPr>
              <w:t>：</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w:t>
            </w:r>
            <w:r>
              <w:rPr>
                <w:rFonts w:ascii="仿宋_GB2312" w:hAnsi="仿宋_GB2312" w:eastAsia="仿宋_GB2312" w:cs="仿宋_GB2312"/>
                <w:color w:val="000000"/>
                <w:sz w:val="24"/>
              </w:rPr>
              <w:t>2</w:t>
            </w:r>
            <w:r>
              <w:rPr>
                <w:rFonts w:hint="eastAsia" w:ascii="仿宋_GB2312" w:hAnsi="仿宋_GB2312" w:eastAsia="仿宋_GB2312" w:cs="仿宋_GB2312"/>
                <w:color w:val="000000"/>
                <w:sz w:val="24"/>
              </w:rPr>
              <w:t>：</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2684" w:type="dxa"/>
            <w:gridSpan w:val="6"/>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vAlign w:val="center"/>
          </w:tcPr>
          <w:p>
            <w:pPr>
              <w:widowControl/>
              <w:jc w:val="left"/>
              <w:rPr>
                <w:rFonts w:ascii="仿宋_GB2312" w:hAnsi="仿宋_GB2312" w:eastAsia="仿宋_GB2312" w:cs="仿宋_GB2312"/>
                <w:color w:val="000000"/>
                <w:sz w:val="24"/>
              </w:rPr>
            </w:pPr>
          </w:p>
        </w:tc>
        <w:tc>
          <w:tcPr>
            <w:tcW w:w="1549" w:type="dxa"/>
            <w:gridSpan w:val="4"/>
            <w:vMerge w:val="continue"/>
            <w:vAlign w:val="center"/>
          </w:tcPr>
          <w:p>
            <w:pPr>
              <w:widowControl/>
              <w:jc w:val="left"/>
              <w:rPr>
                <w:rFonts w:ascii="仿宋_GB2312" w:hAnsi="仿宋_GB2312" w:eastAsia="仿宋_GB2312" w:cs="仿宋_GB2312"/>
                <w:color w:val="000000"/>
                <w:sz w:val="24"/>
              </w:rPr>
            </w:pPr>
          </w:p>
        </w:tc>
        <w:tc>
          <w:tcPr>
            <w:tcW w:w="1417"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社会公众或服务对象满意度</w:t>
            </w:r>
          </w:p>
        </w:tc>
        <w:tc>
          <w:tcPr>
            <w:tcW w:w="2709" w:type="dxa"/>
            <w:gridSpan w:val="4"/>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w:t>
            </w:r>
            <w:r>
              <w:rPr>
                <w:rFonts w:ascii="仿宋_GB2312" w:hAnsi="仿宋_GB2312" w:eastAsia="仿宋_GB2312" w:cs="仿宋_GB2312"/>
                <w:color w:val="000000"/>
                <w:sz w:val="24"/>
              </w:rPr>
              <w:t>1</w:t>
            </w:r>
            <w:r>
              <w:rPr>
                <w:rFonts w:hint="eastAsia" w:ascii="仿宋_GB2312" w:hAnsi="仿宋_GB2312" w:eastAsia="仿宋_GB2312" w:cs="仿宋_GB2312"/>
                <w:color w:val="000000"/>
                <w:sz w:val="24"/>
              </w:rPr>
              <w:t>：社会公众或服务对象满意度</w:t>
            </w:r>
            <w:r>
              <w:rPr>
                <w:rFonts w:ascii="仿宋_GB2312" w:hAnsi="仿宋_GB2312" w:eastAsia="仿宋_GB2312" w:cs="仿宋_GB2312"/>
                <w:color w:val="000000"/>
                <w:sz w:val="24"/>
              </w:rPr>
              <w:t>95%</w:t>
            </w:r>
            <w:r>
              <w:rPr>
                <w:rFonts w:hint="eastAsia" w:ascii="仿宋_GB2312" w:hAnsi="仿宋_GB2312" w:eastAsia="仿宋_GB2312" w:cs="仿宋_GB2312"/>
                <w:color w:val="000000"/>
                <w:sz w:val="24"/>
              </w:rPr>
              <w:t>以上</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w:t>
            </w:r>
            <w:r>
              <w:rPr>
                <w:rFonts w:ascii="仿宋_GB2312" w:hAnsi="仿宋_GB2312" w:eastAsia="仿宋_GB2312" w:cs="仿宋_GB2312"/>
                <w:color w:val="000000"/>
                <w:sz w:val="24"/>
              </w:rPr>
              <w:t>2</w:t>
            </w:r>
            <w:r>
              <w:rPr>
                <w:rFonts w:hint="eastAsia" w:ascii="仿宋_GB2312" w:hAnsi="仿宋_GB2312" w:eastAsia="仿宋_GB2312" w:cs="仿宋_GB2312"/>
                <w:color w:val="000000"/>
                <w:sz w:val="24"/>
              </w:rPr>
              <w:t>：</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2684" w:type="dxa"/>
            <w:gridSpan w:val="6"/>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color w:val="000000"/>
                <w:sz w:val="24"/>
              </w:rPr>
              <w:t>社会公众或服务对象满意度</w:t>
            </w:r>
            <w:r>
              <w:rPr>
                <w:rFonts w:ascii="仿宋_GB2312" w:hAnsi="仿宋_GB2312" w:eastAsia="仿宋_GB2312" w:cs="仿宋_GB2312"/>
                <w:color w:val="000000"/>
                <w:sz w:val="24"/>
              </w:rPr>
              <w:t>95%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2990" w:type="dxa"/>
            <w:gridSpan w:val="5"/>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绩效自评综合得分</w:t>
            </w:r>
          </w:p>
        </w:tc>
        <w:tc>
          <w:tcPr>
            <w:tcW w:w="6810" w:type="dxa"/>
            <w:gridSpan w:val="1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2990" w:type="dxa"/>
            <w:gridSpan w:val="5"/>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评价等次</w:t>
            </w:r>
          </w:p>
        </w:tc>
        <w:tc>
          <w:tcPr>
            <w:tcW w:w="6810" w:type="dxa"/>
            <w:gridSpan w:val="1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优秀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9800" w:type="dxa"/>
            <w:gridSpan w:val="17"/>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四、评价人员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654"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姓</w:t>
            </w:r>
            <w:r>
              <w:rPr>
                <w:rFonts w:ascii="仿宋_GB2312" w:hAnsi="仿宋_GB2312" w:eastAsia="仿宋_GB2312" w:cs="仿宋_GB2312"/>
                <w:color w:val="000000"/>
                <w:sz w:val="24"/>
              </w:rPr>
              <w:t xml:space="preserve">  </w:t>
            </w:r>
            <w:r>
              <w:rPr>
                <w:rFonts w:hint="eastAsia" w:ascii="仿宋_GB2312" w:hAnsi="仿宋_GB2312" w:eastAsia="仿宋_GB2312" w:cs="仿宋_GB2312"/>
                <w:color w:val="000000"/>
                <w:sz w:val="24"/>
              </w:rPr>
              <w:t>名</w:t>
            </w:r>
          </w:p>
        </w:tc>
        <w:tc>
          <w:tcPr>
            <w:tcW w:w="3561" w:type="dxa"/>
            <w:gridSpan w:val="6"/>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职务</w:t>
            </w:r>
            <w:r>
              <w:rPr>
                <w:rFonts w:ascii="仿宋_GB2312" w:hAnsi="仿宋_GB2312" w:eastAsia="仿宋_GB2312" w:cs="仿宋_GB2312"/>
                <w:color w:val="000000"/>
                <w:sz w:val="24"/>
              </w:rPr>
              <w:t>/</w:t>
            </w:r>
            <w:r>
              <w:rPr>
                <w:rFonts w:hint="eastAsia" w:ascii="仿宋_GB2312" w:hAnsi="仿宋_GB2312" w:eastAsia="仿宋_GB2312" w:cs="仿宋_GB2312"/>
                <w:color w:val="000000"/>
                <w:sz w:val="24"/>
              </w:rPr>
              <w:t>职称</w:t>
            </w:r>
          </w:p>
        </w:tc>
        <w:tc>
          <w:tcPr>
            <w:tcW w:w="1479" w:type="dxa"/>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单</w:t>
            </w:r>
            <w:r>
              <w:rPr>
                <w:rFonts w:ascii="仿宋_GB2312" w:hAnsi="仿宋_GB2312" w:eastAsia="仿宋_GB2312" w:cs="仿宋_GB2312"/>
                <w:color w:val="000000"/>
                <w:sz w:val="24"/>
              </w:rPr>
              <w:t xml:space="preserve">  </w:t>
            </w:r>
            <w:r>
              <w:rPr>
                <w:rFonts w:hint="eastAsia" w:ascii="仿宋_GB2312" w:hAnsi="仿宋_GB2312" w:eastAsia="仿宋_GB2312" w:cs="仿宋_GB2312"/>
                <w:color w:val="000000"/>
                <w:sz w:val="24"/>
              </w:rPr>
              <w:t>位</w:t>
            </w:r>
          </w:p>
        </w:tc>
        <w:tc>
          <w:tcPr>
            <w:tcW w:w="3106" w:type="dxa"/>
            <w:gridSpan w:val="8"/>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签</w:t>
            </w:r>
            <w:r>
              <w:rPr>
                <w:rFonts w:ascii="仿宋_GB2312" w:hAnsi="仿宋_GB2312" w:eastAsia="仿宋_GB2312" w:cs="仿宋_GB2312"/>
                <w:color w:val="000000"/>
                <w:sz w:val="24"/>
              </w:rPr>
              <w:t xml:space="preserve">  </w:t>
            </w:r>
            <w:r>
              <w:rPr>
                <w:rFonts w:hint="eastAsia" w:ascii="仿宋_GB2312" w:hAnsi="仿宋_GB2312" w:eastAsia="仿宋_GB2312" w:cs="仿宋_GB2312"/>
                <w:color w:val="000000"/>
                <w:sz w:val="24"/>
              </w:rPr>
              <w:t>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1654" w:type="dxa"/>
            <w:gridSpan w:val="2"/>
            <w:tcMar>
              <w:top w:w="0" w:type="dxa"/>
              <w:left w:w="15" w:type="dxa"/>
              <w:bottom w:w="0" w:type="dxa"/>
              <w:right w:w="15" w:type="dxa"/>
            </w:tcMar>
            <w:vAlign w:val="center"/>
          </w:tcPr>
          <w:p>
            <w:pPr>
              <w:autoSpaceDN w:val="0"/>
              <w:spacing w:line="400" w:lineRule="exact"/>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 xml:space="preserve">   </w:t>
            </w:r>
            <w:r>
              <w:rPr>
                <w:rFonts w:hint="eastAsia" w:ascii="仿宋_GB2312" w:hAnsi="仿宋_GB2312" w:eastAsia="仿宋_GB2312" w:cs="仿宋_GB2312"/>
                <w:color w:val="000000"/>
                <w:sz w:val="24"/>
              </w:rPr>
              <w:t>吴承棉</w:t>
            </w:r>
          </w:p>
        </w:tc>
        <w:tc>
          <w:tcPr>
            <w:tcW w:w="3561" w:type="dxa"/>
            <w:gridSpan w:val="6"/>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岳阳县人大常委会副主任</w:t>
            </w:r>
          </w:p>
        </w:tc>
        <w:tc>
          <w:tcPr>
            <w:tcW w:w="1479" w:type="dxa"/>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县人大</w:t>
            </w:r>
          </w:p>
        </w:tc>
        <w:tc>
          <w:tcPr>
            <w:tcW w:w="3106" w:type="dxa"/>
            <w:gridSpan w:val="8"/>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1654" w:type="dxa"/>
            <w:gridSpan w:val="2"/>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何勇</w:t>
            </w:r>
          </w:p>
        </w:tc>
        <w:tc>
          <w:tcPr>
            <w:tcW w:w="3561" w:type="dxa"/>
            <w:gridSpan w:val="6"/>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岳阳县人大常委会机关办公室主任</w:t>
            </w:r>
          </w:p>
        </w:tc>
        <w:tc>
          <w:tcPr>
            <w:tcW w:w="1479" w:type="dxa"/>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县人大</w:t>
            </w:r>
          </w:p>
        </w:tc>
        <w:tc>
          <w:tcPr>
            <w:tcW w:w="3106" w:type="dxa"/>
            <w:gridSpan w:val="8"/>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1654" w:type="dxa"/>
            <w:gridSpan w:val="2"/>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龚明华</w:t>
            </w:r>
          </w:p>
        </w:tc>
        <w:tc>
          <w:tcPr>
            <w:tcW w:w="3561" w:type="dxa"/>
            <w:gridSpan w:val="6"/>
            <w:tcMar>
              <w:top w:w="0" w:type="dxa"/>
              <w:left w:w="15" w:type="dxa"/>
              <w:bottom w:w="0" w:type="dxa"/>
              <w:right w:w="15" w:type="dxa"/>
            </w:tcMar>
            <w:vAlign w:val="center"/>
          </w:tcPr>
          <w:p>
            <w:pPr>
              <w:autoSpaceDN w:val="0"/>
              <w:spacing w:line="40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岳阳县人大常委会</w:t>
            </w:r>
            <w:r>
              <w:rPr>
                <w:rFonts w:hint="eastAsia" w:ascii="仿宋_GB2312" w:hAnsi="仿宋_GB2312" w:eastAsia="仿宋_GB2312" w:cs="仿宋_GB2312"/>
                <w:color w:val="000000"/>
                <w:sz w:val="24"/>
                <w:lang w:eastAsia="zh-CN"/>
              </w:rPr>
              <w:t>民侨外委副主任兼</w:t>
            </w:r>
            <w:r>
              <w:rPr>
                <w:rFonts w:hint="eastAsia" w:ascii="仿宋_GB2312" w:hAnsi="仿宋_GB2312" w:eastAsia="仿宋_GB2312" w:cs="仿宋_GB2312"/>
                <w:color w:val="000000"/>
                <w:sz w:val="24"/>
              </w:rPr>
              <w:t>机关</w:t>
            </w:r>
            <w:r>
              <w:rPr>
                <w:rFonts w:hint="eastAsia" w:ascii="仿宋_GB2312" w:hAnsi="仿宋_GB2312" w:eastAsia="仿宋_GB2312" w:cs="仿宋_GB2312"/>
                <w:color w:val="000000"/>
                <w:sz w:val="24"/>
                <w:lang w:eastAsia="zh-CN"/>
              </w:rPr>
              <w:t>出纳</w:t>
            </w:r>
          </w:p>
        </w:tc>
        <w:tc>
          <w:tcPr>
            <w:tcW w:w="1479" w:type="dxa"/>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县人大</w:t>
            </w:r>
          </w:p>
        </w:tc>
        <w:tc>
          <w:tcPr>
            <w:tcW w:w="3106" w:type="dxa"/>
            <w:gridSpan w:val="8"/>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1654"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561" w:type="dxa"/>
            <w:gridSpan w:val="6"/>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479" w:type="dxa"/>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106" w:type="dxa"/>
            <w:gridSpan w:val="8"/>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22" w:hRule="atLeast"/>
          <w:jc w:val="center"/>
        </w:trPr>
        <w:tc>
          <w:tcPr>
            <w:tcW w:w="9800" w:type="dxa"/>
            <w:gridSpan w:val="17"/>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评价组组长（签字）：</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 xml:space="preserve">                                                               </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 xml:space="preserve">                                                         </w:t>
            </w:r>
            <w:r>
              <w:rPr>
                <w:rFonts w:hint="eastAsia" w:ascii="仿宋_GB2312" w:hAnsi="仿宋_GB2312" w:eastAsia="仿宋_GB2312" w:cs="仿宋_GB2312"/>
                <w:color w:val="000000"/>
                <w:sz w:val="24"/>
              </w:rPr>
              <w:t>年</w:t>
            </w:r>
            <w:r>
              <w:rPr>
                <w:rFonts w:ascii="仿宋_GB2312" w:hAnsi="仿宋_GB2312" w:eastAsia="仿宋_GB2312" w:cs="仿宋_GB2312"/>
                <w:color w:val="000000"/>
                <w:sz w:val="24"/>
              </w:rPr>
              <w:t xml:space="preserve">    </w:t>
            </w:r>
            <w:r>
              <w:rPr>
                <w:rFonts w:hint="eastAsia" w:ascii="仿宋_GB2312" w:hAnsi="仿宋_GB2312" w:eastAsia="仿宋_GB2312" w:cs="仿宋_GB2312"/>
                <w:color w:val="000000"/>
                <w:sz w:val="24"/>
              </w:rPr>
              <w:t>月</w:t>
            </w:r>
            <w:r>
              <w:rPr>
                <w:rFonts w:ascii="仿宋_GB2312" w:hAnsi="仿宋_GB2312" w:eastAsia="仿宋_GB2312" w:cs="仿宋_GB2312"/>
                <w:color w:val="000000"/>
                <w:sz w:val="24"/>
              </w:rPr>
              <w:t xml:space="preserve">    </w:t>
            </w:r>
            <w:r>
              <w:rPr>
                <w:rFonts w:hint="eastAsia" w:ascii="仿宋_GB2312" w:hAnsi="仿宋_GB2312" w:eastAsia="仿宋_GB2312" w:cs="仿宋_GB2312"/>
                <w:color w:val="000000"/>
                <w:sz w:val="24"/>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22" w:hRule="atLeast"/>
          <w:jc w:val="center"/>
        </w:trPr>
        <w:tc>
          <w:tcPr>
            <w:tcW w:w="9800" w:type="dxa"/>
            <w:gridSpan w:val="17"/>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部门（单位）意见：</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 xml:space="preserve">                                        </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 xml:space="preserve">                                        </w:t>
            </w:r>
            <w:r>
              <w:rPr>
                <w:rFonts w:hint="eastAsia" w:ascii="仿宋_GB2312" w:hAnsi="仿宋_GB2312" w:eastAsia="仿宋_GB2312" w:cs="仿宋_GB2312"/>
                <w:color w:val="000000"/>
                <w:sz w:val="24"/>
              </w:rPr>
              <w:t>部门（单位）负责人（签章）：</w:t>
            </w:r>
          </w:p>
          <w:p>
            <w:pPr>
              <w:autoSpaceDN w:val="0"/>
              <w:spacing w:line="320" w:lineRule="exact"/>
              <w:jc w:val="left"/>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 xml:space="preserve">                                             </w:t>
            </w:r>
            <w:r>
              <w:rPr>
                <w:rFonts w:hint="eastAsia" w:ascii="仿宋_GB2312" w:hAnsi="仿宋_GB2312" w:eastAsia="仿宋_GB2312" w:cs="仿宋_GB2312"/>
                <w:color w:val="000000"/>
                <w:sz w:val="24"/>
              </w:rPr>
              <w:t>年</w:t>
            </w:r>
            <w:r>
              <w:rPr>
                <w:rFonts w:ascii="仿宋_GB2312" w:hAnsi="仿宋_GB2312" w:eastAsia="仿宋_GB2312" w:cs="仿宋_GB2312"/>
                <w:color w:val="000000"/>
                <w:sz w:val="24"/>
              </w:rPr>
              <w:t xml:space="preserve">    </w:t>
            </w:r>
            <w:r>
              <w:rPr>
                <w:rFonts w:hint="eastAsia" w:ascii="仿宋_GB2312" w:hAnsi="仿宋_GB2312" w:eastAsia="仿宋_GB2312" w:cs="仿宋_GB2312"/>
                <w:color w:val="000000"/>
                <w:sz w:val="24"/>
              </w:rPr>
              <w:t>月</w:t>
            </w:r>
            <w:r>
              <w:rPr>
                <w:rFonts w:ascii="仿宋_GB2312" w:hAnsi="仿宋_GB2312" w:eastAsia="仿宋_GB2312" w:cs="仿宋_GB2312"/>
                <w:color w:val="000000"/>
                <w:sz w:val="24"/>
              </w:rPr>
              <w:t xml:space="preserve">    </w:t>
            </w:r>
            <w:r>
              <w:rPr>
                <w:rFonts w:hint="eastAsia" w:ascii="仿宋_GB2312" w:hAnsi="仿宋_GB2312" w:eastAsia="仿宋_GB2312" w:cs="仿宋_GB2312"/>
                <w:color w:val="000000"/>
                <w:sz w:val="24"/>
              </w:rPr>
              <w:t>日</w:t>
            </w:r>
          </w:p>
        </w:tc>
      </w:tr>
    </w:tbl>
    <w:p>
      <w:pPr>
        <w:rPr>
          <w:rFonts w:eastAsia="仿宋_GB2312" w:cs="仿宋_GB2312"/>
          <w:bCs/>
          <w:sz w:val="28"/>
          <w:szCs w:val="28"/>
        </w:rPr>
      </w:pPr>
      <w:r>
        <w:rPr>
          <w:rFonts w:hint="eastAsia" w:eastAsia="仿宋_GB2312" w:cs="仿宋_GB2312"/>
          <w:bCs/>
          <w:sz w:val="28"/>
          <w:szCs w:val="28"/>
        </w:rPr>
        <w:t>填报人（签名）：王敏</w:t>
      </w:r>
      <w:r>
        <w:rPr>
          <w:rFonts w:eastAsia="仿宋_GB2312" w:cs="仿宋_GB2312"/>
          <w:bCs/>
          <w:sz w:val="28"/>
          <w:szCs w:val="28"/>
        </w:rPr>
        <w:t xml:space="preserve">                            </w:t>
      </w:r>
      <w:r>
        <w:rPr>
          <w:rFonts w:hint="eastAsia" w:eastAsia="仿宋_GB2312" w:cs="仿宋_GB2312"/>
          <w:bCs/>
          <w:sz w:val="28"/>
          <w:szCs w:val="28"/>
        </w:rPr>
        <w:t>联系电话：</w:t>
      </w:r>
      <w:r>
        <w:rPr>
          <w:rFonts w:eastAsia="仿宋_GB2312" w:cs="仿宋_GB2312"/>
          <w:bCs/>
          <w:sz w:val="28"/>
          <w:szCs w:val="28"/>
        </w:rPr>
        <w:t>7633618</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8" w:hRule="atLeast"/>
          <w:jc w:val="center"/>
        </w:trPr>
        <w:tc>
          <w:tcPr>
            <w:tcW w:w="9558" w:type="dxa"/>
          </w:tcPr>
          <w:p>
            <w:pPr>
              <w:jc w:val="center"/>
              <w:rPr>
                <w:rFonts w:ascii="黑体" w:hAnsi="黑体" w:eastAsia="黑体" w:cs="黑体"/>
                <w:bCs/>
                <w:sz w:val="28"/>
                <w:szCs w:val="28"/>
              </w:rPr>
            </w:pPr>
            <w:r>
              <w:rPr>
                <w:rFonts w:hint="eastAsia" w:ascii="黑体" w:hAnsi="黑体" w:eastAsia="黑体" w:cs="黑体"/>
                <w:bCs/>
                <w:sz w:val="28"/>
                <w:szCs w:val="28"/>
              </w:rPr>
              <w:t>五、评价报告综述（文字部分）</w:t>
            </w:r>
          </w:p>
          <w:p>
            <w:pPr>
              <w:spacing w:line="440" w:lineRule="exact"/>
              <w:ind w:firstLine="640" w:firstLineChars="200"/>
              <w:rPr>
                <w:rFonts w:eastAsia="仿宋_GB2312"/>
                <w:sz w:val="32"/>
                <w:szCs w:val="32"/>
              </w:rPr>
            </w:pPr>
          </w:p>
          <w:p>
            <w:pPr>
              <w:spacing w:line="560" w:lineRule="exact"/>
              <w:ind w:firstLine="480" w:firstLineChars="200"/>
              <w:rPr>
                <w:rFonts w:ascii="黑体" w:hAnsi="黑体" w:eastAsia="黑体" w:cs="黑体"/>
                <w:bCs/>
                <w:sz w:val="24"/>
              </w:rPr>
            </w:pPr>
            <w:r>
              <w:rPr>
                <w:rFonts w:hint="eastAsia" w:ascii="黑体" w:hAnsi="黑体" w:eastAsia="黑体" w:cs="黑体"/>
                <w:bCs/>
                <w:sz w:val="24"/>
              </w:rPr>
              <w:t>一、部门（单位）概况</w:t>
            </w:r>
          </w:p>
          <w:p>
            <w:pPr>
              <w:numPr>
                <w:ilvl w:val="0"/>
                <w:numId w:val="2"/>
              </w:numPr>
              <w:spacing w:line="560" w:lineRule="exact"/>
              <w:ind w:firstLine="480" w:firstLineChars="200"/>
              <w:rPr>
                <w:rFonts w:ascii="仿宋_GB2312" w:hAnsi="仿宋_GB2312" w:eastAsia="仿宋_GB2312" w:cs="仿宋_GB2312"/>
                <w:bCs/>
                <w:sz w:val="24"/>
              </w:rPr>
            </w:pPr>
            <w:r>
              <w:rPr>
                <w:rFonts w:hint="eastAsia" w:ascii="仿宋_GB2312" w:hAnsi="仿宋_GB2312" w:eastAsia="仿宋_GB2312" w:cs="仿宋_GB2312"/>
                <w:bCs/>
                <w:sz w:val="24"/>
              </w:rPr>
              <w:t>部门（单位）基本情况</w:t>
            </w:r>
          </w:p>
          <w:p>
            <w:pPr>
              <w:spacing w:line="560" w:lineRule="exact"/>
              <w:rPr>
                <w:rFonts w:ascii="仿宋_GB2312" w:eastAsia="仿宋_GB2312"/>
                <w:sz w:val="24"/>
              </w:rPr>
            </w:pPr>
            <w:r>
              <w:rPr>
                <w:rFonts w:ascii="仿宋" w:hAnsi="仿宋" w:eastAsia="仿宋" w:cs="仿宋"/>
                <w:sz w:val="24"/>
              </w:rPr>
              <w:t xml:space="preserve">    </w:t>
            </w:r>
            <w:r>
              <w:rPr>
                <w:rFonts w:hint="eastAsia" w:ascii="仿宋_GB2312" w:eastAsia="仿宋_GB2312"/>
                <w:sz w:val="24"/>
              </w:rPr>
              <w:t>岳阳县人大常委会设有一办</w:t>
            </w:r>
            <w:r>
              <w:rPr>
                <w:rFonts w:hint="eastAsia" w:ascii="仿宋_GB2312" w:eastAsia="仿宋_GB2312"/>
                <w:sz w:val="24"/>
                <w:lang w:eastAsia="zh-CN"/>
              </w:rPr>
              <w:t>八</w:t>
            </w:r>
            <w:r>
              <w:rPr>
                <w:rFonts w:hint="eastAsia" w:ascii="仿宋_GB2312" w:eastAsia="仿宋_GB2312"/>
                <w:sz w:val="24"/>
              </w:rPr>
              <w:t>委</w:t>
            </w:r>
            <w:r>
              <w:rPr>
                <w:rFonts w:hint="eastAsia" w:ascii="仿宋_GB2312" w:eastAsia="仿宋_GB2312"/>
                <w:sz w:val="24"/>
                <w:lang w:eastAsia="zh-CN"/>
              </w:rPr>
              <w:t>九</w:t>
            </w:r>
            <w:r>
              <w:rPr>
                <w:rFonts w:hint="eastAsia" w:ascii="仿宋_GB2312" w:eastAsia="仿宋_GB2312"/>
                <w:sz w:val="24"/>
              </w:rPr>
              <w:t>个正科级工作机构（常委会办公室、选举任免联络工作委员会、</w:t>
            </w:r>
            <w:r>
              <w:rPr>
                <w:rFonts w:hint="eastAsia" w:ascii="仿宋_GB2312" w:eastAsia="仿宋_GB2312"/>
                <w:sz w:val="24"/>
                <w:lang w:eastAsia="zh-CN"/>
              </w:rPr>
              <w:t>民族华侨外事委员会</w:t>
            </w:r>
            <w:r>
              <w:rPr>
                <w:rFonts w:hint="eastAsia" w:ascii="仿宋_GB2312" w:eastAsia="仿宋_GB2312"/>
                <w:sz w:val="24"/>
              </w:rPr>
              <w:t>、</w:t>
            </w:r>
            <w:r>
              <w:rPr>
                <w:rFonts w:hint="eastAsia" w:ascii="仿宋_GB2312" w:eastAsia="仿宋_GB2312"/>
                <w:sz w:val="24"/>
                <w:lang w:eastAsia="zh-CN"/>
              </w:rPr>
              <w:t>监察和司法委员会、</w:t>
            </w:r>
            <w:r>
              <w:rPr>
                <w:rFonts w:hint="eastAsia" w:ascii="仿宋_GB2312" w:eastAsia="仿宋_GB2312"/>
                <w:sz w:val="24"/>
              </w:rPr>
              <w:t>财经预算工作委员会、教科文卫工作委员会农村</w:t>
            </w:r>
            <w:r>
              <w:rPr>
                <w:rFonts w:hint="eastAsia" w:ascii="仿宋_GB2312" w:eastAsia="仿宋_GB2312"/>
                <w:sz w:val="24"/>
                <w:lang w:eastAsia="zh-CN"/>
              </w:rPr>
              <w:t>、</w:t>
            </w:r>
            <w:r>
              <w:rPr>
                <w:rFonts w:hint="eastAsia" w:ascii="仿宋_GB2312" w:eastAsia="仿宋_GB2312"/>
                <w:sz w:val="24"/>
              </w:rPr>
              <w:t>农业工作委员会、城乡环境资源保护工作委员会</w:t>
            </w:r>
            <w:r>
              <w:rPr>
                <w:rFonts w:hint="eastAsia" w:ascii="仿宋_GB2312" w:eastAsia="仿宋_GB2312"/>
                <w:sz w:val="24"/>
                <w:lang w:eastAsia="zh-CN"/>
              </w:rPr>
              <w:t>和社会建设委员会</w:t>
            </w:r>
            <w:r>
              <w:rPr>
                <w:rFonts w:hint="eastAsia" w:ascii="仿宋_GB2312" w:eastAsia="仿宋_GB2312"/>
                <w:sz w:val="24"/>
              </w:rPr>
              <w:t>）。机关目前共有工作人员</w:t>
            </w:r>
            <w:r>
              <w:rPr>
                <w:rFonts w:hint="eastAsia" w:ascii="仿宋_GB2312" w:eastAsia="仿宋_GB2312"/>
                <w:sz w:val="24"/>
                <w:lang w:val="en-US" w:eastAsia="zh-CN"/>
              </w:rPr>
              <w:t>79</w:t>
            </w:r>
            <w:r>
              <w:rPr>
                <w:rFonts w:hint="eastAsia" w:ascii="仿宋_GB2312" w:eastAsia="仿宋_GB2312"/>
                <w:sz w:val="24"/>
              </w:rPr>
              <w:t>名，其中退休人员</w:t>
            </w:r>
            <w:r>
              <w:rPr>
                <w:rFonts w:ascii="仿宋_GB2312" w:eastAsia="仿宋_GB2312"/>
                <w:sz w:val="24"/>
              </w:rPr>
              <w:t>38</w:t>
            </w:r>
            <w:r>
              <w:rPr>
                <w:rFonts w:hint="eastAsia" w:ascii="仿宋_GB2312" w:eastAsia="仿宋_GB2312"/>
                <w:sz w:val="24"/>
              </w:rPr>
              <w:t>名。</w:t>
            </w:r>
          </w:p>
          <w:p>
            <w:pPr>
              <w:spacing w:afterLines="50" w:line="600" w:lineRule="exact"/>
              <w:ind w:firstLine="640"/>
              <w:rPr>
                <w:rFonts w:ascii="仿宋_GB2312" w:hAnsi="仿宋_GB2312" w:eastAsia="仿宋_GB2312" w:cs="仿宋_GB2312"/>
                <w:bCs/>
                <w:sz w:val="24"/>
              </w:rPr>
            </w:pPr>
            <w:r>
              <w:rPr>
                <w:rFonts w:hint="eastAsia" w:ascii="仿宋_GB2312" w:eastAsia="仿宋_GB2312"/>
                <w:sz w:val="24"/>
              </w:rPr>
              <w:t>根据宪法规定：人民代表大会制度是国家根本政治制度，人大常委会是代表人民行使国家权力的机关。地方各级人民代表大会常务委员会的职权是《组织法》确定的，其中县级人大常委会共有十四项职权，概括为四大类。一是监督权，监督同级人民政府、人民法院和人民检察院的工作。二是执法检查权，在本行政区域内，保证宪法、法律、行政法规和上级人民代表大会及其常务委员会决议的遵守和执行。三是重大事项决定权，讨论决定本行政区域内政治、经济、教育、科技、文化、卫生、环境和资源保护、民政、民族等工作的重大事项。四是人事任免权。</w:t>
            </w:r>
          </w:p>
          <w:p>
            <w:pPr>
              <w:numPr>
                <w:ilvl w:val="0"/>
                <w:numId w:val="3"/>
              </w:numPr>
              <w:spacing w:line="560" w:lineRule="exact"/>
              <w:ind w:firstLine="480" w:firstLineChars="200"/>
              <w:rPr>
                <w:rFonts w:ascii="仿宋_GB2312" w:hAnsi="仿宋_GB2312" w:eastAsia="仿宋_GB2312" w:cs="仿宋_GB2312"/>
                <w:bCs/>
                <w:sz w:val="24"/>
              </w:rPr>
            </w:pPr>
            <w:r>
              <w:rPr>
                <w:rFonts w:hint="eastAsia" w:ascii="仿宋_GB2312" w:hAnsi="仿宋_GB2312" w:eastAsia="仿宋_GB2312" w:cs="仿宋_GB2312"/>
                <w:bCs/>
                <w:sz w:val="24"/>
              </w:rPr>
              <w:t>部门（单位）整体支出规模、使用方向和主要内容、涉及范围等</w:t>
            </w:r>
          </w:p>
          <w:p>
            <w:pPr>
              <w:spacing w:line="560" w:lineRule="exact"/>
              <w:rPr>
                <w:rFonts w:ascii="仿宋" w:hAnsi="仿宋" w:eastAsia="仿宋" w:cs="仿宋"/>
                <w:sz w:val="24"/>
              </w:rPr>
            </w:pPr>
            <w:r>
              <w:rPr>
                <w:rFonts w:ascii="仿宋" w:hAnsi="仿宋" w:eastAsia="仿宋" w:cs="仿宋"/>
                <w:sz w:val="24"/>
              </w:rPr>
              <w:t xml:space="preserve">    2020</w:t>
            </w:r>
            <w:r>
              <w:rPr>
                <w:rFonts w:hint="eastAsia" w:ascii="仿宋" w:hAnsi="仿宋" w:eastAsia="仿宋" w:cs="仿宋"/>
                <w:sz w:val="24"/>
              </w:rPr>
              <w:t>年县人大办整体支出为</w:t>
            </w:r>
            <w:r>
              <w:rPr>
                <w:rFonts w:ascii="仿宋_GB2312" w:hAnsi="仿宋_GB2312" w:eastAsia="仿宋_GB2312" w:cs="仿宋_GB2312"/>
                <w:color w:val="000000"/>
                <w:sz w:val="24"/>
              </w:rPr>
              <w:t>1155.87</w:t>
            </w:r>
            <w:r>
              <w:rPr>
                <w:rFonts w:hint="eastAsia" w:ascii="仿宋" w:hAnsi="仿宋" w:eastAsia="仿宋" w:cs="仿宋"/>
                <w:sz w:val="24"/>
              </w:rPr>
              <w:t>万元，包括基本支出</w:t>
            </w:r>
            <w:r>
              <w:rPr>
                <w:rFonts w:ascii="仿宋_GB2312" w:hAnsi="仿宋_GB2312" w:eastAsia="仿宋_GB2312" w:cs="仿宋_GB2312"/>
                <w:color w:val="000000"/>
                <w:sz w:val="24"/>
              </w:rPr>
              <w:t>986.37</w:t>
            </w:r>
            <w:r>
              <w:rPr>
                <w:rFonts w:hint="eastAsia" w:ascii="仿宋" w:hAnsi="仿宋" w:eastAsia="仿宋" w:cs="仿宋"/>
                <w:sz w:val="24"/>
              </w:rPr>
              <w:t>万元，主要用于人员经费支出和日常公用经费支出，项目支出</w:t>
            </w:r>
            <w:r>
              <w:rPr>
                <w:rFonts w:ascii="仿宋_GB2312" w:hAnsi="仿宋_GB2312" w:eastAsia="仿宋_GB2312" w:cs="仿宋_GB2312"/>
                <w:color w:val="000000"/>
                <w:sz w:val="24"/>
              </w:rPr>
              <w:t>169.50</w:t>
            </w:r>
            <w:r>
              <w:rPr>
                <w:rFonts w:hint="eastAsia" w:ascii="仿宋" w:hAnsi="仿宋" w:eastAsia="仿宋" w:cs="仿宋"/>
                <w:sz w:val="24"/>
              </w:rPr>
              <w:t>万元，主要用于全县人大代表调研活动及会议开支。</w:t>
            </w:r>
          </w:p>
          <w:p>
            <w:pPr>
              <w:spacing w:line="560" w:lineRule="exact"/>
              <w:ind w:firstLine="480" w:firstLineChars="200"/>
              <w:rPr>
                <w:rFonts w:ascii="黑体" w:hAnsi="黑体" w:eastAsia="黑体" w:cs="黑体"/>
                <w:bCs/>
                <w:sz w:val="24"/>
              </w:rPr>
            </w:pPr>
            <w:r>
              <w:rPr>
                <w:rFonts w:hint="eastAsia" w:ascii="黑体" w:hAnsi="黑体" w:eastAsia="黑体" w:cs="黑体"/>
                <w:bCs/>
                <w:sz w:val="24"/>
              </w:rPr>
              <w:t>二、部门（单位）整体支出管理及使用情况</w:t>
            </w:r>
          </w:p>
          <w:p>
            <w:pPr>
              <w:spacing w:line="560" w:lineRule="exact"/>
              <w:ind w:firstLine="480" w:firstLineChars="200"/>
              <w:rPr>
                <w:rFonts w:ascii="仿宋_GB2312" w:hAnsi="仿宋_GB2312" w:eastAsia="仿宋_GB2312" w:cs="仿宋_GB2312"/>
                <w:bCs/>
                <w:sz w:val="24"/>
              </w:rPr>
            </w:pPr>
            <w:r>
              <w:rPr>
                <w:rFonts w:hint="eastAsia" w:ascii="仿宋_GB2312" w:hAnsi="仿宋_GB2312" w:eastAsia="仿宋_GB2312" w:cs="仿宋_GB2312"/>
                <w:bCs/>
                <w:sz w:val="24"/>
              </w:rPr>
              <w:t>（一）基本支出</w:t>
            </w:r>
          </w:p>
          <w:p>
            <w:pPr>
              <w:spacing w:line="560" w:lineRule="exact"/>
              <w:ind w:firstLine="480" w:firstLineChars="200"/>
              <w:rPr>
                <w:rFonts w:ascii="仿宋" w:hAnsi="仿宋" w:eastAsia="仿宋" w:cs="仿宋"/>
                <w:sz w:val="24"/>
              </w:rPr>
            </w:pPr>
            <w:r>
              <w:rPr>
                <w:rFonts w:ascii="仿宋" w:hAnsi="仿宋" w:eastAsia="仿宋" w:cs="仿宋"/>
                <w:sz w:val="24"/>
              </w:rPr>
              <w:t>2020</w:t>
            </w:r>
            <w:r>
              <w:rPr>
                <w:rFonts w:hint="eastAsia" w:ascii="仿宋" w:hAnsi="仿宋" w:eastAsia="仿宋" w:cs="仿宋"/>
                <w:sz w:val="24"/>
              </w:rPr>
              <w:t>年县人大办基本支出</w:t>
            </w:r>
            <w:r>
              <w:rPr>
                <w:rFonts w:ascii="仿宋_GB2312" w:hAnsi="仿宋_GB2312" w:eastAsia="仿宋_GB2312" w:cs="仿宋_GB2312"/>
                <w:color w:val="000000"/>
                <w:sz w:val="24"/>
              </w:rPr>
              <w:t>986.37</w:t>
            </w:r>
            <w:r>
              <w:rPr>
                <w:rFonts w:hint="eastAsia" w:ascii="仿宋" w:hAnsi="仿宋" w:eastAsia="仿宋" w:cs="仿宋"/>
                <w:sz w:val="24"/>
              </w:rPr>
              <w:t>万元，包括人员支出</w:t>
            </w:r>
            <w:r>
              <w:rPr>
                <w:rFonts w:ascii="仿宋_GB2312" w:hAnsi="仿宋_GB2312" w:eastAsia="仿宋_GB2312" w:cs="仿宋_GB2312"/>
                <w:color w:val="000000"/>
                <w:sz w:val="24"/>
              </w:rPr>
              <w:t>642.47</w:t>
            </w:r>
            <w:r>
              <w:rPr>
                <w:rFonts w:hint="eastAsia" w:ascii="仿宋" w:hAnsi="仿宋" w:eastAsia="仿宋" w:cs="仿宋"/>
                <w:sz w:val="24"/>
              </w:rPr>
              <w:t>万元，公用支出</w:t>
            </w:r>
            <w:r>
              <w:rPr>
                <w:rFonts w:ascii="仿宋_GB2312" w:hAnsi="仿宋_GB2312" w:eastAsia="仿宋_GB2312" w:cs="仿宋_GB2312"/>
                <w:color w:val="000000"/>
                <w:sz w:val="24"/>
              </w:rPr>
              <w:t>343.90</w:t>
            </w:r>
            <w:r>
              <w:rPr>
                <w:rFonts w:hint="eastAsia" w:ascii="仿宋" w:hAnsi="仿宋" w:eastAsia="仿宋" w:cs="仿宋"/>
                <w:sz w:val="24"/>
              </w:rPr>
              <w:t>万元，其中“三公”经费合计</w:t>
            </w:r>
            <w:r>
              <w:rPr>
                <w:rFonts w:ascii="仿宋" w:hAnsi="仿宋" w:eastAsia="仿宋" w:cs="仿宋"/>
                <w:sz w:val="24"/>
              </w:rPr>
              <w:t>5.04</w:t>
            </w:r>
            <w:r>
              <w:rPr>
                <w:rFonts w:hint="eastAsia" w:ascii="仿宋" w:hAnsi="仿宋" w:eastAsia="仿宋" w:cs="仿宋"/>
                <w:sz w:val="24"/>
              </w:rPr>
              <w:t>万元，包括公务接待费</w:t>
            </w:r>
            <w:r>
              <w:rPr>
                <w:rFonts w:ascii="仿宋" w:hAnsi="仿宋" w:eastAsia="仿宋" w:cs="仿宋"/>
                <w:sz w:val="24"/>
              </w:rPr>
              <w:t>5.04</w:t>
            </w:r>
            <w:r>
              <w:rPr>
                <w:rFonts w:hint="eastAsia" w:ascii="仿宋" w:hAnsi="仿宋" w:eastAsia="仿宋" w:cs="仿宋"/>
                <w:sz w:val="24"/>
              </w:rPr>
              <w:t>万元。</w:t>
            </w:r>
          </w:p>
          <w:p>
            <w:pPr>
              <w:spacing w:line="560" w:lineRule="exact"/>
              <w:ind w:firstLine="480" w:firstLineChars="200"/>
              <w:rPr>
                <w:rFonts w:ascii="仿宋_GB2312" w:hAnsi="仿宋_GB2312" w:eastAsia="仿宋_GB2312" w:cs="仿宋_GB2312"/>
                <w:bCs/>
                <w:sz w:val="24"/>
              </w:rPr>
            </w:pPr>
            <w:r>
              <w:rPr>
                <w:rFonts w:hint="eastAsia" w:ascii="仿宋_GB2312" w:hAnsi="仿宋_GB2312" w:eastAsia="仿宋_GB2312" w:cs="仿宋_GB2312"/>
                <w:bCs/>
                <w:sz w:val="24"/>
              </w:rPr>
              <w:t>（二）专项支出</w:t>
            </w:r>
          </w:p>
          <w:p>
            <w:pPr>
              <w:spacing w:line="560" w:lineRule="exact"/>
              <w:ind w:firstLine="480" w:firstLineChars="200"/>
              <w:rPr>
                <w:rFonts w:ascii="仿宋_GB2312" w:hAnsi="仿宋_GB2312" w:eastAsia="仿宋_GB2312" w:cs="仿宋_GB2312"/>
                <w:bCs/>
                <w:sz w:val="24"/>
              </w:rPr>
            </w:pPr>
            <w:r>
              <w:rPr>
                <w:rFonts w:ascii="仿宋_GB2312" w:hAnsi="仿宋_GB2312" w:eastAsia="仿宋_GB2312" w:cs="仿宋_GB2312"/>
                <w:bCs/>
                <w:sz w:val="24"/>
              </w:rPr>
              <w:t>1</w:t>
            </w:r>
            <w:r>
              <w:rPr>
                <w:rFonts w:hint="eastAsia" w:ascii="仿宋_GB2312" w:hAnsi="仿宋_GB2312" w:eastAsia="仿宋_GB2312" w:cs="仿宋_GB2312"/>
                <w:bCs/>
                <w:sz w:val="24"/>
              </w:rPr>
              <w:t>、专项资金安排落实、总投入等情况分析</w:t>
            </w:r>
          </w:p>
          <w:p>
            <w:pPr>
              <w:widowControl/>
              <w:spacing w:line="600" w:lineRule="exact"/>
              <w:ind w:firstLine="480" w:firstLineChars="200"/>
              <w:rPr>
                <w:rFonts w:ascii="仿宋_GB2312" w:hAnsi="仿宋_GB2312" w:eastAsia="仿宋_GB2312" w:cs="仿宋_GB2312"/>
                <w:bCs/>
                <w:sz w:val="24"/>
              </w:rPr>
            </w:pPr>
            <w:r>
              <w:rPr>
                <w:rFonts w:ascii="仿宋_GB2312" w:hAnsi="仿宋_GB2312" w:eastAsia="仿宋_GB2312" w:cs="仿宋_GB2312"/>
                <w:bCs/>
                <w:sz w:val="24"/>
              </w:rPr>
              <w:t>2020</w:t>
            </w:r>
            <w:r>
              <w:rPr>
                <w:rFonts w:hint="eastAsia" w:ascii="仿宋_GB2312" w:hAnsi="仿宋_GB2312" w:eastAsia="仿宋_GB2312" w:cs="仿宋_GB2312"/>
                <w:bCs/>
                <w:sz w:val="24"/>
              </w:rPr>
              <w:t>年县财政安排我办项目经费</w:t>
            </w:r>
            <w:r>
              <w:rPr>
                <w:rFonts w:ascii="仿宋_GB2312" w:hAnsi="仿宋_GB2312" w:eastAsia="仿宋_GB2312" w:cs="仿宋_GB2312"/>
                <w:bCs/>
                <w:sz w:val="24"/>
              </w:rPr>
              <w:t>169.50</w:t>
            </w:r>
            <w:r>
              <w:rPr>
                <w:rFonts w:hint="eastAsia" w:ascii="仿宋_GB2312" w:hAnsi="仿宋_GB2312" w:eastAsia="仿宋_GB2312" w:cs="仿宋_GB2312"/>
                <w:bCs/>
                <w:sz w:val="24"/>
              </w:rPr>
              <w:t>万元，具体包括人大代表活动经费</w:t>
            </w:r>
            <w:r>
              <w:rPr>
                <w:rFonts w:ascii="仿宋_GB2312" w:hAnsi="仿宋_GB2312" w:eastAsia="仿宋_GB2312" w:cs="仿宋_GB2312"/>
                <w:bCs/>
                <w:sz w:val="24"/>
              </w:rPr>
              <w:t>25</w:t>
            </w:r>
            <w:r>
              <w:rPr>
                <w:rFonts w:hint="eastAsia" w:ascii="仿宋_GB2312" w:hAnsi="仿宋_GB2312" w:eastAsia="仿宋_GB2312" w:cs="仿宋_GB2312"/>
                <w:bCs/>
                <w:sz w:val="24"/>
              </w:rPr>
              <w:t>万元；人大常委调研活动经费</w:t>
            </w:r>
            <w:r>
              <w:rPr>
                <w:rFonts w:ascii="仿宋_GB2312" w:hAnsi="仿宋_GB2312" w:eastAsia="仿宋_GB2312" w:cs="仿宋_GB2312"/>
                <w:bCs/>
                <w:sz w:val="24"/>
              </w:rPr>
              <w:t>14.5</w:t>
            </w:r>
            <w:r>
              <w:rPr>
                <w:rFonts w:hint="eastAsia" w:ascii="仿宋_GB2312" w:hAnsi="仿宋_GB2312" w:eastAsia="仿宋_GB2312" w:cs="仿宋_GB2312"/>
                <w:bCs/>
                <w:sz w:val="24"/>
              </w:rPr>
              <w:t>万元；工委及办公室业务费</w:t>
            </w:r>
            <w:r>
              <w:rPr>
                <w:rFonts w:ascii="仿宋_GB2312" w:hAnsi="仿宋_GB2312" w:eastAsia="仿宋_GB2312" w:cs="仿宋_GB2312"/>
                <w:bCs/>
                <w:sz w:val="24"/>
              </w:rPr>
              <w:t>20</w:t>
            </w:r>
            <w:r>
              <w:rPr>
                <w:rFonts w:hint="eastAsia" w:ascii="仿宋_GB2312" w:hAnsi="仿宋_GB2312" w:eastAsia="仿宋_GB2312" w:cs="仿宋_GB2312"/>
                <w:bCs/>
                <w:sz w:val="24"/>
              </w:rPr>
              <w:t>万元；离岗处级、正职退休干部经费</w:t>
            </w:r>
            <w:r>
              <w:rPr>
                <w:rFonts w:ascii="仿宋_GB2312" w:hAnsi="仿宋_GB2312" w:eastAsia="仿宋_GB2312" w:cs="仿宋_GB2312"/>
                <w:bCs/>
                <w:sz w:val="24"/>
              </w:rPr>
              <w:t>7</w:t>
            </w:r>
            <w:r>
              <w:rPr>
                <w:rFonts w:hint="eastAsia" w:ascii="仿宋_GB2312" w:hAnsi="仿宋_GB2312" w:eastAsia="仿宋_GB2312" w:cs="仿宋_GB2312"/>
                <w:bCs/>
                <w:sz w:val="24"/>
              </w:rPr>
              <w:t>万元；专项法律检查经费</w:t>
            </w:r>
            <w:r>
              <w:rPr>
                <w:rFonts w:ascii="仿宋_GB2312" w:hAnsi="仿宋_GB2312" w:eastAsia="仿宋_GB2312" w:cs="仿宋_GB2312"/>
                <w:bCs/>
                <w:sz w:val="24"/>
              </w:rPr>
              <w:t>28</w:t>
            </w:r>
            <w:r>
              <w:rPr>
                <w:rFonts w:hint="eastAsia" w:ascii="仿宋_GB2312" w:hAnsi="仿宋_GB2312" w:eastAsia="仿宋_GB2312" w:cs="仿宋_GB2312"/>
                <w:bCs/>
                <w:sz w:val="24"/>
              </w:rPr>
              <w:t>万元；专门委员会重大事项调查经费</w:t>
            </w:r>
            <w:r>
              <w:rPr>
                <w:rFonts w:ascii="仿宋_GB2312" w:hAnsi="仿宋_GB2312" w:eastAsia="仿宋_GB2312" w:cs="仿宋_GB2312"/>
                <w:bCs/>
                <w:sz w:val="24"/>
              </w:rPr>
              <w:t>10</w:t>
            </w:r>
            <w:r>
              <w:rPr>
                <w:rFonts w:hint="eastAsia" w:ascii="仿宋_GB2312" w:hAnsi="仿宋_GB2312" w:eastAsia="仿宋_GB2312" w:cs="仿宋_GB2312"/>
                <w:bCs/>
                <w:sz w:val="24"/>
              </w:rPr>
              <w:t>万元</w:t>
            </w:r>
            <w:r>
              <w:rPr>
                <w:rFonts w:ascii="仿宋_GB2312" w:hAnsi="仿宋_GB2312" w:eastAsia="仿宋_GB2312" w:cs="仿宋_GB2312"/>
                <w:bCs/>
                <w:sz w:val="24"/>
              </w:rPr>
              <w:t>;</w:t>
            </w:r>
            <w:r>
              <w:rPr>
                <w:rFonts w:hint="eastAsia" w:ascii="仿宋_GB2312" w:hAnsi="仿宋_GB2312" w:eastAsia="仿宋_GB2312" w:cs="仿宋_GB2312"/>
                <w:bCs/>
                <w:sz w:val="24"/>
              </w:rPr>
              <w:t>人大预算联网监督平台运行维护费</w:t>
            </w:r>
            <w:r>
              <w:rPr>
                <w:rFonts w:ascii="仿宋_GB2312" w:hAnsi="仿宋_GB2312" w:eastAsia="仿宋_GB2312" w:cs="仿宋_GB2312"/>
                <w:bCs/>
                <w:sz w:val="24"/>
              </w:rPr>
              <w:t>12</w:t>
            </w:r>
            <w:r>
              <w:rPr>
                <w:rFonts w:hint="eastAsia" w:ascii="仿宋_GB2312" w:hAnsi="仿宋_GB2312" w:eastAsia="仿宋_GB2312" w:cs="仿宋_GB2312"/>
                <w:bCs/>
                <w:sz w:val="24"/>
              </w:rPr>
              <w:t>万元</w:t>
            </w:r>
            <w:r>
              <w:rPr>
                <w:rFonts w:ascii="仿宋_GB2312" w:hAnsi="仿宋_GB2312" w:eastAsia="仿宋_GB2312" w:cs="仿宋_GB2312"/>
                <w:bCs/>
                <w:sz w:val="24"/>
              </w:rPr>
              <w:t>;</w:t>
            </w:r>
            <w:r>
              <w:rPr>
                <w:rFonts w:hint="eastAsia" w:ascii="仿宋_GB2312" w:hAnsi="仿宋_GB2312" w:eastAsia="仿宋_GB2312" w:cs="仿宋_GB2312"/>
                <w:bCs/>
                <w:sz w:val="24"/>
              </w:rPr>
              <w:t>财政预算审查</w:t>
            </w:r>
            <w:r>
              <w:rPr>
                <w:rFonts w:ascii="仿宋_GB2312" w:hAnsi="仿宋_GB2312" w:eastAsia="仿宋_GB2312" w:cs="仿宋_GB2312"/>
                <w:bCs/>
                <w:sz w:val="24"/>
              </w:rPr>
              <w:t>20</w:t>
            </w:r>
            <w:r>
              <w:rPr>
                <w:rFonts w:hint="eastAsia" w:ascii="仿宋_GB2312" w:hAnsi="仿宋_GB2312" w:eastAsia="仿宋_GB2312" w:cs="仿宋_GB2312"/>
                <w:bCs/>
                <w:sz w:val="24"/>
              </w:rPr>
              <w:t>万元；人大常委会会议经费</w:t>
            </w:r>
            <w:r>
              <w:rPr>
                <w:rFonts w:ascii="仿宋_GB2312" w:hAnsi="仿宋_GB2312" w:eastAsia="仿宋_GB2312" w:cs="仿宋_GB2312"/>
                <w:bCs/>
                <w:sz w:val="24"/>
              </w:rPr>
              <w:t>15</w:t>
            </w:r>
            <w:r>
              <w:rPr>
                <w:rFonts w:hint="eastAsia" w:ascii="仿宋_GB2312" w:hAnsi="仿宋_GB2312" w:eastAsia="仿宋_GB2312" w:cs="仿宋_GB2312"/>
                <w:bCs/>
                <w:sz w:val="24"/>
              </w:rPr>
              <w:t>万元、议案办理经费</w:t>
            </w:r>
            <w:r>
              <w:rPr>
                <w:rFonts w:ascii="仿宋_GB2312" w:hAnsi="仿宋_GB2312" w:eastAsia="仿宋_GB2312" w:cs="仿宋_GB2312"/>
                <w:bCs/>
                <w:sz w:val="24"/>
              </w:rPr>
              <w:t>18</w:t>
            </w:r>
            <w:r>
              <w:rPr>
                <w:rFonts w:hint="eastAsia" w:ascii="仿宋_GB2312" w:hAnsi="仿宋_GB2312" w:eastAsia="仿宋_GB2312" w:cs="仿宋_GB2312"/>
                <w:bCs/>
                <w:sz w:val="24"/>
              </w:rPr>
              <w:t>万元</w:t>
            </w:r>
            <w:r>
              <w:rPr>
                <w:rFonts w:ascii="仿宋_GB2312" w:hAnsi="仿宋_GB2312" w:eastAsia="仿宋_GB2312" w:cs="仿宋_GB2312"/>
                <w:bCs/>
                <w:sz w:val="24"/>
              </w:rPr>
              <w:t>,</w:t>
            </w:r>
            <w:r>
              <w:rPr>
                <w:rFonts w:hint="eastAsia" w:ascii="仿宋_GB2312" w:hAnsi="仿宋_GB2312" w:eastAsia="仿宋_GB2312" w:cs="仿宋_GB2312"/>
                <w:bCs/>
                <w:sz w:val="24"/>
              </w:rPr>
              <w:t>我办实际发生项目支出</w:t>
            </w:r>
            <w:r>
              <w:rPr>
                <w:rFonts w:ascii="仿宋_GB2312" w:hAnsi="仿宋_GB2312" w:eastAsia="仿宋_GB2312" w:cs="仿宋_GB2312"/>
                <w:bCs/>
                <w:sz w:val="24"/>
              </w:rPr>
              <w:t>169.50</w:t>
            </w:r>
            <w:r>
              <w:rPr>
                <w:rFonts w:hint="eastAsia" w:ascii="仿宋_GB2312" w:hAnsi="仿宋_GB2312" w:eastAsia="仿宋_GB2312" w:cs="仿宋_GB2312"/>
                <w:bCs/>
                <w:sz w:val="24"/>
              </w:rPr>
              <w:t>万元，项目支出安排率达到</w:t>
            </w:r>
            <w:r>
              <w:rPr>
                <w:rFonts w:ascii="仿宋_GB2312" w:hAnsi="仿宋_GB2312" w:eastAsia="仿宋_GB2312" w:cs="仿宋_GB2312"/>
                <w:bCs/>
                <w:sz w:val="24"/>
              </w:rPr>
              <w:t>100%</w:t>
            </w:r>
            <w:r>
              <w:rPr>
                <w:rFonts w:hint="eastAsia" w:ascii="仿宋_GB2312" w:hAnsi="仿宋_GB2312" w:eastAsia="仿宋_GB2312" w:cs="仿宋_GB2312"/>
                <w:bCs/>
                <w:sz w:val="24"/>
              </w:rPr>
              <w:t>。</w:t>
            </w:r>
          </w:p>
          <w:p>
            <w:pPr>
              <w:numPr>
                <w:ilvl w:val="0"/>
                <w:numId w:val="4"/>
              </w:numPr>
              <w:spacing w:line="560" w:lineRule="exact"/>
              <w:ind w:firstLine="480" w:firstLineChars="200"/>
              <w:rPr>
                <w:rFonts w:ascii="仿宋_GB2312" w:hAnsi="仿宋_GB2312" w:eastAsia="仿宋_GB2312" w:cs="仿宋_GB2312"/>
                <w:bCs/>
                <w:sz w:val="24"/>
              </w:rPr>
            </w:pPr>
            <w:r>
              <w:rPr>
                <w:rFonts w:hint="eastAsia" w:ascii="仿宋_GB2312" w:hAnsi="仿宋_GB2312" w:eastAsia="仿宋_GB2312" w:cs="仿宋_GB2312"/>
                <w:bCs/>
                <w:sz w:val="24"/>
              </w:rPr>
              <w:t>专项资金实际使用情况分析</w:t>
            </w:r>
          </w:p>
          <w:p>
            <w:pPr>
              <w:spacing w:line="560" w:lineRule="exact"/>
              <w:rPr>
                <w:rFonts w:ascii="仿宋_GB2312" w:hAnsi="仿宋_GB2312" w:eastAsia="仿宋_GB2312" w:cs="仿宋_GB2312"/>
                <w:bCs/>
                <w:sz w:val="24"/>
              </w:rPr>
            </w:pPr>
            <w:r>
              <w:rPr>
                <w:rFonts w:ascii="仿宋_GB2312" w:hAnsi="仿宋_GB2312" w:eastAsia="仿宋_GB2312" w:cs="仿宋_GB2312"/>
                <w:bCs/>
                <w:sz w:val="24"/>
              </w:rPr>
              <w:t xml:space="preserve">      </w:t>
            </w:r>
            <w:r>
              <w:rPr>
                <w:rFonts w:hint="eastAsia" w:ascii="仿宋_GB2312" w:hAnsi="仿宋_GB2312" w:eastAsia="仿宋_GB2312" w:cs="仿宋_GB2312"/>
                <w:bCs/>
                <w:sz w:val="24"/>
              </w:rPr>
              <w:t>我办专项资金主要用于</w:t>
            </w:r>
            <w:r>
              <w:rPr>
                <w:rFonts w:hint="eastAsia" w:ascii="仿宋_GB2312" w:hAnsi="仿宋_GB2312" w:eastAsia="仿宋_GB2312" w:cs="仿宋_GB2312"/>
                <w:color w:val="2B2B2B"/>
                <w:sz w:val="24"/>
                <w:shd w:val="clear" w:color="auto" w:fill="FFFFFF"/>
              </w:rPr>
              <w:t>人大代表活动经费、</w:t>
            </w:r>
            <w:r>
              <w:rPr>
                <w:rFonts w:hint="eastAsia" w:ascii="仿宋_GB2312" w:hAnsi="仿宋_GB2312" w:eastAsia="仿宋_GB2312" w:cs="仿宋_GB2312"/>
                <w:bCs/>
                <w:sz w:val="24"/>
              </w:rPr>
              <w:t>人大常委调研活动经费；工委及办公室业务费；离岗处级、正职退休干部经费；专项法律检查经费；财政预算审查；人大常委会会议经费；议案办理经费等，为促进人大代表发挥工作的主观能动性，为县人大</w:t>
            </w:r>
            <w:r>
              <w:rPr>
                <w:rFonts w:hint="eastAsia" w:ascii="仿宋_GB2312" w:hAnsi="仿宋_GB2312" w:eastAsia="仿宋_GB2312" w:cs="仿宋_GB2312"/>
                <w:color w:val="2B2B2B"/>
                <w:sz w:val="24"/>
                <w:shd w:val="clear" w:color="auto" w:fill="FFFFFF"/>
              </w:rPr>
              <w:t>常委会依法履职提供了坚实保障。支出科目多为印刷费、会议费、差旅费、场租费等。</w:t>
            </w:r>
          </w:p>
          <w:p>
            <w:pPr>
              <w:numPr>
                <w:ilvl w:val="0"/>
                <w:numId w:val="5"/>
              </w:numPr>
              <w:spacing w:line="560" w:lineRule="exact"/>
              <w:ind w:firstLine="480" w:firstLineChars="200"/>
              <w:rPr>
                <w:rFonts w:ascii="仿宋_GB2312" w:hAnsi="仿宋_GB2312" w:eastAsia="仿宋_GB2312" w:cs="仿宋_GB2312"/>
                <w:bCs/>
                <w:sz w:val="24"/>
              </w:rPr>
            </w:pPr>
            <w:r>
              <w:rPr>
                <w:rFonts w:hint="eastAsia" w:ascii="仿宋_GB2312" w:hAnsi="仿宋_GB2312" w:eastAsia="仿宋_GB2312" w:cs="仿宋_GB2312"/>
                <w:bCs/>
                <w:sz w:val="24"/>
              </w:rPr>
              <w:t>专项资金管理情况分析</w:t>
            </w:r>
          </w:p>
          <w:p>
            <w:pPr>
              <w:spacing w:line="560" w:lineRule="exact"/>
              <w:rPr>
                <w:rFonts w:ascii="仿宋_GB2312" w:hAnsi="仿宋_GB2312" w:eastAsia="仿宋_GB2312" w:cs="仿宋_GB2312"/>
                <w:bCs/>
                <w:sz w:val="24"/>
              </w:rPr>
            </w:pPr>
            <w:r>
              <w:rPr>
                <w:rFonts w:ascii="仿宋_GB2312" w:hAnsi="仿宋_GB2312" w:eastAsia="仿宋_GB2312" w:cs="仿宋_GB2312"/>
                <w:bCs/>
                <w:sz w:val="24"/>
              </w:rPr>
              <w:t xml:space="preserve">       </w:t>
            </w:r>
            <w:r>
              <w:rPr>
                <w:rFonts w:hint="eastAsia" w:ascii="仿宋_GB2312" w:hAnsi="仿宋_GB2312" w:eastAsia="仿宋_GB2312" w:cs="仿宋_GB2312"/>
                <w:bCs/>
                <w:sz w:val="24"/>
              </w:rPr>
              <w:t>我办专项资金实行专款专用、专项核算，费用支出严格按财务审批程序和会议进程等进行支付。</w:t>
            </w:r>
          </w:p>
          <w:p>
            <w:pPr>
              <w:spacing w:line="560" w:lineRule="exact"/>
              <w:ind w:firstLine="480" w:firstLineChars="200"/>
              <w:rPr>
                <w:rFonts w:ascii="黑体" w:hAnsi="黑体" w:eastAsia="黑体" w:cs="黑体"/>
                <w:bCs/>
                <w:sz w:val="24"/>
              </w:rPr>
            </w:pPr>
            <w:r>
              <w:rPr>
                <w:rFonts w:hint="eastAsia" w:ascii="黑体" w:hAnsi="黑体" w:eastAsia="黑体" w:cs="黑体"/>
                <w:bCs/>
                <w:sz w:val="24"/>
              </w:rPr>
              <w:t>三、部门（单位）专项组织实施情况</w:t>
            </w:r>
          </w:p>
          <w:p>
            <w:pPr>
              <w:spacing w:line="560" w:lineRule="exact"/>
              <w:ind w:firstLine="480" w:firstLineChars="200"/>
              <w:rPr>
                <w:rFonts w:ascii="仿宋_GB2312" w:hAnsi="仿宋_GB2312" w:eastAsia="仿宋_GB2312" w:cs="仿宋_GB2312"/>
                <w:bCs/>
                <w:sz w:val="24"/>
              </w:rPr>
            </w:pPr>
            <w:r>
              <w:rPr>
                <w:rFonts w:hint="eastAsia" w:ascii="仿宋_GB2312" w:hAnsi="仿宋_GB2312" w:eastAsia="仿宋_GB2312" w:cs="仿宋_GB2312"/>
                <w:bCs/>
                <w:sz w:val="24"/>
              </w:rPr>
              <w:t>（一）专项组织情况分析</w:t>
            </w:r>
          </w:p>
          <w:p>
            <w:pPr>
              <w:spacing w:line="600" w:lineRule="exact"/>
              <w:ind w:firstLine="480" w:firstLineChars="200"/>
              <w:rPr>
                <w:rFonts w:ascii="仿宋_GB2312" w:hAnsi="仿宋_GB2312" w:eastAsia="仿宋_GB2312" w:cs="仿宋_GB2312"/>
                <w:color w:val="2B2B2B"/>
                <w:sz w:val="24"/>
                <w:shd w:val="clear" w:color="auto" w:fill="FFFFFF"/>
              </w:rPr>
            </w:pPr>
            <w:r>
              <w:rPr>
                <w:rFonts w:hint="eastAsia" w:ascii="仿宋_GB2312" w:hAnsi="仿宋_GB2312" w:eastAsia="仿宋_GB2312" w:cs="仿宋_GB2312"/>
                <w:color w:val="2B2B2B"/>
                <w:sz w:val="24"/>
                <w:shd w:val="clear" w:color="auto" w:fill="FFFFFF"/>
              </w:rPr>
              <w:t>坚持抓大事、议大事。批准了</w:t>
            </w:r>
            <w:r>
              <w:rPr>
                <w:rFonts w:ascii="仿宋_GB2312" w:hAnsi="仿宋_GB2312" w:eastAsia="仿宋_GB2312" w:cs="仿宋_GB2312"/>
                <w:color w:val="2B2B2B"/>
                <w:sz w:val="24"/>
                <w:shd w:val="clear" w:color="auto" w:fill="FFFFFF"/>
              </w:rPr>
              <w:t>2020</w:t>
            </w:r>
            <w:r>
              <w:rPr>
                <w:rFonts w:hint="eastAsia" w:ascii="仿宋_GB2312" w:hAnsi="仿宋_GB2312" w:eastAsia="仿宋_GB2312" w:cs="仿宋_GB2312"/>
                <w:color w:val="2B2B2B"/>
                <w:sz w:val="24"/>
                <w:shd w:val="clear" w:color="auto" w:fill="FFFFFF"/>
              </w:rPr>
              <w:t>年国民经济和社会发展计划，确保了全县重点项目的顺利推进；批准了</w:t>
            </w:r>
            <w:r>
              <w:rPr>
                <w:rFonts w:ascii="仿宋_GB2312" w:hAnsi="仿宋_GB2312" w:eastAsia="仿宋_GB2312" w:cs="仿宋_GB2312"/>
                <w:color w:val="2B2B2B"/>
                <w:sz w:val="24"/>
                <w:shd w:val="clear" w:color="auto" w:fill="FFFFFF"/>
              </w:rPr>
              <w:t>2019</w:t>
            </w:r>
            <w:r>
              <w:rPr>
                <w:rFonts w:hint="eastAsia" w:ascii="仿宋_GB2312" w:hAnsi="仿宋_GB2312" w:eastAsia="仿宋_GB2312" w:cs="仿宋_GB2312"/>
                <w:color w:val="2B2B2B"/>
                <w:sz w:val="24"/>
                <w:shd w:val="clear" w:color="auto" w:fill="FFFFFF"/>
              </w:rPr>
              <w:t>年财政决算、</w:t>
            </w:r>
            <w:r>
              <w:rPr>
                <w:rFonts w:ascii="仿宋_GB2312" w:hAnsi="仿宋_GB2312" w:eastAsia="仿宋_GB2312" w:cs="仿宋_GB2312"/>
                <w:color w:val="2B2B2B"/>
                <w:sz w:val="24"/>
                <w:shd w:val="clear" w:color="auto" w:fill="FFFFFF"/>
              </w:rPr>
              <w:t>2020</w:t>
            </w:r>
            <w:r>
              <w:rPr>
                <w:rFonts w:hint="eastAsia" w:ascii="仿宋_GB2312" w:hAnsi="仿宋_GB2312" w:eastAsia="仿宋_GB2312" w:cs="仿宋_GB2312"/>
                <w:color w:val="2B2B2B"/>
                <w:sz w:val="24"/>
                <w:shd w:val="clear" w:color="auto" w:fill="FFFFFF"/>
              </w:rPr>
              <w:t>年财政预算，推动政府强化预算指导和约束，提高财政资金使用绩效；作出了《关于废止县人大常委会同意政府融资平台举债融资的五个决定的决定》，有效防控债务风险。</w:t>
            </w:r>
          </w:p>
          <w:p>
            <w:pPr>
              <w:spacing w:line="600" w:lineRule="exact"/>
              <w:ind w:firstLine="480" w:firstLineChars="200"/>
              <w:rPr>
                <w:rFonts w:ascii="仿宋_GB2312" w:hAnsi="仿宋_GB2312" w:eastAsia="仿宋_GB2312" w:cs="仿宋_GB2312"/>
                <w:color w:val="2B2B2B"/>
                <w:sz w:val="24"/>
                <w:shd w:val="clear" w:color="auto" w:fill="FFFFFF"/>
              </w:rPr>
            </w:pPr>
            <w:r>
              <w:rPr>
                <w:rFonts w:hint="eastAsia" w:ascii="仿宋_GB2312" w:hAnsi="仿宋_GB2312" w:eastAsia="仿宋_GB2312" w:cs="仿宋_GB2312"/>
                <w:color w:val="2B2B2B"/>
                <w:sz w:val="24"/>
                <w:shd w:val="clear" w:color="auto" w:fill="FFFFFF"/>
              </w:rPr>
              <w:t>始终坚持党管干部和依法任免的有机统一，严格落实任前法律考试和宪法宣誓制度，依法任免国家机关工作人员。同时，不断改进任后监督方式，通过工作评议、视察调查、听取专项工作报告等形式，加强对被任命人员依法履职情况的监督。一年来，共任免政府工作人员</w:t>
            </w:r>
            <w:r>
              <w:rPr>
                <w:rFonts w:ascii="仿宋_GB2312" w:hAnsi="仿宋_GB2312" w:eastAsia="仿宋_GB2312" w:cs="仿宋_GB2312"/>
                <w:color w:val="2B2B2B"/>
                <w:sz w:val="24"/>
                <w:shd w:val="clear" w:color="auto" w:fill="FFFFFF"/>
              </w:rPr>
              <w:t>5</w:t>
            </w:r>
            <w:r>
              <w:rPr>
                <w:rFonts w:hint="eastAsia" w:ascii="仿宋_GB2312" w:hAnsi="仿宋_GB2312" w:eastAsia="仿宋_GB2312" w:cs="仿宋_GB2312"/>
                <w:color w:val="2B2B2B"/>
                <w:sz w:val="24"/>
                <w:shd w:val="clear" w:color="auto" w:fill="FFFFFF"/>
              </w:rPr>
              <w:t>人次，监察委工作人员</w:t>
            </w:r>
            <w:r>
              <w:rPr>
                <w:rFonts w:ascii="仿宋_GB2312" w:hAnsi="仿宋_GB2312" w:eastAsia="仿宋_GB2312" w:cs="仿宋_GB2312"/>
                <w:color w:val="2B2B2B"/>
                <w:sz w:val="24"/>
                <w:shd w:val="clear" w:color="auto" w:fill="FFFFFF"/>
              </w:rPr>
              <w:t>2</w:t>
            </w:r>
            <w:r>
              <w:rPr>
                <w:rFonts w:hint="eastAsia" w:ascii="仿宋_GB2312" w:hAnsi="仿宋_GB2312" w:eastAsia="仿宋_GB2312" w:cs="仿宋_GB2312"/>
                <w:color w:val="2B2B2B"/>
                <w:sz w:val="24"/>
                <w:shd w:val="clear" w:color="auto" w:fill="FFFFFF"/>
              </w:rPr>
              <w:t>人次，法院工作人员</w:t>
            </w:r>
            <w:r>
              <w:rPr>
                <w:rFonts w:ascii="仿宋_GB2312" w:hAnsi="仿宋_GB2312" w:eastAsia="仿宋_GB2312" w:cs="仿宋_GB2312"/>
                <w:color w:val="2B2B2B"/>
                <w:sz w:val="24"/>
                <w:shd w:val="clear" w:color="auto" w:fill="FFFFFF"/>
              </w:rPr>
              <w:t>6</w:t>
            </w:r>
            <w:r>
              <w:rPr>
                <w:rFonts w:hint="eastAsia" w:ascii="仿宋_GB2312" w:hAnsi="仿宋_GB2312" w:eastAsia="仿宋_GB2312" w:cs="仿宋_GB2312"/>
                <w:color w:val="2B2B2B"/>
                <w:sz w:val="24"/>
                <w:shd w:val="clear" w:color="auto" w:fill="FFFFFF"/>
              </w:rPr>
              <w:t>人次，常委会工作人员</w:t>
            </w:r>
            <w:r>
              <w:rPr>
                <w:rFonts w:ascii="仿宋_GB2312" w:hAnsi="仿宋_GB2312" w:eastAsia="仿宋_GB2312" w:cs="仿宋_GB2312"/>
                <w:color w:val="2B2B2B"/>
                <w:sz w:val="24"/>
                <w:shd w:val="clear" w:color="auto" w:fill="FFFFFF"/>
              </w:rPr>
              <w:t>22</w:t>
            </w:r>
            <w:r>
              <w:rPr>
                <w:rFonts w:hint="eastAsia" w:ascii="仿宋_GB2312" w:hAnsi="仿宋_GB2312" w:eastAsia="仿宋_GB2312" w:cs="仿宋_GB2312"/>
                <w:color w:val="2B2B2B"/>
                <w:sz w:val="24"/>
                <w:shd w:val="clear" w:color="auto" w:fill="FFFFFF"/>
              </w:rPr>
              <w:t>人次，实现了党委意图与人民意志的有机结合。</w:t>
            </w:r>
          </w:p>
          <w:p>
            <w:pPr>
              <w:spacing w:line="600" w:lineRule="exact"/>
              <w:ind w:firstLine="480" w:firstLineChars="200"/>
              <w:rPr>
                <w:rFonts w:ascii="仿宋_GB2312" w:hAnsi="仿宋_GB2312" w:eastAsia="仿宋_GB2312" w:cs="仿宋_GB2312"/>
                <w:color w:val="2B2B2B"/>
                <w:sz w:val="24"/>
                <w:shd w:val="clear" w:color="auto" w:fill="FFFFFF"/>
              </w:rPr>
            </w:pPr>
            <w:r>
              <w:rPr>
                <w:rFonts w:hint="eastAsia" w:ascii="仿宋_GB2312" w:hAnsi="仿宋_GB2312" w:eastAsia="仿宋_GB2312" w:cs="仿宋_GB2312"/>
                <w:color w:val="2B2B2B"/>
                <w:sz w:val="24"/>
                <w:shd w:val="clear" w:color="auto" w:fill="FFFFFF"/>
              </w:rPr>
              <w:t>优化代表履职服务保障。将代表工作平台作为代表工作的一大重要载体，全县共建成平台</w:t>
            </w:r>
            <w:r>
              <w:rPr>
                <w:rFonts w:ascii="仿宋_GB2312" w:hAnsi="仿宋_GB2312" w:eastAsia="仿宋_GB2312" w:cs="仿宋_GB2312"/>
                <w:color w:val="2B2B2B"/>
                <w:sz w:val="24"/>
                <w:shd w:val="clear" w:color="auto" w:fill="FFFFFF"/>
              </w:rPr>
              <w:t>209</w:t>
            </w:r>
            <w:r>
              <w:rPr>
                <w:rFonts w:hint="eastAsia" w:ascii="仿宋_GB2312" w:hAnsi="仿宋_GB2312" w:eastAsia="仿宋_GB2312" w:cs="仿宋_GB2312"/>
                <w:color w:val="2B2B2B"/>
                <w:sz w:val="24"/>
                <w:shd w:val="clear" w:color="auto" w:fill="FFFFFF"/>
              </w:rPr>
              <w:t>个，覆盖所有乡镇、村（社区）。全年进站活动的各级人大代表</w:t>
            </w:r>
            <w:r>
              <w:rPr>
                <w:rFonts w:ascii="仿宋_GB2312" w:hAnsi="仿宋_GB2312" w:eastAsia="仿宋_GB2312" w:cs="仿宋_GB2312"/>
                <w:color w:val="2B2B2B"/>
                <w:sz w:val="24"/>
                <w:shd w:val="clear" w:color="auto" w:fill="FFFFFF"/>
              </w:rPr>
              <w:t>1583</w:t>
            </w:r>
            <w:r>
              <w:rPr>
                <w:rFonts w:hint="eastAsia" w:ascii="仿宋_GB2312" w:hAnsi="仿宋_GB2312" w:eastAsia="仿宋_GB2312" w:cs="仿宋_GB2312"/>
                <w:color w:val="2B2B2B"/>
                <w:sz w:val="24"/>
                <w:shd w:val="clear" w:color="auto" w:fill="FFFFFF"/>
              </w:rPr>
              <w:t>人次，累计接待群众</w:t>
            </w:r>
            <w:r>
              <w:rPr>
                <w:rFonts w:ascii="仿宋_GB2312" w:hAnsi="仿宋_GB2312" w:eastAsia="仿宋_GB2312" w:cs="仿宋_GB2312"/>
                <w:color w:val="2B2B2B"/>
                <w:sz w:val="24"/>
                <w:shd w:val="clear" w:color="auto" w:fill="FFFFFF"/>
              </w:rPr>
              <w:t>5638</w:t>
            </w:r>
            <w:r>
              <w:rPr>
                <w:rFonts w:hint="eastAsia" w:ascii="仿宋_GB2312" w:hAnsi="仿宋_GB2312" w:eastAsia="仿宋_GB2312" w:cs="仿宋_GB2312"/>
                <w:color w:val="2B2B2B"/>
                <w:sz w:val="24"/>
                <w:shd w:val="clear" w:color="auto" w:fill="FFFFFF"/>
              </w:rPr>
              <w:t>人，帮助群众解决问题</w:t>
            </w:r>
            <w:r>
              <w:rPr>
                <w:rFonts w:ascii="仿宋_GB2312" w:hAnsi="仿宋_GB2312" w:eastAsia="仿宋_GB2312" w:cs="仿宋_GB2312"/>
                <w:color w:val="2B2B2B"/>
                <w:sz w:val="24"/>
                <w:shd w:val="clear" w:color="auto" w:fill="FFFFFF"/>
              </w:rPr>
              <w:t>200</w:t>
            </w:r>
            <w:r>
              <w:rPr>
                <w:rFonts w:hint="eastAsia" w:ascii="仿宋_GB2312" w:hAnsi="仿宋_GB2312" w:eastAsia="仿宋_GB2312" w:cs="仿宋_GB2312"/>
                <w:color w:val="2B2B2B"/>
                <w:sz w:val="24"/>
                <w:shd w:val="clear" w:color="auto" w:fill="FFFFFF"/>
              </w:rPr>
              <w:t>余个。进一步拉近了代表联系群众的距离，拓宽了畅通联系的渠道，形成了汇民声、聚民智、解民忧的新机制，代表作用更易发挥，切实打通了代表服务群众的最后一公里。创新代表小组活动。将组织开展代表小组活动作为代表工作的一种重要形式，全县共设立代表小组</w:t>
            </w:r>
            <w:r>
              <w:rPr>
                <w:rFonts w:ascii="仿宋_GB2312" w:hAnsi="仿宋_GB2312" w:eastAsia="仿宋_GB2312" w:cs="仿宋_GB2312"/>
                <w:color w:val="2B2B2B"/>
                <w:sz w:val="24"/>
                <w:shd w:val="clear" w:color="auto" w:fill="FFFFFF"/>
              </w:rPr>
              <w:t>95</w:t>
            </w:r>
            <w:r>
              <w:rPr>
                <w:rFonts w:hint="eastAsia" w:ascii="仿宋_GB2312" w:hAnsi="仿宋_GB2312" w:eastAsia="仿宋_GB2312" w:cs="仿宋_GB2312"/>
                <w:color w:val="2B2B2B"/>
                <w:sz w:val="24"/>
                <w:shd w:val="clear" w:color="auto" w:fill="FFFFFF"/>
              </w:rPr>
              <w:t>个，省、市、县、乡四级代表全部进入代表小组，并创新活动形式，小组活动与中心工作、专业工作、志愿服务相结合，全年共开展各类活动</w:t>
            </w:r>
            <w:r>
              <w:rPr>
                <w:rFonts w:ascii="仿宋_GB2312" w:hAnsi="仿宋_GB2312" w:eastAsia="仿宋_GB2312" w:cs="仿宋_GB2312"/>
                <w:color w:val="2B2B2B"/>
                <w:sz w:val="24"/>
                <w:shd w:val="clear" w:color="auto" w:fill="FFFFFF"/>
              </w:rPr>
              <w:t>236</w:t>
            </w:r>
            <w:r>
              <w:rPr>
                <w:rFonts w:hint="eastAsia" w:ascii="仿宋_GB2312" w:hAnsi="仿宋_GB2312" w:eastAsia="仿宋_GB2312" w:cs="仿宋_GB2312"/>
                <w:color w:val="2B2B2B"/>
                <w:sz w:val="24"/>
                <w:shd w:val="clear" w:color="auto" w:fill="FFFFFF"/>
              </w:rPr>
              <w:t>次。</w:t>
            </w:r>
          </w:p>
          <w:p>
            <w:pPr>
              <w:spacing w:line="600" w:lineRule="exact"/>
              <w:ind w:firstLine="480" w:firstLineChars="200"/>
              <w:rPr>
                <w:rFonts w:ascii="仿宋_GB2312" w:hAnsi="仿宋_GB2312" w:eastAsia="仿宋_GB2312" w:cs="仿宋_GB2312"/>
                <w:color w:val="2B2B2B"/>
                <w:sz w:val="24"/>
                <w:shd w:val="clear" w:color="auto" w:fill="FFFFFF"/>
              </w:rPr>
            </w:pPr>
            <w:r>
              <w:rPr>
                <w:rFonts w:hint="eastAsia" w:ascii="仿宋_GB2312" w:hAnsi="仿宋_GB2312" w:eastAsia="仿宋_GB2312" w:cs="仿宋_GB2312"/>
                <w:color w:val="2B2B2B"/>
                <w:sz w:val="24"/>
                <w:shd w:val="clear" w:color="auto" w:fill="FFFFFF"/>
              </w:rPr>
              <w:t>督办代表议案建议。将督办议案建议作为代表工作的一个重要手段，听取代表建议办理情况的报告，对县十七届人大四次会议期间代表提出的</w:t>
            </w:r>
            <w:r>
              <w:rPr>
                <w:rFonts w:ascii="仿宋_GB2312" w:hAnsi="仿宋_GB2312" w:eastAsia="仿宋_GB2312" w:cs="仿宋_GB2312"/>
                <w:color w:val="2B2B2B"/>
                <w:sz w:val="24"/>
                <w:shd w:val="clear" w:color="auto" w:fill="FFFFFF"/>
              </w:rPr>
              <w:t>83</w:t>
            </w:r>
            <w:r>
              <w:rPr>
                <w:rFonts w:hint="eastAsia" w:ascii="仿宋_GB2312" w:hAnsi="仿宋_GB2312" w:eastAsia="仿宋_GB2312" w:cs="仿宋_GB2312"/>
                <w:color w:val="2B2B2B"/>
                <w:sz w:val="24"/>
                <w:shd w:val="clear" w:color="auto" w:fill="FFFFFF"/>
              </w:rPr>
              <w:t>件建议，采取重点督办、组织代表参与督办等举措，解决或正在解决的</w:t>
            </w:r>
            <w:r>
              <w:rPr>
                <w:rFonts w:ascii="仿宋_GB2312" w:hAnsi="仿宋_GB2312" w:eastAsia="仿宋_GB2312" w:cs="仿宋_GB2312"/>
                <w:color w:val="2B2B2B"/>
                <w:sz w:val="24"/>
                <w:shd w:val="clear" w:color="auto" w:fill="FFFFFF"/>
              </w:rPr>
              <w:t>29</w:t>
            </w:r>
            <w:r>
              <w:rPr>
                <w:rFonts w:hint="eastAsia" w:ascii="仿宋_GB2312" w:hAnsi="仿宋_GB2312" w:eastAsia="仿宋_GB2312" w:cs="仿宋_GB2312"/>
                <w:color w:val="2B2B2B"/>
                <w:sz w:val="24"/>
                <w:shd w:val="clear" w:color="auto" w:fill="FFFFFF"/>
              </w:rPr>
              <w:t>件，列入计划逐步解决的</w:t>
            </w:r>
            <w:r>
              <w:rPr>
                <w:rFonts w:ascii="仿宋_GB2312" w:hAnsi="仿宋_GB2312" w:eastAsia="仿宋_GB2312" w:cs="仿宋_GB2312"/>
                <w:color w:val="2B2B2B"/>
                <w:sz w:val="24"/>
                <w:shd w:val="clear" w:color="auto" w:fill="FFFFFF"/>
              </w:rPr>
              <w:t>41</w:t>
            </w:r>
            <w:r>
              <w:rPr>
                <w:rFonts w:hint="eastAsia" w:ascii="仿宋_GB2312" w:hAnsi="仿宋_GB2312" w:eastAsia="仿宋_GB2312" w:cs="仿宋_GB2312"/>
                <w:color w:val="2B2B2B"/>
                <w:sz w:val="24"/>
                <w:shd w:val="clear" w:color="auto" w:fill="FFFFFF"/>
              </w:rPr>
              <w:t>件，因目前条件限制或其他原因留待以后解决的</w:t>
            </w:r>
            <w:r>
              <w:rPr>
                <w:rFonts w:ascii="仿宋_GB2312" w:hAnsi="仿宋_GB2312" w:eastAsia="仿宋_GB2312" w:cs="仿宋_GB2312"/>
                <w:color w:val="2B2B2B"/>
                <w:sz w:val="24"/>
                <w:shd w:val="clear" w:color="auto" w:fill="FFFFFF"/>
              </w:rPr>
              <w:t>13</w:t>
            </w:r>
            <w:r>
              <w:rPr>
                <w:rFonts w:hint="eastAsia" w:ascii="仿宋_GB2312" w:hAnsi="仿宋_GB2312" w:eastAsia="仿宋_GB2312" w:cs="仿宋_GB2312"/>
                <w:color w:val="2B2B2B"/>
                <w:sz w:val="24"/>
                <w:shd w:val="clear" w:color="auto" w:fill="FFFFFF"/>
              </w:rPr>
              <w:t>件，实现办复率、见面率、满意率</w:t>
            </w:r>
            <w:r>
              <w:rPr>
                <w:rFonts w:ascii="仿宋_GB2312" w:hAnsi="仿宋_GB2312" w:eastAsia="仿宋_GB2312" w:cs="仿宋_GB2312"/>
                <w:color w:val="2B2B2B"/>
                <w:sz w:val="24"/>
                <w:shd w:val="clear" w:color="auto" w:fill="FFFFFF"/>
              </w:rPr>
              <w:t>100%</w:t>
            </w:r>
            <w:r>
              <w:rPr>
                <w:rFonts w:hint="eastAsia" w:ascii="仿宋_GB2312" w:hAnsi="仿宋_GB2312" w:eastAsia="仿宋_GB2312" w:cs="仿宋_GB2312"/>
                <w:color w:val="2B2B2B"/>
                <w:sz w:val="24"/>
                <w:shd w:val="clear" w:color="auto" w:fill="FFFFFF"/>
              </w:rPr>
              <w:t>。紧盯议案办理，听取专项工作报告，十七届人大四次会议提出的两件议案办理效果明显，城乡供水一体化项目已经启动建设，全县人民都将喝上优质放心的铁山水；督促政府出台《关于推动岳阳县实体经济高质量发展的实施办法》，民营经济发展更有保障。</w:t>
            </w:r>
          </w:p>
          <w:p>
            <w:pPr>
              <w:spacing w:line="600" w:lineRule="exact"/>
              <w:ind w:firstLine="480" w:firstLineChars="200"/>
              <w:rPr>
                <w:rFonts w:ascii="仿宋_GB2312" w:hAnsi="仿宋_GB2312" w:eastAsia="仿宋_GB2312" w:cs="仿宋_GB2312"/>
                <w:color w:val="2B2B2B"/>
                <w:sz w:val="24"/>
                <w:shd w:val="clear" w:color="auto" w:fill="FFFFFF"/>
              </w:rPr>
            </w:pPr>
            <w:r>
              <w:rPr>
                <w:rFonts w:hint="eastAsia" w:ascii="仿宋_GB2312" w:hAnsi="仿宋_GB2312" w:eastAsia="仿宋_GB2312" w:cs="仿宋_GB2312"/>
                <w:color w:val="2B2B2B"/>
                <w:sz w:val="24"/>
                <w:shd w:val="clear" w:color="auto" w:fill="FFFFFF"/>
              </w:rPr>
              <w:t>增强建议办理实效。出台《岳阳县人民代表大会代表建议、批评和意见处理办法》，加大建议督办力度，</w:t>
            </w:r>
            <w:r>
              <w:rPr>
                <w:rFonts w:ascii="仿宋_GB2312" w:hAnsi="仿宋_GB2312" w:eastAsia="仿宋_GB2312" w:cs="仿宋_GB2312"/>
                <w:color w:val="2B2B2B"/>
                <w:sz w:val="24"/>
                <w:shd w:val="clear" w:color="auto" w:fill="FFFFFF"/>
              </w:rPr>
              <w:t>4</w:t>
            </w:r>
            <w:r>
              <w:rPr>
                <w:rFonts w:hint="eastAsia" w:ascii="仿宋_GB2312" w:hAnsi="仿宋_GB2312" w:eastAsia="仿宋_GB2312" w:cs="仿宋_GB2312"/>
                <w:color w:val="2B2B2B"/>
                <w:sz w:val="24"/>
                <w:shd w:val="clear" w:color="auto" w:fill="FFFFFF"/>
              </w:rPr>
              <w:t>件重点处理建议由主任会议成员牵头督办；听取政府和相关部门建议办理情况报告，实行建议内容和办理结果网上公开。县十七届人大三次会议期间，代表共提出建议</w:t>
            </w:r>
            <w:r>
              <w:rPr>
                <w:rFonts w:ascii="仿宋_GB2312" w:hAnsi="仿宋_GB2312" w:eastAsia="仿宋_GB2312" w:cs="仿宋_GB2312"/>
                <w:color w:val="2B2B2B"/>
                <w:sz w:val="24"/>
                <w:shd w:val="clear" w:color="auto" w:fill="FFFFFF"/>
              </w:rPr>
              <w:t>81</w:t>
            </w:r>
            <w:r>
              <w:rPr>
                <w:rFonts w:hint="eastAsia" w:ascii="仿宋_GB2312" w:hAnsi="仿宋_GB2312" w:eastAsia="仿宋_GB2312" w:cs="仿宋_GB2312"/>
                <w:color w:val="2B2B2B"/>
                <w:sz w:val="24"/>
                <w:shd w:val="clear" w:color="auto" w:fill="FFFFFF"/>
              </w:rPr>
              <w:t>件，解决或正在解决的</w:t>
            </w:r>
            <w:r>
              <w:rPr>
                <w:rFonts w:ascii="仿宋_GB2312" w:hAnsi="仿宋_GB2312" w:eastAsia="仿宋_GB2312" w:cs="仿宋_GB2312"/>
                <w:color w:val="2B2B2B"/>
                <w:sz w:val="24"/>
                <w:shd w:val="clear" w:color="auto" w:fill="FFFFFF"/>
              </w:rPr>
              <w:t>14</w:t>
            </w:r>
            <w:r>
              <w:rPr>
                <w:rFonts w:hint="eastAsia" w:ascii="仿宋_GB2312" w:hAnsi="仿宋_GB2312" w:eastAsia="仿宋_GB2312" w:cs="仿宋_GB2312"/>
                <w:color w:val="2B2B2B"/>
                <w:sz w:val="24"/>
                <w:shd w:val="clear" w:color="auto" w:fill="FFFFFF"/>
              </w:rPr>
              <w:t>件，列入计划逐步解决的</w:t>
            </w:r>
            <w:r>
              <w:rPr>
                <w:rFonts w:ascii="仿宋_GB2312" w:hAnsi="仿宋_GB2312" w:eastAsia="仿宋_GB2312" w:cs="仿宋_GB2312"/>
                <w:color w:val="2B2B2B"/>
                <w:sz w:val="24"/>
                <w:shd w:val="clear" w:color="auto" w:fill="FFFFFF"/>
              </w:rPr>
              <w:t>60</w:t>
            </w:r>
            <w:r>
              <w:rPr>
                <w:rFonts w:hint="eastAsia" w:ascii="仿宋_GB2312" w:hAnsi="仿宋_GB2312" w:eastAsia="仿宋_GB2312" w:cs="仿宋_GB2312"/>
                <w:color w:val="2B2B2B"/>
                <w:sz w:val="24"/>
                <w:shd w:val="clear" w:color="auto" w:fill="FFFFFF"/>
              </w:rPr>
              <w:t>件，因目前条件限制或其他原因留待以后解决的</w:t>
            </w:r>
            <w:r>
              <w:rPr>
                <w:rFonts w:ascii="仿宋_GB2312" w:hAnsi="仿宋_GB2312" w:eastAsia="仿宋_GB2312" w:cs="仿宋_GB2312"/>
                <w:color w:val="2B2B2B"/>
                <w:sz w:val="24"/>
                <w:shd w:val="clear" w:color="auto" w:fill="FFFFFF"/>
              </w:rPr>
              <w:t>7</w:t>
            </w:r>
            <w:r>
              <w:rPr>
                <w:rFonts w:hint="eastAsia" w:ascii="仿宋_GB2312" w:hAnsi="仿宋_GB2312" w:eastAsia="仿宋_GB2312" w:cs="仿宋_GB2312"/>
                <w:color w:val="2B2B2B"/>
                <w:sz w:val="24"/>
                <w:shd w:val="clear" w:color="auto" w:fill="FFFFFF"/>
              </w:rPr>
              <w:t>件，代表满意率达到</w:t>
            </w:r>
            <w:r>
              <w:rPr>
                <w:rFonts w:ascii="仿宋_GB2312" w:hAnsi="仿宋_GB2312" w:eastAsia="仿宋_GB2312" w:cs="仿宋_GB2312"/>
                <w:color w:val="2B2B2B"/>
                <w:sz w:val="24"/>
                <w:shd w:val="clear" w:color="auto" w:fill="FFFFFF"/>
              </w:rPr>
              <w:t>95%</w:t>
            </w:r>
            <w:r>
              <w:rPr>
                <w:rFonts w:hint="eastAsia" w:ascii="仿宋_GB2312" w:hAnsi="仿宋_GB2312" w:eastAsia="仿宋_GB2312" w:cs="仿宋_GB2312"/>
                <w:color w:val="2B2B2B"/>
                <w:sz w:val="24"/>
                <w:shd w:val="clear" w:color="auto" w:fill="FFFFFF"/>
              </w:rPr>
              <w:t>以上。</w:t>
            </w:r>
          </w:p>
          <w:p>
            <w:pPr>
              <w:spacing w:line="560" w:lineRule="exact"/>
              <w:ind w:firstLine="480" w:firstLineChars="200"/>
              <w:rPr>
                <w:rFonts w:ascii="仿宋_GB2312" w:hAnsi="仿宋_GB2312" w:eastAsia="仿宋_GB2312" w:cs="仿宋_GB2312"/>
                <w:bCs/>
                <w:sz w:val="24"/>
              </w:rPr>
            </w:pPr>
            <w:r>
              <w:rPr>
                <w:rFonts w:hint="eastAsia" w:ascii="仿宋_GB2312" w:hAnsi="仿宋_GB2312" w:eastAsia="仿宋_GB2312" w:cs="仿宋_GB2312"/>
                <w:bCs/>
                <w:sz w:val="24"/>
              </w:rPr>
              <w:t>（二）专项管理情况分析</w:t>
            </w:r>
          </w:p>
          <w:p>
            <w:pPr>
              <w:spacing w:line="600" w:lineRule="exact"/>
              <w:ind w:firstLine="480" w:firstLineChars="200"/>
              <w:rPr>
                <w:rFonts w:ascii="仿宋_GB2312" w:hAnsi="仿宋_GB2312" w:eastAsia="仿宋_GB2312" w:cs="仿宋_GB2312"/>
                <w:color w:val="2B2B2B"/>
                <w:sz w:val="24"/>
                <w:shd w:val="clear" w:color="auto" w:fill="FFFFFF"/>
              </w:rPr>
            </w:pPr>
            <w:r>
              <w:rPr>
                <w:rFonts w:hint="eastAsia" w:ascii="仿宋_GB2312" w:hAnsi="仿宋_GB2312" w:eastAsia="仿宋_GB2312" w:cs="仿宋_GB2312"/>
                <w:color w:val="2B2B2B"/>
                <w:sz w:val="24"/>
                <w:shd w:val="clear" w:color="auto" w:fill="FFFFFF"/>
              </w:rPr>
              <w:t>牢固树立“以人民为中心”的发展理念，综合运用调研、视察、执法检查等方式开展监督，促进“一府一委两院”工作更加规范有序高效。坚持精准监督、有效监督，努力提高监督实效，推动经济社会高质量发展，保障人民共享发展成果。</w:t>
            </w:r>
          </w:p>
          <w:p>
            <w:pPr>
              <w:spacing w:line="600" w:lineRule="exact"/>
              <w:ind w:firstLine="480" w:firstLineChars="200"/>
              <w:rPr>
                <w:rFonts w:ascii="仿宋_GB2312" w:hAnsi="仿宋_GB2312" w:eastAsia="仿宋_GB2312" w:cs="仿宋_GB2312"/>
                <w:color w:val="2B2B2B"/>
                <w:sz w:val="24"/>
                <w:shd w:val="clear" w:color="auto" w:fill="FFFFFF"/>
              </w:rPr>
            </w:pPr>
            <w:r>
              <w:rPr>
                <w:rFonts w:hint="eastAsia" w:ascii="仿宋_GB2312" w:hAnsi="仿宋_GB2312" w:eastAsia="仿宋_GB2312" w:cs="仿宋_GB2312"/>
                <w:color w:val="2B2B2B"/>
                <w:sz w:val="24"/>
                <w:shd w:val="clear" w:color="auto" w:fill="FFFFFF"/>
              </w:rPr>
              <w:t>聚焦科学发展。听取审议计划和预算执行情况、国有资产管理等专项报告，紧盯审计查出问题整改落实，收回违规资金</w:t>
            </w:r>
            <w:r>
              <w:rPr>
                <w:rFonts w:ascii="仿宋_GB2312" w:hAnsi="仿宋_GB2312" w:eastAsia="仿宋_GB2312" w:cs="仿宋_GB2312"/>
                <w:color w:val="2B2B2B"/>
                <w:sz w:val="24"/>
                <w:shd w:val="clear" w:color="auto" w:fill="FFFFFF"/>
              </w:rPr>
              <w:t>483</w:t>
            </w:r>
            <w:r>
              <w:rPr>
                <w:rFonts w:hint="eastAsia" w:ascii="仿宋_GB2312" w:hAnsi="仿宋_GB2312" w:eastAsia="仿宋_GB2312" w:cs="仿宋_GB2312"/>
                <w:color w:val="2B2B2B"/>
                <w:sz w:val="24"/>
                <w:shd w:val="clear" w:color="auto" w:fill="FFFFFF"/>
              </w:rPr>
              <w:t>万元，存量资金</w:t>
            </w:r>
            <w:r>
              <w:rPr>
                <w:rFonts w:ascii="仿宋_GB2312" w:hAnsi="仿宋_GB2312" w:eastAsia="仿宋_GB2312" w:cs="仿宋_GB2312"/>
                <w:color w:val="2B2B2B"/>
                <w:sz w:val="24"/>
                <w:shd w:val="clear" w:color="auto" w:fill="FFFFFF"/>
              </w:rPr>
              <w:t>581</w:t>
            </w:r>
            <w:r>
              <w:rPr>
                <w:rFonts w:hint="eastAsia" w:ascii="仿宋_GB2312" w:hAnsi="仿宋_GB2312" w:eastAsia="仿宋_GB2312" w:cs="仿宋_GB2312"/>
                <w:color w:val="2B2B2B"/>
                <w:sz w:val="24"/>
                <w:shd w:val="clear" w:color="auto" w:fill="FFFFFF"/>
              </w:rPr>
              <w:t>万元，违规出借资金</w:t>
            </w:r>
            <w:r>
              <w:rPr>
                <w:rFonts w:ascii="仿宋_GB2312" w:hAnsi="仿宋_GB2312" w:eastAsia="仿宋_GB2312" w:cs="仿宋_GB2312"/>
                <w:color w:val="2B2B2B"/>
                <w:sz w:val="24"/>
                <w:shd w:val="clear" w:color="auto" w:fill="FFFFFF"/>
              </w:rPr>
              <w:t>24</w:t>
            </w:r>
            <w:r>
              <w:rPr>
                <w:rFonts w:hint="eastAsia" w:ascii="仿宋_GB2312" w:hAnsi="仿宋_GB2312" w:eastAsia="仿宋_GB2312" w:cs="仿宋_GB2312"/>
                <w:color w:val="2B2B2B"/>
                <w:sz w:val="24"/>
                <w:shd w:val="clear" w:color="auto" w:fill="FFFFFF"/>
              </w:rPr>
              <w:t>万元。启动预算联网在线监督，切实保障全县财政资金规范、合法、有效使用。听取台湾农民创业园发展情况报告，组织开展民族宗教工作调研、“三湘民族团结进步行”活动，凝聚发展合力。视察《政府工作报告》完成情况，听取“一县一特”产业发展、公共文化建设、县城范围内静态停车管理、特种设备安全监管、《城乡规划法》执行和村庄规划编制审议意见落实情况的报告，督促政府做好稳增长、促改革、调结构、惠民生、防风险、保稳定各项工作。</w:t>
            </w:r>
          </w:p>
          <w:p>
            <w:pPr>
              <w:spacing w:line="600" w:lineRule="exact"/>
              <w:ind w:firstLine="480" w:firstLineChars="200"/>
              <w:rPr>
                <w:rFonts w:ascii="仿宋_GB2312" w:hAnsi="仿宋_GB2312" w:eastAsia="仿宋_GB2312" w:cs="仿宋_GB2312"/>
                <w:color w:val="2B2B2B"/>
                <w:sz w:val="24"/>
                <w:shd w:val="clear" w:color="auto" w:fill="FFFFFF"/>
              </w:rPr>
            </w:pPr>
            <w:r>
              <w:rPr>
                <w:rFonts w:hint="eastAsia" w:ascii="仿宋_GB2312" w:hAnsi="仿宋_GB2312" w:eastAsia="仿宋_GB2312" w:cs="仿宋_GB2312"/>
                <w:color w:val="2B2B2B"/>
                <w:sz w:val="24"/>
                <w:shd w:val="clear" w:color="auto" w:fill="FFFFFF"/>
              </w:rPr>
              <w:t>聚焦民生改善。听取审议水、电、车票等价格制定、医保基金监管、城乡低保、残疾人保障、道路交通安全等专项工作报告；督促政府整改落实养老保险工作审议意见和加强音体美教学全面提升学生综合素质审议意见；听取我县疾病预防控制暨新冠肺炎集中收治医院建设情况的报告，推动合理配置医疗资源，提高应对突发公共卫生事件的处置能力；视察调研城区</w:t>
            </w:r>
            <w:r>
              <w:rPr>
                <w:rFonts w:ascii="仿宋_GB2312" w:hAnsi="仿宋_GB2312" w:eastAsia="仿宋_GB2312" w:cs="仿宋_GB2312"/>
                <w:color w:val="2B2B2B"/>
                <w:sz w:val="24"/>
                <w:shd w:val="clear" w:color="auto" w:fill="FFFFFF"/>
              </w:rPr>
              <w:t>10</w:t>
            </w:r>
            <w:r>
              <w:rPr>
                <w:rFonts w:hint="eastAsia" w:ascii="仿宋_GB2312" w:hAnsi="仿宋_GB2312" w:eastAsia="仿宋_GB2312" w:cs="仿宋_GB2312"/>
                <w:color w:val="2B2B2B"/>
                <w:sz w:val="24"/>
                <w:shd w:val="clear" w:color="auto" w:fill="FFFFFF"/>
              </w:rPr>
              <w:t>所学校教学秩序、校园安全和周边环境情况，指出问题</w:t>
            </w:r>
            <w:r>
              <w:rPr>
                <w:rFonts w:ascii="仿宋_GB2312" w:hAnsi="仿宋_GB2312" w:eastAsia="仿宋_GB2312" w:cs="仿宋_GB2312"/>
                <w:color w:val="2B2B2B"/>
                <w:sz w:val="24"/>
                <w:shd w:val="clear" w:color="auto" w:fill="FFFFFF"/>
              </w:rPr>
              <w:t>30</w:t>
            </w:r>
            <w:r>
              <w:rPr>
                <w:rFonts w:hint="eastAsia" w:ascii="仿宋_GB2312" w:hAnsi="仿宋_GB2312" w:eastAsia="仿宋_GB2312" w:cs="仿宋_GB2312"/>
                <w:color w:val="2B2B2B"/>
                <w:sz w:val="24"/>
                <w:shd w:val="clear" w:color="auto" w:fill="FFFFFF"/>
              </w:rPr>
              <w:t>余个；开展“三湘农民健康行”和“三湘农产品质量安全行”活动，增强农民卫生健康意识，守护舌尖上的安全，推动在发展中补齐民生短板，努力做到病有所医、老有所养、学有所教、劳有所得、住有所居、弱有所扶。</w:t>
            </w:r>
          </w:p>
          <w:p>
            <w:pPr>
              <w:spacing w:line="600" w:lineRule="exact"/>
              <w:ind w:firstLine="480" w:firstLineChars="200"/>
              <w:rPr>
                <w:rFonts w:ascii="仿宋_GB2312" w:hAnsi="仿宋_GB2312" w:eastAsia="仿宋_GB2312" w:cs="仿宋_GB2312"/>
                <w:color w:val="2B2B2B"/>
                <w:sz w:val="24"/>
                <w:shd w:val="clear" w:color="auto" w:fill="FFFFFF"/>
              </w:rPr>
            </w:pPr>
            <w:r>
              <w:rPr>
                <w:rFonts w:hint="eastAsia" w:ascii="仿宋_GB2312" w:hAnsi="仿宋_GB2312" w:eastAsia="仿宋_GB2312" w:cs="仿宋_GB2312"/>
                <w:color w:val="2B2B2B"/>
                <w:sz w:val="24"/>
                <w:shd w:val="clear" w:color="auto" w:fill="FFFFFF"/>
              </w:rPr>
              <w:t>聚焦生态环保。听取东洞庭湖水域禁捕退捕工作情况的报告，参与人工增殖放流活动，推动加快修复长江和东洞庭湖生态环境；开展《水污染防治法》执法检查，对全县水、大气、土壤污染防治情况进行调研，推动解决环保督察中暴露的重点问题；开展“三湘环保世纪行”活动，组织代表和环保志愿者到东洞庭湖自然保护区开展考察，传播生态环保理念，落实总书记“守护好一江碧水”的殷殷嘱托；听取我县野生动物保护情况的报告，开展《动物防疫法》执法检查，坚决禁止非法野生动物交易，革除滥食野生动物陋习。</w:t>
            </w:r>
          </w:p>
          <w:p>
            <w:pPr>
              <w:spacing w:line="600" w:lineRule="exact"/>
              <w:ind w:firstLine="480" w:firstLineChars="200"/>
              <w:rPr>
                <w:rFonts w:ascii="仿宋_GB2312" w:hAnsi="仿宋_GB2312" w:eastAsia="仿宋_GB2312" w:cs="仿宋_GB2312"/>
                <w:color w:val="2B2B2B"/>
                <w:sz w:val="24"/>
                <w:shd w:val="clear" w:color="auto" w:fill="FFFFFF"/>
              </w:rPr>
            </w:pPr>
            <w:r>
              <w:rPr>
                <w:rFonts w:hint="eastAsia" w:ascii="仿宋_GB2312" w:hAnsi="仿宋_GB2312" w:eastAsia="仿宋_GB2312" w:cs="仿宋_GB2312"/>
                <w:color w:val="2B2B2B"/>
                <w:sz w:val="24"/>
                <w:shd w:val="clear" w:color="auto" w:fill="FFFFFF"/>
              </w:rPr>
              <w:t>聚焦法治建设。听取审议拘留所、戒毒所、看守所和特殊人群涉毒人员收治中心建设与管理情况的报告，确保依法打击犯罪，维护社会治安，保护公民身心健康。加强司法监督，组织</w:t>
            </w:r>
            <w:r>
              <w:rPr>
                <w:rFonts w:ascii="仿宋_GB2312" w:hAnsi="仿宋_GB2312" w:eastAsia="仿宋_GB2312" w:cs="仿宋_GB2312"/>
                <w:color w:val="2B2B2B"/>
                <w:sz w:val="24"/>
                <w:shd w:val="clear" w:color="auto" w:fill="FFFFFF"/>
              </w:rPr>
              <w:t>4</w:t>
            </w:r>
            <w:r>
              <w:rPr>
                <w:rFonts w:hint="eastAsia" w:ascii="仿宋_GB2312" w:hAnsi="仿宋_GB2312" w:eastAsia="仿宋_GB2312" w:cs="仿宋_GB2312"/>
                <w:color w:val="2B2B2B"/>
                <w:sz w:val="24"/>
                <w:shd w:val="clear" w:color="auto" w:fill="FFFFFF"/>
              </w:rPr>
              <w:t>批次市县人大代表现场观摩庭审。建立规范性文件备案审查衔接联动机制，依法审查规范性文件</w:t>
            </w:r>
            <w:r>
              <w:rPr>
                <w:rFonts w:ascii="仿宋_GB2312" w:hAnsi="仿宋_GB2312" w:eastAsia="仿宋_GB2312" w:cs="仿宋_GB2312"/>
                <w:color w:val="2B2B2B"/>
                <w:sz w:val="24"/>
                <w:shd w:val="clear" w:color="auto" w:fill="FFFFFF"/>
              </w:rPr>
              <w:t>66</w:t>
            </w:r>
            <w:r>
              <w:rPr>
                <w:rFonts w:hint="eastAsia" w:ascii="仿宋_GB2312" w:hAnsi="仿宋_GB2312" w:eastAsia="仿宋_GB2312" w:cs="仿宋_GB2312"/>
                <w:color w:val="2B2B2B"/>
                <w:sz w:val="24"/>
                <w:shd w:val="clear" w:color="auto" w:fill="FFFFFF"/>
              </w:rPr>
              <w:t>件，其中县人民政府</w:t>
            </w:r>
            <w:r>
              <w:rPr>
                <w:rFonts w:ascii="仿宋_GB2312" w:hAnsi="仿宋_GB2312" w:eastAsia="仿宋_GB2312" w:cs="仿宋_GB2312"/>
                <w:color w:val="2B2B2B"/>
                <w:sz w:val="24"/>
                <w:shd w:val="clear" w:color="auto" w:fill="FFFFFF"/>
              </w:rPr>
              <w:t>29</w:t>
            </w:r>
            <w:r>
              <w:rPr>
                <w:rFonts w:hint="eastAsia" w:ascii="仿宋_GB2312" w:hAnsi="仿宋_GB2312" w:eastAsia="仿宋_GB2312" w:cs="仿宋_GB2312"/>
                <w:color w:val="2B2B2B"/>
                <w:sz w:val="24"/>
                <w:shd w:val="clear" w:color="auto" w:fill="FFFFFF"/>
              </w:rPr>
              <w:t>件，乡镇</w:t>
            </w:r>
            <w:r>
              <w:rPr>
                <w:rFonts w:ascii="仿宋_GB2312" w:hAnsi="仿宋_GB2312" w:eastAsia="仿宋_GB2312" w:cs="仿宋_GB2312"/>
                <w:color w:val="2B2B2B"/>
                <w:sz w:val="24"/>
                <w:shd w:val="clear" w:color="auto" w:fill="FFFFFF"/>
              </w:rPr>
              <w:t>37</w:t>
            </w:r>
            <w:r>
              <w:rPr>
                <w:rFonts w:hint="eastAsia" w:ascii="仿宋_GB2312" w:hAnsi="仿宋_GB2312" w:eastAsia="仿宋_GB2312" w:cs="仿宋_GB2312"/>
                <w:color w:val="2B2B2B"/>
                <w:sz w:val="24"/>
                <w:shd w:val="clear" w:color="auto" w:fill="FFFFFF"/>
              </w:rPr>
              <w:t>件，向市人大常委会报备</w:t>
            </w:r>
            <w:r>
              <w:rPr>
                <w:rFonts w:ascii="仿宋_GB2312" w:hAnsi="仿宋_GB2312" w:eastAsia="仿宋_GB2312" w:cs="仿宋_GB2312"/>
                <w:color w:val="2B2B2B"/>
                <w:sz w:val="24"/>
                <w:shd w:val="clear" w:color="auto" w:fill="FFFFFF"/>
              </w:rPr>
              <w:t>5</w:t>
            </w:r>
            <w:r>
              <w:rPr>
                <w:rFonts w:hint="eastAsia" w:ascii="仿宋_GB2312" w:hAnsi="仿宋_GB2312" w:eastAsia="仿宋_GB2312" w:cs="仿宋_GB2312"/>
                <w:color w:val="2B2B2B"/>
                <w:sz w:val="24"/>
                <w:shd w:val="clear" w:color="auto" w:fill="FFFFFF"/>
              </w:rPr>
              <w:t>件。配合《岳阳市铁山水库饮用水水源保护条例》等</w:t>
            </w:r>
            <w:r>
              <w:rPr>
                <w:rFonts w:ascii="仿宋_GB2312" w:hAnsi="仿宋_GB2312" w:eastAsia="仿宋_GB2312" w:cs="仿宋_GB2312"/>
                <w:color w:val="2B2B2B"/>
                <w:sz w:val="24"/>
                <w:shd w:val="clear" w:color="auto" w:fill="FFFFFF"/>
              </w:rPr>
              <w:t>4</w:t>
            </w:r>
            <w:r>
              <w:rPr>
                <w:rFonts w:hint="eastAsia" w:ascii="仿宋_GB2312" w:hAnsi="仿宋_GB2312" w:eastAsia="仿宋_GB2312" w:cs="仿宋_GB2312"/>
                <w:color w:val="2B2B2B"/>
                <w:sz w:val="24"/>
                <w:shd w:val="clear" w:color="auto" w:fill="FFFFFF"/>
              </w:rPr>
              <w:t>部法律法规立法调研，提出意见建议</w:t>
            </w:r>
            <w:r>
              <w:rPr>
                <w:rFonts w:ascii="仿宋_GB2312" w:hAnsi="仿宋_GB2312" w:eastAsia="仿宋_GB2312" w:cs="仿宋_GB2312"/>
                <w:color w:val="2B2B2B"/>
                <w:sz w:val="24"/>
                <w:shd w:val="clear" w:color="auto" w:fill="FFFFFF"/>
              </w:rPr>
              <w:t>50</w:t>
            </w:r>
            <w:r>
              <w:rPr>
                <w:rFonts w:hint="eastAsia" w:ascii="仿宋_GB2312" w:hAnsi="仿宋_GB2312" w:eastAsia="仿宋_GB2312" w:cs="仿宋_GB2312"/>
                <w:color w:val="2B2B2B"/>
                <w:sz w:val="24"/>
                <w:shd w:val="clear" w:color="auto" w:fill="FFFFFF"/>
              </w:rPr>
              <w:t>余条。热情接待来访群众，受理并交办来信来访事项</w:t>
            </w:r>
            <w:r>
              <w:rPr>
                <w:rFonts w:ascii="仿宋_GB2312" w:hAnsi="仿宋_GB2312" w:eastAsia="仿宋_GB2312" w:cs="仿宋_GB2312"/>
                <w:color w:val="2B2B2B"/>
                <w:sz w:val="24"/>
                <w:shd w:val="clear" w:color="auto" w:fill="FFFFFF"/>
              </w:rPr>
              <w:t>54</w:t>
            </w:r>
            <w:r>
              <w:rPr>
                <w:rFonts w:hint="eastAsia" w:ascii="仿宋_GB2312" w:hAnsi="仿宋_GB2312" w:eastAsia="仿宋_GB2312" w:cs="仿宋_GB2312"/>
                <w:color w:val="2B2B2B"/>
                <w:sz w:val="24"/>
                <w:shd w:val="clear" w:color="auto" w:fill="FFFFFF"/>
              </w:rPr>
              <w:t>件次，促进社会公正、和谐。</w:t>
            </w:r>
          </w:p>
          <w:p>
            <w:pPr>
              <w:spacing w:line="600" w:lineRule="exact"/>
              <w:ind w:firstLine="480" w:firstLineChars="200"/>
              <w:rPr>
                <w:rFonts w:ascii="仿宋_GB2312" w:hAnsi="仿宋_GB2312" w:eastAsia="仿宋_GB2312" w:cs="仿宋_GB2312"/>
                <w:color w:val="2B2B2B"/>
                <w:sz w:val="24"/>
                <w:shd w:val="clear" w:color="auto" w:fill="FFFFFF"/>
              </w:rPr>
            </w:pPr>
            <w:r>
              <w:rPr>
                <w:rFonts w:hint="eastAsia" w:ascii="仿宋_GB2312" w:hAnsi="仿宋_GB2312" w:eastAsia="仿宋_GB2312" w:cs="仿宋_GB2312"/>
                <w:color w:val="2B2B2B"/>
                <w:sz w:val="24"/>
                <w:shd w:val="clear" w:color="auto" w:fill="FFFFFF"/>
              </w:rPr>
              <w:t>聚焦规范履职。听取应急管理机构改革情况报告，推动机构改革职能职责按时到位；听取全县道路交通执法执收情况报告，让行政执法权在阳光下运行；继续开展员额法官和员额检察官全员履职评议；听取县人民政府两名副县长和县人民法院一名副院长分管工作报告；听取县水利局等</w:t>
            </w:r>
            <w:r>
              <w:rPr>
                <w:rFonts w:ascii="仿宋_GB2312" w:hAnsi="仿宋_GB2312" w:eastAsia="仿宋_GB2312" w:cs="仿宋_GB2312"/>
                <w:color w:val="2B2B2B"/>
                <w:sz w:val="24"/>
                <w:shd w:val="clear" w:color="auto" w:fill="FFFFFF"/>
              </w:rPr>
              <w:t>5</w:t>
            </w:r>
            <w:r>
              <w:rPr>
                <w:rFonts w:hint="eastAsia" w:ascii="仿宋_GB2312" w:hAnsi="仿宋_GB2312" w:eastAsia="仿宋_GB2312" w:cs="仿宋_GB2312"/>
                <w:color w:val="2B2B2B"/>
                <w:sz w:val="24"/>
                <w:shd w:val="clear" w:color="auto" w:fill="FFFFFF"/>
              </w:rPr>
              <w:t>个</w:t>
            </w:r>
            <w:r>
              <w:rPr>
                <w:rFonts w:ascii="仿宋_GB2312" w:hAnsi="仿宋_GB2312" w:eastAsia="仿宋_GB2312" w:cs="仿宋_GB2312"/>
                <w:color w:val="2B2B2B"/>
                <w:sz w:val="24"/>
                <w:shd w:val="clear" w:color="auto" w:fill="FFFFFF"/>
              </w:rPr>
              <w:t>2019</w:t>
            </w:r>
            <w:r>
              <w:rPr>
                <w:rFonts w:hint="eastAsia" w:ascii="仿宋_GB2312" w:hAnsi="仿宋_GB2312" w:eastAsia="仿宋_GB2312" w:cs="仿宋_GB2312"/>
                <w:color w:val="2B2B2B"/>
                <w:sz w:val="24"/>
                <w:shd w:val="clear" w:color="auto" w:fill="FFFFFF"/>
              </w:rPr>
              <w:t>年被评议单位评议意见整改落实情况报告，对县民政局等</w:t>
            </w:r>
            <w:r>
              <w:rPr>
                <w:rFonts w:ascii="仿宋_GB2312" w:hAnsi="仿宋_GB2312" w:eastAsia="仿宋_GB2312" w:cs="仿宋_GB2312"/>
                <w:color w:val="2B2B2B"/>
                <w:sz w:val="24"/>
                <w:shd w:val="clear" w:color="auto" w:fill="FFFFFF"/>
              </w:rPr>
              <w:t>9</w:t>
            </w:r>
            <w:r>
              <w:rPr>
                <w:rFonts w:hint="eastAsia" w:ascii="仿宋_GB2312" w:hAnsi="仿宋_GB2312" w:eastAsia="仿宋_GB2312" w:cs="仿宋_GB2312"/>
                <w:color w:val="2B2B2B"/>
                <w:sz w:val="24"/>
                <w:shd w:val="clear" w:color="auto" w:fill="FFFFFF"/>
              </w:rPr>
              <w:t>个部门开展工作评议，提出整改意见</w:t>
            </w:r>
            <w:r>
              <w:rPr>
                <w:rFonts w:ascii="仿宋_GB2312" w:hAnsi="仿宋_GB2312" w:eastAsia="仿宋_GB2312" w:cs="仿宋_GB2312"/>
                <w:color w:val="2B2B2B"/>
                <w:sz w:val="24"/>
                <w:shd w:val="clear" w:color="auto" w:fill="FFFFFF"/>
              </w:rPr>
              <w:t>29</w:t>
            </w:r>
            <w:r>
              <w:rPr>
                <w:rFonts w:hint="eastAsia" w:ascii="仿宋_GB2312" w:hAnsi="仿宋_GB2312" w:eastAsia="仿宋_GB2312" w:cs="仿宋_GB2312"/>
                <w:color w:val="2B2B2B"/>
                <w:sz w:val="24"/>
                <w:shd w:val="clear" w:color="auto" w:fill="FFFFFF"/>
              </w:rPr>
              <w:t>条；听取</w:t>
            </w:r>
            <w:r>
              <w:rPr>
                <w:rFonts w:ascii="仿宋_GB2312" w:hAnsi="仿宋_GB2312" w:eastAsia="仿宋_GB2312" w:cs="仿宋_GB2312"/>
                <w:color w:val="2B2B2B"/>
                <w:sz w:val="24"/>
                <w:shd w:val="clear" w:color="auto" w:fill="FFFFFF"/>
              </w:rPr>
              <w:t>6</w:t>
            </w:r>
            <w:r>
              <w:rPr>
                <w:rFonts w:hint="eastAsia" w:ascii="仿宋_GB2312" w:hAnsi="仿宋_GB2312" w:eastAsia="仿宋_GB2312" w:cs="仿宋_GB2312"/>
                <w:color w:val="2B2B2B"/>
                <w:sz w:val="24"/>
                <w:shd w:val="clear" w:color="auto" w:fill="FFFFFF"/>
              </w:rPr>
              <w:t>名市八届人大代表履职情况的报告。</w:t>
            </w:r>
          </w:p>
          <w:p>
            <w:pPr>
              <w:spacing w:line="600" w:lineRule="exact"/>
              <w:ind w:firstLine="480" w:firstLineChars="200"/>
              <w:rPr>
                <w:rFonts w:ascii="黑体" w:hAnsi="黑体" w:eastAsia="黑体" w:cs="黑体"/>
                <w:bCs/>
                <w:sz w:val="24"/>
              </w:rPr>
            </w:pPr>
            <w:r>
              <w:rPr>
                <w:rFonts w:hint="eastAsia" w:ascii="黑体" w:hAnsi="黑体" w:eastAsia="黑体" w:cs="黑体"/>
                <w:bCs/>
                <w:sz w:val="24"/>
              </w:rPr>
              <w:t>四、部门（单位）整体支出绩效情况</w:t>
            </w:r>
          </w:p>
          <w:p>
            <w:pPr>
              <w:spacing w:line="600" w:lineRule="exact"/>
              <w:ind w:firstLine="720" w:firstLineChars="300"/>
              <w:rPr>
                <w:rFonts w:ascii="仿宋_GB2312" w:hAnsi="仿宋_GB2312" w:eastAsia="仿宋_GB2312" w:cs="仿宋_GB2312"/>
                <w:color w:val="2B2B2B"/>
                <w:sz w:val="24"/>
                <w:shd w:val="clear" w:color="auto" w:fill="FFFFFF"/>
              </w:rPr>
            </w:pPr>
            <w:r>
              <w:rPr>
                <w:rFonts w:hint="eastAsia" w:ascii="仿宋_GB2312" w:hAnsi="仿宋_GB2312" w:eastAsia="仿宋_GB2312" w:cs="仿宋_GB2312"/>
                <w:color w:val="2B2B2B"/>
                <w:sz w:val="24"/>
                <w:shd w:val="clear" w:color="auto" w:fill="FFFFFF"/>
              </w:rPr>
              <w:t>（一）始终坚持党的领导。</w:t>
            </w:r>
          </w:p>
          <w:p>
            <w:pPr>
              <w:spacing w:line="600" w:lineRule="exact"/>
              <w:ind w:firstLine="720" w:firstLineChars="300"/>
              <w:rPr>
                <w:rFonts w:ascii="仿宋_GB2312" w:hAnsi="仿宋_GB2312" w:eastAsia="仿宋_GB2312" w:cs="仿宋_GB2312"/>
                <w:color w:val="2B2B2B"/>
                <w:sz w:val="24"/>
                <w:shd w:val="clear" w:color="auto" w:fill="FFFFFF"/>
              </w:rPr>
            </w:pPr>
            <w:r>
              <w:rPr>
                <w:rFonts w:hint="eastAsia" w:ascii="仿宋_GB2312" w:hAnsi="仿宋_GB2312" w:eastAsia="仿宋_GB2312" w:cs="仿宋_GB2312"/>
                <w:color w:val="2B2B2B"/>
                <w:sz w:val="24"/>
                <w:shd w:val="clear" w:color="auto" w:fill="FFFFFF"/>
              </w:rPr>
              <w:t>自觉在县委领导下依法履职行权，请示县委召开全县人大工作会议，县委田书记出席会议并讲话；完善县人大常委会党组向县委请示报告制度，重大事项、重要情况及时请示报告，将党的领导贯穿于人大工作各方面、全过程。注重发挥常委会党组把方向、管大局、保落实的作用，加强对常委会工作的统筹协调，及时研究解决重大问题。</w:t>
            </w:r>
          </w:p>
          <w:p>
            <w:pPr>
              <w:spacing w:line="600" w:lineRule="exact"/>
              <w:ind w:left="420" w:leftChars="200"/>
              <w:rPr>
                <w:rFonts w:ascii="仿宋_GB2312" w:hAnsi="仿宋_GB2312" w:eastAsia="仿宋_GB2312" w:cs="仿宋_GB2312"/>
                <w:color w:val="2B2B2B"/>
                <w:sz w:val="24"/>
                <w:shd w:val="clear" w:color="auto" w:fill="FFFFFF"/>
              </w:rPr>
            </w:pPr>
            <w:r>
              <w:rPr>
                <w:rFonts w:hint="eastAsia" w:ascii="仿宋_GB2312" w:hAnsi="仿宋_GB2312" w:eastAsia="仿宋_GB2312" w:cs="仿宋_GB2312"/>
                <w:color w:val="2B2B2B"/>
                <w:sz w:val="24"/>
                <w:shd w:val="clear" w:color="auto" w:fill="FFFFFF"/>
              </w:rPr>
              <w:t>（二）全力服务中心工作。</w:t>
            </w:r>
          </w:p>
          <w:p>
            <w:pPr>
              <w:spacing w:line="600" w:lineRule="exact"/>
              <w:ind w:left="420" w:leftChars="200"/>
              <w:rPr>
                <w:rFonts w:ascii="仿宋_GB2312" w:hAnsi="仿宋_GB2312" w:eastAsia="仿宋_GB2312" w:cs="仿宋_GB2312"/>
                <w:color w:val="2B2B2B"/>
                <w:sz w:val="24"/>
                <w:shd w:val="clear" w:color="auto" w:fill="FFFFFF"/>
              </w:rPr>
            </w:pPr>
            <w:r>
              <w:rPr>
                <w:rFonts w:hint="eastAsia" w:ascii="仿宋_GB2312" w:hAnsi="仿宋_GB2312" w:eastAsia="仿宋_GB2312" w:cs="仿宋_GB2312"/>
                <w:color w:val="2B2B2B"/>
                <w:sz w:val="24"/>
                <w:shd w:val="clear" w:color="auto" w:fill="FFFFFF"/>
              </w:rPr>
              <w:t>紧紧围绕县委中心工作安排部署人大工作，以实际行动落实县委的决策部署。发挥人大自身优势，向全县各级人大代表发出农村人居环境整治村庄清洁行动的倡议书，持续推动代表开展“我为脱贫攻坚做贡献”活动；全员参与文明创建行动，派出工作队到长湖乡范家村驻点指导人居环境整治集中攻坚行动；主任会议成员和机关干部积极参与重点项目建设，取得显著成效。</w:t>
            </w:r>
          </w:p>
          <w:p>
            <w:pPr>
              <w:numPr>
                <w:ilvl w:val="0"/>
                <w:numId w:val="3"/>
              </w:numPr>
              <w:spacing w:line="600" w:lineRule="exact"/>
              <w:ind w:firstLine="480" w:firstLineChars="200"/>
              <w:rPr>
                <w:rFonts w:ascii="仿宋_GB2312" w:hAnsi="仿宋_GB2312" w:eastAsia="仿宋_GB2312" w:cs="仿宋_GB2312"/>
                <w:color w:val="2B2B2B"/>
                <w:sz w:val="24"/>
                <w:shd w:val="clear" w:color="auto" w:fill="FFFFFF"/>
              </w:rPr>
            </w:pPr>
            <w:r>
              <w:rPr>
                <w:rFonts w:hint="eastAsia" w:ascii="仿宋_GB2312" w:hAnsi="仿宋_GB2312" w:eastAsia="仿宋_GB2312" w:cs="仿宋_GB2312"/>
                <w:color w:val="2B2B2B"/>
                <w:sz w:val="24"/>
                <w:shd w:val="clear" w:color="auto" w:fill="FFFFFF"/>
              </w:rPr>
              <w:t>坚持理论武装。把加强政治学习摆在首位，不断完善常委会党组和机关学习制度，全年开展党组中心组和机关集体学习</w:t>
            </w:r>
            <w:r>
              <w:rPr>
                <w:rFonts w:ascii="仿宋_GB2312" w:hAnsi="仿宋_GB2312" w:eastAsia="仿宋_GB2312" w:cs="仿宋_GB2312"/>
                <w:color w:val="2B2B2B"/>
                <w:sz w:val="24"/>
                <w:shd w:val="clear" w:color="auto" w:fill="FFFFFF"/>
              </w:rPr>
              <w:t>18</w:t>
            </w:r>
            <w:r>
              <w:rPr>
                <w:rFonts w:hint="eastAsia" w:ascii="仿宋_GB2312" w:hAnsi="仿宋_GB2312" w:eastAsia="仿宋_GB2312" w:cs="仿宋_GB2312"/>
                <w:color w:val="2B2B2B"/>
                <w:sz w:val="24"/>
                <w:shd w:val="clear" w:color="auto" w:fill="FFFFFF"/>
              </w:rPr>
              <w:t>次，将《习近平谈治国理政（第三卷）》、党的十九届五中全会和习近平总书记考察湖南重要讲话，以及关于疫情防控、脱贫攻坚等指示精神列为重点学习内容，自觉对标对表，不断增强“四个意识”，坚定“四个自信”，做到“两个维护”。</w:t>
            </w:r>
          </w:p>
          <w:p>
            <w:pPr>
              <w:numPr>
                <w:ilvl w:val="0"/>
                <w:numId w:val="3"/>
              </w:numPr>
              <w:spacing w:line="600" w:lineRule="exact"/>
              <w:ind w:firstLine="480" w:firstLineChars="200"/>
              <w:rPr>
                <w:rFonts w:ascii="仿宋_GB2312" w:hAnsi="仿宋_GB2312" w:eastAsia="仿宋_GB2312" w:cs="仿宋_GB2312"/>
                <w:color w:val="2B2B2B"/>
                <w:sz w:val="24"/>
                <w:shd w:val="clear" w:color="auto" w:fill="FFFFFF"/>
              </w:rPr>
            </w:pPr>
            <w:r>
              <w:rPr>
                <w:rFonts w:hint="eastAsia" w:ascii="仿宋_GB2312" w:hAnsi="仿宋_GB2312" w:eastAsia="仿宋_GB2312" w:cs="仿宋_GB2312"/>
                <w:color w:val="2B2B2B"/>
                <w:sz w:val="24"/>
                <w:shd w:val="clear" w:color="auto" w:fill="FFFFFF"/>
              </w:rPr>
              <w:t>不断加强自身建设。</w:t>
            </w:r>
          </w:p>
          <w:p>
            <w:pPr>
              <w:spacing w:line="560" w:lineRule="exact"/>
              <w:ind w:firstLine="480" w:firstLineChars="200"/>
              <w:rPr>
                <w:rFonts w:ascii="仿宋_GB2312" w:hAnsi="仿宋_GB2312" w:eastAsia="仿宋_GB2312" w:cs="仿宋_GB2312"/>
                <w:color w:val="2B2B2B"/>
                <w:sz w:val="24"/>
                <w:shd w:val="clear" w:color="auto" w:fill="FFFFFF"/>
              </w:rPr>
            </w:pPr>
            <w:r>
              <w:rPr>
                <w:rFonts w:hint="eastAsia" w:ascii="仿宋_GB2312" w:hAnsi="仿宋_GB2312" w:eastAsia="仿宋_GB2312" w:cs="仿宋_GB2312"/>
                <w:color w:val="2B2B2B"/>
                <w:sz w:val="24"/>
                <w:shd w:val="clear" w:color="auto" w:fill="FFFFFF"/>
              </w:rPr>
              <w:t>严格落实意识形态工作责任制，不断改进人大新闻舆论工作，确保方向正确。深入推进“不忘初心、牢记使命”主题教育，定期研究机关党建工作，按期进行机关支部换届选举，不断深化支部“五化”建设，组织机关党员开展“担脱贫攻坚使命”“弘扬半条被子精神”“心系国防”“传孝廉家风”等主题党日活动，让党组和支部战斗堡垒作用发挥更加充分。</w:t>
            </w:r>
          </w:p>
          <w:p>
            <w:pPr>
              <w:spacing w:line="560" w:lineRule="exact"/>
              <w:ind w:firstLine="480" w:firstLineChars="200"/>
              <w:rPr>
                <w:rFonts w:ascii="仿宋_GB2312" w:hAnsi="仿宋_GB2312" w:eastAsia="仿宋_GB2312" w:cs="仿宋_GB2312"/>
                <w:color w:val="2B2B2B"/>
                <w:sz w:val="24"/>
                <w:shd w:val="clear" w:color="auto" w:fill="FFFFFF"/>
              </w:rPr>
            </w:pPr>
            <w:r>
              <w:rPr>
                <w:rFonts w:ascii="仿宋_GB2312" w:hAnsi="仿宋_GB2312" w:eastAsia="仿宋_GB2312" w:cs="仿宋_GB2312"/>
                <w:color w:val="2B2B2B"/>
                <w:sz w:val="24"/>
                <w:shd w:val="clear" w:color="auto" w:fill="FFFFFF"/>
              </w:rPr>
              <w:t>(</w:t>
            </w:r>
            <w:r>
              <w:rPr>
                <w:rFonts w:hint="eastAsia" w:ascii="仿宋_GB2312" w:hAnsi="仿宋_GB2312" w:eastAsia="仿宋_GB2312" w:cs="仿宋_GB2312"/>
                <w:color w:val="2B2B2B"/>
                <w:sz w:val="24"/>
                <w:shd w:val="clear" w:color="auto" w:fill="FFFFFF"/>
              </w:rPr>
              <w:t>五</w:t>
            </w:r>
            <w:r>
              <w:rPr>
                <w:rFonts w:ascii="仿宋_GB2312" w:hAnsi="仿宋_GB2312" w:eastAsia="仿宋_GB2312" w:cs="仿宋_GB2312"/>
                <w:color w:val="2B2B2B"/>
                <w:sz w:val="24"/>
                <w:shd w:val="clear" w:color="auto" w:fill="FFFFFF"/>
              </w:rPr>
              <w:t>)</w:t>
            </w:r>
            <w:r>
              <w:rPr>
                <w:rFonts w:hint="eastAsia" w:ascii="仿宋_GB2312" w:hAnsi="仿宋_GB2312" w:eastAsia="仿宋_GB2312" w:cs="仿宋_GB2312"/>
                <w:color w:val="2B2B2B"/>
                <w:sz w:val="24"/>
                <w:shd w:val="clear" w:color="auto" w:fill="FFFFFF"/>
              </w:rPr>
              <w:t>政治建设考察反馈意见整改情况</w:t>
            </w:r>
          </w:p>
          <w:p>
            <w:pPr>
              <w:spacing w:line="560" w:lineRule="exact"/>
              <w:ind w:firstLine="480" w:firstLineChars="200"/>
              <w:rPr>
                <w:rFonts w:ascii="仿宋_GB2312" w:hAnsi="仿宋_GB2312" w:eastAsia="仿宋_GB2312" w:cs="仿宋_GB2312"/>
                <w:color w:val="2B2B2B"/>
                <w:sz w:val="24"/>
                <w:shd w:val="clear" w:color="auto" w:fill="FFFFFF"/>
              </w:rPr>
            </w:pPr>
            <w:r>
              <w:rPr>
                <w:rFonts w:hint="eastAsia" w:ascii="仿宋_GB2312" w:hAnsi="仿宋_GB2312" w:eastAsia="仿宋_GB2312" w:cs="仿宋_GB2312"/>
                <w:color w:val="2B2B2B"/>
                <w:sz w:val="24"/>
                <w:shd w:val="clear" w:color="auto" w:fill="FFFFFF"/>
              </w:rPr>
              <w:t>县人大常委会党组班子对</w:t>
            </w:r>
            <w:r>
              <w:rPr>
                <w:rFonts w:ascii="仿宋_GB2312" w:hAnsi="仿宋_GB2312" w:eastAsia="仿宋_GB2312" w:cs="仿宋_GB2312"/>
                <w:color w:val="2B2B2B"/>
                <w:sz w:val="24"/>
                <w:shd w:val="clear" w:color="auto" w:fill="FFFFFF"/>
              </w:rPr>
              <w:t>2019</w:t>
            </w:r>
            <w:r>
              <w:rPr>
                <w:rFonts w:hint="eastAsia" w:ascii="仿宋_GB2312" w:hAnsi="仿宋_GB2312" w:eastAsia="仿宋_GB2312" w:cs="仿宋_GB2312"/>
                <w:color w:val="2B2B2B"/>
                <w:sz w:val="24"/>
                <w:shd w:val="clear" w:color="auto" w:fill="FFFFFF"/>
              </w:rPr>
              <w:t>年反馈的“政治理论学习往深里走、实里走、心里走还有明显差距；本职工作与县委中心工作开展不够平衡；干事创业激情有所下降”三个问题坚决认领，深入剖析，认真整改。在政治理论学习方面，完善学习制度，有针对性地制定党组中心组学习计划，保证学习时间，深入学习了习近平新时代中国特色社会主义思想和党的十九大及历次全会精神，准确把握内涵要义，坚决用党的科学理论指导实践，推动县乡人大工作高质量发展。在履行主责主业方面，一是坚决服从县委安排，不打折扣地落实县委工作部署；二是加强班子成员之间的沟通交流，筑牢以人民为中心的发展思想，科学选取监督议题，综合运用监督手段，敢于发现问题、指出问题、督促问题整改，促进“一府一委两院”依法履职。在干事创业方面，强化担当意识，坚决杜绝“二线机关”“船到码头车到站”的思想，班子成员带头高标准、严要求开展工作，全力服务经济社会高质量发展，“两官”评议、持续监督民生事项、代表平台建设、乡镇民生实事票决等多项工作得到了上级的高度肯定。</w:t>
            </w:r>
          </w:p>
          <w:p>
            <w:pPr>
              <w:spacing w:line="560" w:lineRule="exact"/>
              <w:ind w:firstLine="480" w:firstLineChars="200"/>
              <w:rPr>
                <w:rFonts w:ascii="黑体" w:hAnsi="黑体" w:eastAsia="黑体" w:cs="黑体"/>
                <w:bCs/>
                <w:sz w:val="24"/>
              </w:rPr>
            </w:pPr>
            <w:r>
              <w:rPr>
                <w:rFonts w:hint="eastAsia" w:ascii="黑体" w:hAnsi="黑体" w:eastAsia="黑体" w:cs="黑体"/>
                <w:bCs/>
                <w:sz w:val="24"/>
              </w:rPr>
              <w:t>五、存在的主要问题</w:t>
            </w:r>
          </w:p>
          <w:p>
            <w:pPr>
              <w:spacing w:line="560" w:lineRule="exact"/>
              <w:ind w:firstLine="480" w:firstLineChars="200"/>
              <w:rPr>
                <w:rFonts w:ascii="仿宋_GB2312" w:hAnsi="仿宋_GB2312" w:eastAsia="仿宋_GB2312"/>
                <w:sz w:val="24"/>
              </w:rPr>
            </w:pPr>
            <w:r>
              <w:rPr>
                <w:rFonts w:hint="eastAsia" w:ascii="仿宋_GB2312" w:hAnsi="仿宋_GB2312" w:eastAsia="仿宋_GB2312"/>
                <w:sz w:val="24"/>
              </w:rPr>
              <w:t>（一）监督管理机制还有待加强。</w:t>
            </w:r>
          </w:p>
          <w:p>
            <w:pPr>
              <w:spacing w:line="560" w:lineRule="exact"/>
              <w:ind w:firstLine="480" w:firstLineChars="200"/>
              <w:rPr>
                <w:rFonts w:ascii="仿宋_GB2312" w:hAnsi="仿宋_GB2312" w:eastAsia="仿宋_GB2312"/>
                <w:sz w:val="24"/>
              </w:rPr>
            </w:pPr>
            <w:r>
              <w:rPr>
                <w:rFonts w:hint="eastAsia" w:ascii="仿宋_GB2312" w:hAnsi="仿宋_GB2312" w:eastAsia="仿宋_GB2312"/>
                <w:sz w:val="24"/>
              </w:rPr>
              <w:t>（二）财务工作是一个单位的命脉，创新机制正在逐步加强，要求财务工作水平越来越高。</w:t>
            </w:r>
          </w:p>
          <w:p>
            <w:pPr>
              <w:spacing w:line="560" w:lineRule="exact"/>
              <w:ind w:firstLine="480" w:firstLineChars="200"/>
              <w:rPr>
                <w:rFonts w:ascii="仿宋_GB2312" w:hAnsi="仿宋_GB2312" w:eastAsia="仿宋_GB2312"/>
                <w:sz w:val="24"/>
              </w:rPr>
            </w:pPr>
            <w:r>
              <w:rPr>
                <w:rFonts w:hint="eastAsia" w:ascii="仿宋_GB2312" w:hAnsi="仿宋_GB2312" w:eastAsia="仿宋_GB2312"/>
                <w:sz w:val="24"/>
              </w:rPr>
              <w:t>（三）会计基础工作还需要不断完善，报表数据与实际情况存在小误差。</w:t>
            </w:r>
          </w:p>
          <w:p>
            <w:pPr>
              <w:spacing w:line="560" w:lineRule="exact"/>
              <w:ind w:firstLine="480" w:firstLineChars="200"/>
              <w:rPr>
                <w:rFonts w:ascii="黑体" w:hAnsi="黑体" w:eastAsia="黑体" w:cs="黑体"/>
                <w:bCs/>
                <w:sz w:val="24"/>
              </w:rPr>
            </w:pPr>
            <w:r>
              <w:rPr>
                <w:rFonts w:hint="eastAsia" w:ascii="黑体" w:hAnsi="黑体" w:eastAsia="黑体" w:cs="黑体"/>
                <w:bCs/>
                <w:sz w:val="24"/>
              </w:rPr>
              <w:t>六、改进措施和有关建议</w:t>
            </w:r>
          </w:p>
          <w:p>
            <w:pPr>
              <w:spacing w:line="560" w:lineRule="exact"/>
              <w:ind w:firstLine="480" w:firstLineChars="200"/>
              <w:rPr>
                <w:rFonts w:ascii="仿宋_GB2312" w:hAnsi="仿宋_GB2312" w:eastAsia="仿宋_GB2312"/>
                <w:sz w:val="24"/>
              </w:rPr>
            </w:pPr>
            <w:r>
              <w:rPr>
                <w:rFonts w:hint="eastAsia" w:ascii="仿宋_GB2312" w:hAnsi="仿宋_GB2312" w:eastAsia="仿宋_GB2312"/>
                <w:sz w:val="24"/>
              </w:rPr>
              <w:t>（一</w:t>
            </w:r>
            <w:r>
              <w:rPr>
                <w:rFonts w:ascii="仿宋_GB2312" w:hAnsi="仿宋_GB2312" w:eastAsia="仿宋_GB2312"/>
                <w:sz w:val="24"/>
              </w:rPr>
              <w:t>)</w:t>
            </w:r>
            <w:r>
              <w:rPr>
                <w:rFonts w:hint="eastAsia" w:ascii="仿宋_GB2312" w:hAnsi="仿宋_GB2312" w:eastAsia="仿宋_GB2312"/>
                <w:sz w:val="24"/>
              </w:rPr>
              <w:t>加强监管，做到监管机制环环相扣，不出现断层、漏洞，坚决把权力关进制度的笼子。</w:t>
            </w:r>
          </w:p>
          <w:p>
            <w:pPr>
              <w:spacing w:line="560" w:lineRule="exact"/>
              <w:ind w:firstLine="480" w:firstLineChars="200"/>
              <w:rPr>
                <w:rFonts w:ascii="仿宋_GB2312" w:hAnsi="仿宋_GB2312" w:eastAsia="仿宋_GB2312"/>
                <w:sz w:val="24"/>
              </w:rPr>
            </w:pPr>
            <w:r>
              <w:rPr>
                <w:rFonts w:hint="eastAsia" w:ascii="仿宋_GB2312" w:hAnsi="仿宋_GB2312" w:eastAsia="仿宋_GB2312"/>
                <w:sz w:val="24"/>
              </w:rPr>
              <w:t>（二）进一步完善财务制度，规范财经纪律。</w:t>
            </w:r>
          </w:p>
          <w:p>
            <w:pPr>
              <w:spacing w:line="560" w:lineRule="exact"/>
              <w:ind w:firstLine="480" w:firstLineChars="200"/>
              <w:rPr>
                <w:rFonts w:ascii="仿宋_GB2312" w:hAnsi="仿宋_GB2312" w:eastAsia="仿宋_GB2312"/>
                <w:sz w:val="24"/>
              </w:rPr>
            </w:pPr>
            <w:r>
              <w:rPr>
                <w:rFonts w:hint="eastAsia" w:ascii="仿宋_GB2312" w:hAnsi="仿宋_GB2312" w:eastAsia="仿宋_GB2312"/>
                <w:sz w:val="24"/>
              </w:rPr>
              <w:t>（三）财务工作人员的业务能力要与时俱进，不断加强学习，县财政局多组织业务方面的培训，包括“走出去”，到异地专业院校封闭培训</w:t>
            </w:r>
            <w:r>
              <w:rPr>
                <w:rFonts w:ascii="仿宋_GB2312" w:hAnsi="仿宋_GB2312" w:eastAsia="仿宋_GB2312"/>
                <w:sz w:val="24"/>
              </w:rPr>
              <w:t>,</w:t>
            </w:r>
            <w:r>
              <w:rPr>
                <w:rFonts w:hint="eastAsia" w:ascii="仿宋_GB2312" w:hAnsi="仿宋_GB2312" w:eastAsia="仿宋_GB2312"/>
                <w:sz w:val="24"/>
              </w:rPr>
              <w:t>同时可去外地预算单位学习好的账务经验。</w:t>
            </w:r>
          </w:p>
          <w:p>
            <w:pPr>
              <w:rPr>
                <w:rFonts w:ascii="黑体" w:hAnsi="黑体" w:eastAsia="黑体" w:cs="黑体"/>
                <w:sz w:val="24"/>
              </w:rPr>
            </w:pPr>
          </w:p>
          <w:p>
            <w:pPr>
              <w:spacing w:line="560" w:lineRule="exact"/>
              <w:rPr>
                <w:rFonts w:ascii="仿宋_GB2312" w:hAnsi="仿宋_GB2312" w:eastAsia="仿宋_GB2312"/>
                <w:sz w:val="24"/>
              </w:rPr>
            </w:pPr>
            <w:r>
              <w:rPr>
                <w:rFonts w:ascii="黑体" w:hAnsi="黑体" w:eastAsia="黑体" w:cs="黑体"/>
                <w:sz w:val="24"/>
              </w:rPr>
              <w:t xml:space="preserve"> </w:t>
            </w:r>
            <w:r>
              <w:rPr>
                <w:rFonts w:ascii="仿宋_GB2312" w:hAnsi="仿宋_GB2312" w:eastAsia="仿宋_GB2312"/>
                <w:sz w:val="24"/>
              </w:rPr>
              <w:t xml:space="preserve">                                2021</w:t>
            </w:r>
            <w:r>
              <w:rPr>
                <w:rFonts w:hint="eastAsia" w:ascii="仿宋" w:hAnsi="仿宋" w:eastAsia="仿宋" w:cs="仿宋"/>
                <w:sz w:val="24"/>
              </w:rPr>
              <w:t>年</w:t>
            </w:r>
            <w:r>
              <w:rPr>
                <w:rFonts w:ascii="仿宋" w:hAnsi="仿宋" w:eastAsia="仿宋" w:cs="仿宋"/>
                <w:sz w:val="24"/>
              </w:rPr>
              <w:t>07</w:t>
            </w:r>
            <w:r>
              <w:rPr>
                <w:rFonts w:hint="eastAsia" w:ascii="仿宋" w:hAnsi="仿宋" w:eastAsia="仿宋" w:cs="仿宋"/>
                <w:sz w:val="24"/>
              </w:rPr>
              <w:t>月</w:t>
            </w:r>
            <w:r>
              <w:rPr>
                <w:rFonts w:ascii="仿宋" w:hAnsi="仿宋" w:eastAsia="仿宋" w:cs="仿宋"/>
                <w:sz w:val="24"/>
              </w:rPr>
              <w:t>12</w:t>
            </w:r>
            <w:r>
              <w:rPr>
                <w:rFonts w:hint="eastAsia" w:ascii="仿宋" w:hAnsi="仿宋" w:eastAsia="仿宋" w:cs="仿宋"/>
                <w:sz w:val="24"/>
              </w:rPr>
              <w:t>日</w:t>
            </w:r>
          </w:p>
          <w:p>
            <w:pPr>
              <w:rPr>
                <w:rFonts w:eastAsia="楷体_GB2312"/>
                <w:bCs/>
                <w:sz w:val="28"/>
                <w:szCs w:val="28"/>
              </w:rPr>
            </w:pPr>
          </w:p>
        </w:tc>
      </w:tr>
    </w:tbl>
    <w:p>
      <w:pPr>
        <w:spacing w:line="348" w:lineRule="auto"/>
        <w:rPr>
          <w:rFonts w:eastAsia="楷体_GB2312"/>
          <w:bCs/>
          <w:sz w:val="28"/>
          <w:szCs w:val="28"/>
        </w:rPr>
      </w:pPr>
    </w:p>
    <w:p>
      <w:pPr>
        <w:rPr>
          <w:rFonts w:ascii="黑体" w:hAnsi="黑体" w:eastAsia="黑体"/>
          <w:sz w:val="32"/>
          <w:szCs w:val="32"/>
        </w:rPr>
      </w:pPr>
      <w:r>
        <w:rPr>
          <w:rFonts w:eastAsia="楷体_GB2312"/>
          <w:bCs/>
          <w:sz w:val="28"/>
          <w:szCs w:val="28"/>
        </w:rPr>
        <w:br w:type="page"/>
      </w:r>
    </w:p>
    <w:p>
      <w:pPr>
        <w:spacing w:beforeLines="100" w:afterLines="100"/>
        <w:jc w:val="center"/>
        <w:rPr>
          <w:rFonts w:ascii="方正小标宋简体" w:eastAsia="方正小标宋简体"/>
          <w:sz w:val="38"/>
          <w:szCs w:val="38"/>
        </w:rPr>
      </w:pPr>
      <w:r>
        <w:rPr>
          <w:rFonts w:hint="eastAsia" w:ascii="方正小标宋简体" w:eastAsia="方正小标宋简体"/>
          <w:sz w:val="38"/>
          <w:szCs w:val="38"/>
        </w:rPr>
        <w:t>部门整体支出绩效评价评分表</w:t>
      </w:r>
    </w:p>
    <w:tbl>
      <w:tblPr>
        <w:tblStyle w:val="6"/>
        <w:tblW w:w="9894" w:type="dxa"/>
        <w:jc w:val="center"/>
        <w:tblLayout w:type="fixed"/>
        <w:tblCellMar>
          <w:top w:w="0" w:type="dxa"/>
          <w:left w:w="108" w:type="dxa"/>
          <w:bottom w:w="0" w:type="dxa"/>
          <w:right w:w="108" w:type="dxa"/>
        </w:tblCellMar>
      </w:tblPr>
      <w:tblGrid>
        <w:gridCol w:w="976"/>
        <w:gridCol w:w="939"/>
        <w:gridCol w:w="1389"/>
        <w:gridCol w:w="4171"/>
        <w:gridCol w:w="619"/>
        <w:gridCol w:w="720"/>
        <w:gridCol w:w="1080"/>
      </w:tblGrid>
      <w:tr>
        <w:tblPrEx>
          <w:tblCellMar>
            <w:top w:w="0" w:type="dxa"/>
            <w:left w:w="108" w:type="dxa"/>
            <w:bottom w:w="0" w:type="dxa"/>
            <w:right w:w="108" w:type="dxa"/>
          </w:tblCellMar>
        </w:tblPrEx>
        <w:trPr>
          <w:trHeight w:val="525" w:hRule="atLeast"/>
          <w:jc w:val="center"/>
        </w:trPr>
        <w:tc>
          <w:tcPr>
            <w:tcW w:w="97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spacing w:val="-10"/>
                <w:kern w:val="0"/>
                <w:sz w:val="18"/>
                <w:szCs w:val="18"/>
              </w:rPr>
            </w:pPr>
            <w:r>
              <w:rPr>
                <w:rFonts w:hint="eastAsia" w:ascii="仿宋_GB2312" w:hAnsi="宋体" w:eastAsia="仿宋_GB2312" w:cs="宋体"/>
                <w:b/>
                <w:bCs/>
                <w:spacing w:val="-10"/>
                <w:kern w:val="0"/>
                <w:sz w:val="18"/>
                <w:szCs w:val="18"/>
              </w:rPr>
              <w:t>扣分原因和其他说明</w:t>
            </w:r>
          </w:p>
        </w:tc>
      </w:tr>
      <w:tr>
        <w:tblPrEx>
          <w:tblCellMar>
            <w:top w:w="0" w:type="dxa"/>
            <w:left w:w="108" w:type="dxa"/>
            <w:bottom w:w="0" w:type="dxa"/>
            <w:right w:w="108" w:type="dxa"/>
          </w:tblCellMar>
        </w:tblPrEx>
        <w:trPr>
          <w:trHeight w:val="559"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投</w:t>
            </w:r>
            <w:r>
              <w:rPr>
                <w:rFonts w:ascii="仿宋_GB2312" w:hAnsi="宋体" w:eastAsia="仿宋_GB2312" w:cs="宋体"/>
                <w:kern w:val="0"/>
                <w:sz w:val="18"/>
                <w:szCs w:val="18"/>
              </w:rPr>
              <w:t xml:space="preserve">  </w:t>
            </w:r>
            <w:r>
              <w:rPr>
                <w:rFonts w:hint="eastAsia" w:ascii="仿宋_GB2312" w:hAnsi="宋体" w:eastAsia="仿宋_GB2312" w:cs="宋体"/>
                <w:kern w:val="0"/>
                <w:sz w:val="18"/>
                <w:szCs w:val="18"/>
              </w:rPr>
              <w:t>入</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w:t>
            </w:r>
            <w:r>
              <w:rPr>
                <w:rFonts w:ascii="仿宋_GB2312" w:hAnsi="宋体" w:eastAsia="仿宋_GB2312" w:cs="宋体"/>
                <w:kern w:val="0"/>
                <w:sz w:val="18"/>
                <w:szCs w:val="18"/>
              </w:rPr>
              <w:t>15</w:t>
            </w:r>
            <w:r>
              <w:rPr>
                <w:rFonts w:hint="eastAsia" w:ascii="仿宋_GB2312" w:hAnsi="宋体" w:eastAsia="仿宋_GB2312" w:cs="宋体"/>
                <w:kern w:val="0"/>
                <w:sz w:val="18"/>
                <w:szCs w:val="18"/>
              </w:rPr>
              <w:t>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预算配置</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w:t>
            </w:r>
            <w:r>
              <w:rPr>
                <w:rFonts w:ascii="仿宋_GB2312" w:hAnsi="宋体" w:eastAsia="仿宋_GB2312" w:cs="宋体"/>
                <w:kern w:val="0"/>
                <w:sz w:val="18"/>
                <w:szCs w:val="18"/>
              </w:rPr>
              <w:t>15</w:t>
            </w:r>
            <w:r>
              <w:rPr>
                <w:rFonts w:hint="eastAsia" w:ascii="仿宋_GB2312" w:hAnsi="宋体" w:eastAsia="仿宋_GB2312" w:cs="宋体"/>
                <w:kern w:val="0"/>
                <w:sz w:val="18"/>
                <w:szCs w:val="18"/>
              </w:rPr>
              <w:t>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财政供养人员</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w:t>
            </w:r>
            <w:r>
              <w:rPr>
                <w:rFonts w:ascii="仿宋_GB2312" w:hAnsi="宋体" w:eastAsia="仿宋_GB2312" w:cs="宋体"/>
                <w:kern w:val="0"/>
                <w:sz w:val="18"/>
                <w:szCs w:val="18"/>
              </w:rPr>
              <w:t>100%</w:t>
            </w:r>
            <w:r>
              <w:rPr>
                <w:rFonts w:hint="eastAsia" w:ascii="仿宋_GB2312" w:hAnsi="宋体" w:eastAsia="仿宋_GB2312" w:cs="宋体"/>
                <w:kern w:val="0"/>
                <w:sz w:val="18"/>
                <w:szCs w:val="18"/>
              </w:rPr>
              <w:t>为标准。在职人员控制率</w:t>
            </w:r>
            <w:r>
              <w:rPr>
                <w:rFonts w:hint="eastAsia" w:ascii="宋体" w:hAnsi="宋体" w:cs="宋体"/>
                <w:kern w:val="0"/>
                <w:sz w:val="18"/>
                <w:szCs w:val="18"/>
              </w:rPr>
              <w:t>≦</w:t>
            </w:r>
            <w:r>
              <w:rPr>
                <w:rFonts w:ascii="仿宋_GB2312" w:hAnsi="宋体" w:eastAsia="仿宋_GB2312" w:cs="宋体"/>
                <w:kern w:val="0"/>
                <w:sz w:val="18"/>
                <w:szCs w:val="18"/>
              </w:rPr>
              <w:t>100%</w:t>
            </w:r>
            <w:r>
              <w:rPr>
                <w:rFonts w:hint="eastAsia" w:ascii="仿宋_GB2312" w:hAnsi="宋体" w:eastAsia="仿宋_GB2312" w:cs="宋体"/>
                <w:kern w:val="0"/>
                <w:sz w:val="18"/>
                <w:szCs w:val="18"/>
              </w:rPr>
              <w:t>，计</w:t>
            </w:r>
            <w:r>
              <w:rPr>
                <w:rFonts w:ascii="仿宋_GB2312" w:hAnsi="宋体" w:eastAsia="仿宋_GB2312" w:cs="宋体"/>
                <w:kern w:val="0"/>
                <w:sz w:val="18"/>
                <w:szCs w:val="18"/>
              </w:rPr>
              <w:t>5</w:t>
            </w:r>
            <w:r>
              <w:rPr>
                <w:rFonts w:hint="eastAsia" w:ascii="仿宋_GB2312" w:hAnsi="宋体" w:eastAsia="仿宋_GB2312" w:cs="宋体"/>
                <w:kern w:val="0"/>
                <w:sz w:val="18"/>
                <w:szCs w:val="18"/>
              </w:rPr>
              <w:t>分；每超过一个百分点扣</w:t>
            </w:r>
            <w:r>
              <w:rPr>
                <w:rFonts w:ascii="仿宋_GB2312" w:hAnsi="宋体" w:eastAsia="仿宋_GB2312" w:cs="宋体"/>
                <w:kern w:val="0"/>
                <w:sz w:val="18"/>
                <w:szCs w:val="18"/>
              </w:rPr>
              <w:t>0.5</w:t>
            </w:r>
            <w:r>
              <w:rPr>
                <w:rFonts w:hint="eastAsia" w:ascii="仿宋_GB2312" w:hAnsi="宋体" w:eastAsia="仿宋_GB2312" w:cs="宋体"/>
                <w:kern w:val="0"/>
                <w:sz w:val="18"/>
                <w:szCs w:val="18"/>
              </w:rPr>
              <w:t>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人员编制数</w:t>
            </w:r>
            <w:r>
              <w:rPr>
                <w:rFonts w:hint="eastAsia" w:ascii="仿宋_GB2312" w:eastAsia="仿宋_GB2312"/>
                <w:color w:val="000000"/>
                <w:sz w:val="18"/>
                <w:szCs w:val="18"/>
                <w:lang w:val="en-US" w:eastAsia="zh-CN"/>
              </w:rPr>
              <w:t>41</w:t>
            </w:r>
            <w:r>
              <w:rPr>
                <w:rFonts w:hint="eastAsia" w:ascii="仿宋_GB2312" w:eastAsia="仿宋_GB2312"/>
                <w:color w:val="000000"/>
                <w:sz w:val="18"/>
                <w:szCs w:val="18"/>
              </w:rPr>
              <w:t>人，在职人数</w:t>
            </w:r>
            <w:r>
              <w:rPr>
                <w:rFonts w:hint="eastAsia" w:ascii="仿宋_GB2312" w:eastAsia="仿宋_GB2312"/>
                <w:color w:val="000000"/>
                <w:sz w:val="18"/>
                <w:szCs w:val="18"/>
                <w:lang w:val="en-US" w:eastAsia="zh-CN"/>
              </w:rPr>
              <w:t>41</w:t>
            </w:r>
            <w:r>
              <w:rPr>
                <w:rFonts w:hint="eastAsia" w:ascii="仿宋_GB2312" w:eastAsia="仿宋_GB2312"/>
                <w:color w:val="000000"/>
                <w:sz w:val="18"/>
                <w:szCs w:val="18"/>
              </w:rPr>
              <w:t>人，在职人员控制率</w:t>
            </w:r>
            <w:r>
              <w:rPr>
                <w:rFonts w:hint="eastAsia" w:ascii="宋体" w:hAnsi="宋体" w:cs="宋体"/>
                <w:color w:val="000000"/>
                <w:sz w:val="18"/>
                <w:szCs w:val="18"/>
              </w:rPr>
              <w:t>≦</w:t>
            </w:r>
            <w:r>
              <w:rPr>
                <w:rFonts w:ascii="仿宋_GB2312" w:eastAsia="仿宋_GB2312"/>
                <w:color w:val="000000"/>
                <w:sz w:val="18"/>
                <w:szCs w:val="18"/>
              </w:rPr>
              <w:t>100%</w:t>
            </w:r>
            <w:r>
              <w:rPr>
                <w:rFonts w:hint="eastAsia" w:ascii="仿宋_GB2312" w:eastAsia="仿宋_GB2312"/>
                <w:color w:val="000000"/>
                <w:sz w:val="18"/>
                <w:szCs w:val="18"/>
              </w:rPr>
              <w:t>，未超编，根据评分标准，得</w:t>
            </w:r>
            <w:r>
              <w:rPr>
                <w:rFonts w:ascii="仿宋_GB2312" w:eastAsia="仿宋_GB2312"/>
                <w:color w:val="000000"/>
                <w:sz w:val="18"/>
                <w:szCs w:val="18"/>
              </w:rPr>
              <w:t>5</w:t>
            </w:r>
            <w:r>
              <w:rPr>
                <w:rFonts w:hint="eastAsia" w:ascii="仿宋_GB2312" w:eastAsia="仿宋_GB2312"/>
                <w:color w:val="000000"/>
                <w:sz w:val="18"/>
                <w:szCs w:val="18"/>
              </w:rPr>
              <w:t>分。</w:t>
            </w:r>
          </w:p>
        </w:tc>
      </w:tr>
      <w:tr>
        <w:tblPrEx>
          <w:tblCellMar>
            <w:top w:w="0" w:type="dxa"/>
            <w:left w:w="108" w:type="dxa"/>
            <w:bottom w:w="0" w:type="dxa"/>
            <w:right w:w="108" w:type="dxa"/>
          </w:tblCellMar>
        </w:tblPrEx>
        <w:trPr>
          <w:trHeight w:val="78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“三公经费”</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变动率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“三公经费”变动率</w:t>
            </w:r>
            <w:r>
              <w:rPr>
                <w:rFonts w:hint="eastAsia" w:ascii="宋体" w:hAnsi="宋体" w:cs="宋体"/>
                <w:kern w:val="0"/>
                <w:sz w:val="18"/>
                <w:szCs w:val="18"/>
              </w:rPr>
              <w:t>≦</w:t>
            </w:r>
            <w:r>
              <w:rPr>
                <w:rFonts w:ascii="仿宋_GB2312" w:hAnsi="宋体" w:eastAsia="仿宋_GB2312" w:cs="宋体"/>
                <w:kern w:val="0"/>
                <w:sz w:val="18"/>
                <w:szCs w:val="18"/>
              </w:rPr>
              <w:t>0,</w:t>
            </w:r>
            <w:r>
              <w:rPr>
                <w:rFonts w:hint="eastAsia" w:ascii="仿宋_GB2312" w:hAnsi="宋体" w:eastAsia="仿宋_GB2312" w:cs="宋体"/>
                <w:kern w:val="0"/>
                <w:sz w:val="18"/>
                <w:szCs w:val="18"/>
              </w:rPr>
              <w:t>计</w:t>
            </w:r>
            <w:r>
              <w:rPr>
                <w:rFonts w:ascii="仿宋_GB2312" w:hAnsi="宋体" w:eastAsia="仿宋_GB2312" w:cs="宋体"/>
                <w:kern w:val="0"/>
                <w:sz w:val="18"/>
                <w:szCs w:val="18"/>
              </w:rPr>
              <w:t>5</w:t>
            </w:r>
            <w:r>
              <w:rPr>
                <w:rFonts w:hint="eastAsia" w:ascii="仿宋_GB2312" w:hAnsi="宋体" w:eastAsia="仿宋_GB2312" w:cs="宋体"/>
                <w:kern w:val="0"/>
                <w:sz w:val="18"/>
                <w:szCs w:val="18"/>
              </w:rPr>
              <w:t>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r>
              <w:rPr>
                <w:rFonts w:ascii="仿宋_GB2312" w:hAnsi="宋体" w:eastAsia="仿宋_GB2312" w:cs="宋体"/>
                <w:kern w:val="0"/>
                <w:sz w:val="18"/>
                <w:szCs w:val="18"/>
              </w:rPr>
              <w:t>0</w:t>
            </w:r>
            <w:r>
              <w:rPr>
                <w:rFonts w:hint="eastAsia" w:ascii="仿宋_GB2312" w:hAnsi="宋体" w:eastAsia="仿宋_GB2312" w:cs="宋体"/>
                <w:kern w:val="0"/>
                <w:sz w:val="18"/>
                <w:szCs w:val="18"/>
              </w:rPr>
              <w:t>，每超过一个百分点扣</w:t>
            </w:r>
            <w:r>
              <w:rPr>
                <w:rFonts w:ascii="仿宋_GB2312" w:hAnsi="宋体" w:eastAsia="仿宋_GB2312" w:cs="宋体"/>
                <w:kern w:val="0"/>
                <w:sz w:val="18"/>
                <w:szCs w:val="18"/>
              </w:rPr>
              <w:t>0.5</w:t>
            </w:r>
            <w:r>
              <w:rPr>
                <w:rFonts w:hint="eastAsia" w:ascii="仿宋_GB2312" w:hAnsi="宋体" w:eastAsia="仿宋_GB2312" w:cs="宋体"/>
                <w:kern w:val="0"/>
                <w:sz w:val="18"/>
                <w:szCs w:val="18"/>
              </w:rPr>
              <w:t>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vAlign w:val="center"/>
          </w:tcPr>
          <w:p>
            <w:pPr>
              <w:rPr>
                <w:rFonts w:hint="eastAsia" w:ascii="仿宋_GB2312" w:eastAsia="仿宋_GB2312"/>
                <w:color w:val="000000"/>
                <w:sz w:val="18"/>
                <w:szCs w:val="18"/>
                <w:lang w:eastAsia="zh-CN"/>
              </w:rPr>
            </w:pPr>
            <w:r>
              <w:rPr>
                <w:rFonts w:hint="eastAsia" w:ascii="仿宋_GB2312" w:eastAsia="仿宋_GB2312"/>
                <w:color w:val="000000"/>
                <w:sz w:val="18"/>
                <w:szCs w:val="18"/>
              </w:rPr>
              <w:t>本年度三公经费</w:t>
            </w:r>
            <w:r>
              <w:rPr>
                <w:rFonts w:ascii="仿宋_GB2312" w:eastAsia="仿宋_GB2312"/>
                <w:color w:val="000000"/>
                <w:sz w:val="18"/>
                <w:szCs w:val="18"/>
              </w:rPr>
              <w:t xml:space="preserve"> 5.04</w:t>
            </w:r>
            <w:r>
              <w:rPr>
                <w:rFonts w:hint="eastAsia" w:ascii="仿宋_GB2312" w:eastAsia="仿宋_GB2312"/>
                <w:color w:val="000000"/>
                <w:sz w:val="18"/>
                <w:szCs w:val="18"/>
              </w:rPr>
              <w:t>万元，上年度三公经费</w:t>
            </w:r>
            <w:r>
              <w:rPr>
                <w:rFonts w:ascii="仿宋_GB2312" w:eastAsia="仿宋_GB2312"/>
                <w:color w:val="000000"/>
                <w:sz w:val="18"/>
                <w:szCs w:val="18"/>
              </w:rPr>
              <w:t>5.94</w:t>
            </w:r>
            <w:r>
              <w:rPr>
                <w:rFonts w:hint="eastAsia" w:ascii="仿宋_GB2312" w:eastAsia="仿宋_GB2312"/>
                <w:color w:val="000000"/>
                <w:sz w:val="18"/>
                <w:szCs w:val="18"/>
              </w:rPr>
              <w:t>万元。</w:t>
            </w:r>
          </w:p>
          <w:p>
            <w:pPr>
              <w:rPr>
                <w:rFonts w:hint="eastAsia" w:ascii="仿宋_GB2312" w:eastAsia="仿宋_GB2312"/>
                <w:color w:val="000000"/>
                <w:sz w:val="18"/>
                <w:szCs w:val="18"/>
                <w:lang w:eastAsia="zh-CN"/>
              </w:rPr>
            </w:pPr>
            <w:r>
              <w:rPr>
                <w:rFonts w:hint="eastAsia" w:ascii="仿宋_GB2312" w:eastAsia="仿宋_GB2312"/>
                <w:color w:val="000000"/>
                <w:sz w:val="18"/>
                <w:szCs w:val="18"/>
              </w:rPr>
              <w:t>“三公经费”变动率</w:t>
            </w:r>
            <w:r>
              <w:rPr>
                <w:rFonts w:ascii="仿宋_GB2312" w:eastAsia="仿宋_GB2312"/>
                <w:color w:val="000000"/>
                <w:sz w:val="18"/>
                <w:szCs w:val="18"/>
              </w:rPr>
              <w:t>=0.15</w:t>
            </w:r>
            <w:r>
              <w:rPr>
                <w:rFonts w:hint="eastAsia" w:ascii="仿宋_GB2312" w:eastAsia="仿宋_GB2312"/>
                <w:color w:val="000000"/>
                <w:sz w:val="18"/>
                <w:szCs w:val="18"/>
              </w:rPr>
              <w:t>（负数）</w:t>
            </w:r>
          </w:p>
          <w:p>
            <w:pPr>
              <w:rPr>
                <w:rFonts w:ascii="仿宋_GB2312" w:hAnsi="宋体" w:eastAsia="仿宋_GB2312" w:cs="宋体"/>
                <w:color w:val="000000"/>
                <w:sz w:val="18"/>
                <w:szCs w:val="18"/>
              </w:rPr>
            </w:pPr>
            <w:r>
              <w:rPr>
                <w:rFonts w:hint="eastAsia" w:ascii="仿宋_GB2312" w:eastAsia="仿宋_GB2312"/>
                <w:color w:val="000000"/>
                <w:sz w:val="18"/>
                <w:szCs w:val="18"/>
              </w:rPr>
              <w:t>根据评分标准，得</w:t>
            </w:r>
            <w:r>
              <w:rPr>
                <w:rFonts w:ascii="仿宋_GB2312" w:eastAsia="仿宋_GB2312"/>
                <w:color w:val="000000"/>
                <w:sz w:val="18"/>
                <w:szCs w:val="18"/>
              </w:rPr>
              <w:t>5</w:t>
            </w:r>
            <w:r>
              <w:rPr>
                <w:rFonts w:hint="eastAsia" w:ascii="仿宋_GB2312" w:eastAsia="仿宋_GB2312"/>
                <w:color w:val="000000"/>
                <w:sz w:val="18"/>
                <w:szCs w:val="18"/>
              </w:rPr>
              <w:t>分。</w:t>
            </w:r>
          </w:p>
        </w:tc>
      </w:tr>
      <w:tr>
        <w:tblPrEx>
          <w:tblCellMar>
            <w:top w:w="0" w:type="dxa"/>
            <w:left w:w="108" w:type="dxa"/>
            <w:bottom w:w="0" w:type="dxa"/>
            <w:right w:w="108" w:type="dxa"/>
          </w:tblCellMar>
        </w:tblPrEx>
        <w:trPr>
          <w:trHeight w:val="737"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重点支出</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安排率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重点支出安排率≥</w:t>
            </w:r>
            <w:r>
              <w:rPr>
                <w:rFonts w:ascii="仿宋_GB2312" w:hAnsi="宋体" w:eastAsia="仿宋_GB2312" w:cs="宋体"/>
                <w:kern w:val="0"/>
                <w:sz w:val="18"/>
                <w:szCs w:val="18"/>
              </w:rPr>
              <w:t>90%</w:t>
            </w:r>
            <w:r>
              <w:rPr>
                <w:rFonts w:hint="eastAsia" w:ascii="仿宋_GB2312" w:hAnsi="宋体" w:eastAsia="仿宋_GB2312" w:cs="宋体"/>
                <w:kern w:val="0"/>
                <w:sz w:val="18"/>
                <w:szCs w:val="18"/>
              </w:rPr>
              <w:t>，计</w:t>
            </w:r>
            <w:r>
              <w:rPr>
                <w:rFonts w:ascii="仿宋_GB2312" w:hAnsi="宋体" w:eastAsia="仿宋_GB2312" w:cs="宋体"/>
                <w:kern w:val="0"/>
                <w:sz w:val="18"/>
                <w:szCs w:val="18"/>
              </w:rPr>
              <w:t>5</w:t>
            </w:r>
            <w:r>
              <w:rPr>
                <w:rFonts w:hint="eastAsia" w:ascii="仿宋_GB2312" w:hAnsi="宋体" w:eastAsia="仿宋_GB2312" w:cs="宋体"/>
                <w:kern w:val="0"/>
                <w:sz w:val="18"/>
                <w:szCs w:val="18"/>
              </w:rPr>
              <w:t>分；</w:t>
            </w:r>
            <w:r>
              <w:rPr>
                <w:rFonts w:ascii="仿宋_GB2312" w:hAnsi="宋体" w:eastAsia="仿宋_GB2312" w:cs="宋体"/>
                <w:kern w:val="0"/>
                <w:sz w:val="18"/>
                <w:szCs w:val="18"/>
              </w:rPr>
              <w:t>80%</w:t>
            </w:r>
            <w:r>
              <w:rPr>
                <w:rFonts w:hint="eastAsia" w:ascii="仿宋_GB2312" w:hAnsi="宋体" w:eastAsia="仿宋_GB2312" w:cs="宋体"/>
                <w:kern w:val="0"/>
                <w:sz w:val="18"/>
                <w:szCs w:val="18"/>
              </w:rPr>
              <w:t>（含）</w:t>
            </w:r>
            <w:r>
              <w:rPr>
                <w:rFonts w:ascii="仿宋_GB2312" w:hAnsi="宋体" w:eastAsia="仿宋_GB2312" w:cs="宋体"/>
                <w:kern w:val="0"/>
                <w:sz w:val="18"/>
                <w:szCs w:val="18"/>
              </w:rPr>
              <w:t>-90%</w:t>
            </w:r>
            <w:r>
              <w:rPr>
                <w:rFonts w:hint="eastAsia" w:ascii="仿宋_GB2312" w:hAnsi="宋体" w:eastAsia="仿宋_GB2312" w:cs="宋体"/>
                <w:kern w:val="0"/>
                <w:sz w:val="18"/>
                <w:szCs w:val="18"/>
              </w:rPr>
              <w:t>，计</w:t>
            </w:r>
            <w:r>
              <w:rPr>
                <w:rFonts w:ascii="仿宋_GB2312" w:hAnsi="宋体" w:eastAsia="仿宋_GB2312" w:cs="宋体"/>
                <w:kern w:val="0"/>
                <w:sz w:val="18"/>
                <w:szCs w:val="18"/>
              </w:rPr>
              <w:t>4</w:t>
            </w:r>
            <w:r>
              <w:rPr>
                <w:rFonts w:hint="eastAsia" w:ascii="仿宋_GB2312" w:hAnsi="宋体" w:eastAsia="仿宋_GB2312" w:cs="宋体"/>
                <w:kern w:val="0"/>
                <w:sz w:val="18"/>
                <w:szCs w:val="18"/>
              </w:rPr>
              <w:t>分；</w:t>
            </w:r>
            <w:r>
              <w:rPr>
                <w:rFonts w:ascii="仿宋_GB2312" w:hAnsi="宋体" w:eastAsia="仿宋_GB2312" w:cs="宋体"/>
                <w:kern w:val="0"/>
                <w:sz w:val="18"/>
                <w:szCs w:val="18"/>
              </w:rPr>
              <w:t>70%</w:t>
            </w:r>
            <w:r>
              <w:rPr>
                <w:rFonts w:hint="eastAsia" w:ascii="仿宋_GB2312" w:hAnsi="宋体" w:eastAsia="仿宋_GB2312" w:cs="宋体"/>
                <w:kern w:val="0"/>
                <w:sz w:val="18"/>
                <w:szCs w:val="18"/>
              </w:rPr>
              <w:t>（含）</w:t>
            </w:r>
            <w:r>
              <w:rPr>
                <w:rFonts w:ascii="仿宋_GB2312" w:hAnsi="宋体" w:eastAsia="仿宋_GB2312" w:cs="宋体"/>
                <w:kern w:val="0"/>
                <w:sz w:val="18"/>
                <w:szCs w:val="18"/>
              </w:rPr>
              <w:t>-80%</w:t>
            </w:r>
            <w:r>
              <w:rPr>
                <w:rFonts w:hint="eastAsia" w:ascii="仿宋_GB2312" w:hAnsi="宋体" w:eastAsia="仿宋_GB2312" w:cs="宋体"/>
                <w:kern w:val="0"/>
                <w:sz w:val="18"/>
                <w:szCs w:val="18"/>
              </w:rPr>
              <w:t>，计</w:t>
            </w:r>
            <w:r>
              <w:rPr>
                <w:rFonts w:ascii="仿宋_GB2312" w:hAnsi="宋体" w:eastAsia="仿宋_GB2312" w:cs="宋体"/>
                <w:kern w:val="0"/>
                <w:sz w:val="18"/>
                <w:szCs w:val="18"/>
              </w:rPr>
              <w:t>3</w:t>
            </w:r>
            <w:r>
              <w:rPr>
                <w:rFonts w:hint="eastAsia" w:ascii="仿宋_GB2312" w:hAnsi="宋体" w:eastAsia="仿宋_GB2312" w:cs="宋体"/>
                <w:kern w:val="0"/>
                <w:sz w:val="18"/>
                <w:szCs w:val="18"/>
              </w:rPr>
              <w:t>分；</w:t>
            </w:r>
            <w:r>
              <w:rPr>
                <w:rFonts w:ascii="仿宋_GB2312" w:hAnsi="宋体" w:eastAsia="仿宋_GB2312" w:cs="宋体"/>
                <w:kern w:val="0"/>
                <w:sz w:val="18"/>
                <w:szCs w:val="18"/>
              </w:rPr>
              <w:t>60%</w:t>
            </w:r>
            <w:r>
              <w:rPr>
                <w:rFonts w:hint="eastAsia" w:ascii="仿宋_GB2312" w:hAnsi="宋体" w:eastAsia="仿宋_GB2312" w:cs="宋体"/>
                <w:kern w:val="0"/>
                <w:sz w:val="18"/>
                <w:szCs w:val="18"/>
              </w:rPr>
              <w:t>（含）</w:t>
            </w:r>
            <w:r>
              <w:rPr>
                <w:rFonts w:ascii="仿宋_GB2312" w:hAnsi="宋体" w:eastAsia="仿宋_GB2312" w:cs="宋体"/>
                <w:kern w:val="0"/>
                <w:sz w:val="18"/>
                <w:szCs w:val="18"/>
              </w:rPr>
              <w:t>-70%</w:t>
            </w:r>
            <w:r>
              <w:rPr>
                <w:rFonts w:hint="eastAsia" w:ascii="仿宋_GB2312" w:hAnsi="宋体" w:eastAsia="仿宋_GB2312" w:cs="宋体"/>
                <w:kern w:val="0"/>
                <w:sz w:val="18"/>
                <w:szCs w:val="18"/>
              </w:rPr>
              <w:t>，计</w:t>
            </w:r>
            <w:r>
              <w:rPr>
                <w:rFonts w:ascii="仿宋_GB2312" w:hAnsi="宋体" w:eastAsia="仿宋_GB2312" w:cs="宋体"/>
                <w:kern w:val="0"/>
                <w:sz w:val="18"/>
                <w:szCs w:val="18"/>
              </w:rPr>
              <w:t>2</w:t>
            </w:r>
            <w:r>
              <w:rPr>
                <w:rFonts w:hint="eastAsia" w:ascii="仿宋_GB2312" w:hAnsi="宋体" w:eastAsia="仿宋_GB2312" w:cs="宋体"/>
                <w:kern w:val="0"/>
                <w:sz w:val="18"/>
                <w:szCs w:val="18"/>
              </w:rPr>
              <w:t>分；低于</w:t>
            </w:r>
            <w:r>
              <w:rPr>
                <w:rFonts w:ascii="仿宋_GB2312" w:hAnsi="宋体" w:eastAsia="仿宋_GB2312" w:cs="宋体"/>
                <w:kern w:val="0"/>
                <w:sz w:val="18"/>
                <w:szCs w:val="18"/>
              </w:rPr>
              <w:t>60%</w:t>
            </w:r>
            <w:r>
              <w:rPr>
                <w:rFonts w:hint="eastAsia" w:ascii="仿宋_GB2312" w:hAnsi="宋体" w:eastAsia="仿宋_GB2312" w:cs="宋体"/>
                <w:kern w:val="0"/>
                <w:sz w:val="18"/>
                <w:szCs w:val="18"/>
              </w:rPr>
              <w:t>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重点支出足额安排</w:t>
            </w:r>
          </w:p>
        </w:tc>
      </w:tr>
      <w:tr>
        <w:tblPrEx>
          <w:tblCellMar>
            <w:top w:w="0" w:type="dxa"/>
            <w:left w:w="108" w:type="dxa"/>
            <w:bottom w:w="0" w:type="dxa"/>
            <w:right w:w="108" w:type="dxa"/>
          </w:tblCellMar>
        </w:tblPrEx>
        <w:trPr>
          <w:trHeight w:val="776"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过</w:t>
            </w:r>
            <w:r>
              <w:rPr>
                <w:rFonts w:ascii="仿宋_GB2312" w:hAnsi="宋体" w:eastAsia="仿宋_GB2312" w:cs="宋体"/>
                <w:kern w:val="0"/>
                <w:sz w:val="18"/>
                <w:szCs w:val="18"/>
              </w:rPr>
              <w:t xml:space="preserve">  </w:t>
            </w:r>
            <w:r>
              <w:rPr>
                <w:rFonts w:hint="eastAsia" w:ascii="仿宋_GB2312" w:hAnsi="宋体" w:eastAsia="仿宋_GB2312" w:cs="宋体"/>
                <w:kern w:val="0"/>
                <w:sz w:val="18"/>
                <w:szCs w:val="18"/>
              </w:rPr>
              <w:t>程</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w:t>
            </w:r>
            <w:r>
              <w:rPr>
                <w:rFonts w:ascii="仿宋_GB2312" w:hAnsi="宋体" w:eastAsia="仿宋_GB2312" w:cs="宋体"/>
                <w:kern w:val="0"/>
                <w:sz w:val="18"/>
                <w:szCs w:val="18"/>
              </w:rPr>
              <w:t>40</w:t>
            </w:r>
            <w:r>
              <w:rPr>
                <w:rFonts w:hint="eastAsia" w:ascii="仿宋_GB2312" w:hAnsi="宋体" w:eastAsia="仿宋_GB2312" w:cs="宋体"/>
                <w:kern w:val="0"/>
                <w:sz w:val="18"/>
                <w:szCs w:val="18"/>
              </w:rPr>
              <w:t>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预算执行</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w:t>
            </w:r>
            <w:r>
              <w:rPr>
                <w:rFonts w:ascii="仿宋_GB2312" w:hAnsi="宋体" w:eastAsia="仿宋_GB2312" w:cs="宋体"/>
                <w:kern w:val="0"/>
                <w:sz w:val="18"/>
                <w:szCs w:val="18"/>
              </w:rPr>
              <w:t>15</w:t>
            </w:r>
            <w:r>
              <w:rPr>
                <w:rFonts w:hint="eastAsia" w:ascii="仿宋_GB2312" w:hAnsi="宋体" w:eastAsia="仿宋_GB2312" w:cs="宋体"/>
                <w:kern w:val="0"/>
                <w:sz w:val="18"/>
                <w:szCs w:val="18"/>
              </w:rPr>
              <w:t>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w:t>
            </w:r>
            <w:r>
              <w:rPr>
                <w:rFonts w:ascii="仿宋_GB2312" w:hAnsi="宋体" w:eastAsia="仿宋_GB2312" w:cs="宋体"/>
                <w:kern w:val="0"/>
                <w:sz w:val="18"/>
                <w:szCs w:val="18"/>
              </w:rPr>
              <w:t>=0</w:t>
            </w:r>
            <w:r>
              <w:rPr>
                <w:rFonts w:hint="eastAsia" w:ascii="仿宋_GB2312" w:hAnsi="宋体" w:eastAsia="仿宋_GB2312" w:cs="宋体"/>
                <w:kern w:val="0"/>
                <w:sz w:val="18"/>
                <w:szCs w:val="18"/>
              </w:rPr>
              <w:t>，计</w:t>
            </w:r>
            <w:r>
              <w:rPr>
                <w:rFonts w:ascii="仿宋_GB2312" w:hAnsi="宋体" w:eastAsia="仿宋_GB2312" w:cs="宋体"/>
                <w:kern w:val="0"/>
                <w:sz w:val="18"/>
                <w:szCs w:val="18"/>
              </w:rPr>
              <w:t>3</w:t>
            </w:r>
            <w:r>
              <w:rPr>
                <w:rFonts w:hint="eastAsia" w:ascii="仿宋_GB2312" w:hAnsi="宋体" w:eastAsia="仿宋_GB2312" w:cs="宋体"/>
                <w:kern w:val="0"/>
                <w:sz w:val="18"/>
                <w:szCs w:val="18"/>
              </w:rPr>
              <w:t>分；</w:t>
            </w:r>
            <w:r>
              <w:rPr>
                <w:rFonts w:ascii="仿宋_GB2312" w:hAnsi="宋体" w:eastAsia="仿宋_GB2312" w:cs="宋体"/>
                <w:kern w:val="0"/>
                <w:sz w:val="18"/>
                <w:szCs w:val="18"/>
              </w:rPr>
              <w:t>0-10%</w:t>
            </w:r>
            <w:r>
              <w:rPr>
                <w:rFonts w:hint="eastAsia" w:ascii="仿宋_GB2312" w:hAnsi="宋体" w:eastAsia="仿宋_GB2312" w:cs="宋体"/>
                <w:kern w:val="0"/>
                <w:sz w:val="18"/>
                <w:szCs w:val="18"/>
              </w:rPr>
              <w:t>（含），计</w:t>
            </w:r>
            <w:r>
              <w:rPr>
                <w:rFonts w:ascii="仿宋_GB2312" w:hAnsi="宋体" w:eastAsia="仿宋_GB2312" w:cs="宋体"/>
                <w:kern w:val="0"/>
                <w:sz w:val="18"/>
                <w:szCs w:val="18"/>
              </w:rPr>
              <w:t>2</w:t>
            </w:r>
            <w:r>
              <w:rPr>
                <w:rFonts w:hint="eastAsia" w:ascii="仿宋_GB2312" w:hAnsi="宋体" w:eastAsia="仿宋_GB2312" w:cs="宋体"/>
                <w:kern w:val="0"/>
                <w:sz w:val="18"/>
                <w:szCs w:val="18"/>
              </w:rPr>
              <w:t>分；</w:t>
            </w:r>
            <w:r>
              <w:rPr>
                <w:rFonts w:ascii="仿宋_GB2312" w:hAnsi="宋体" w:eastAsia="仿宋_GB2312" w:cs="宋体"/>
                <w:kern w:val="0"/>
                <w:sz w:val="18"/>
                <w:szCs w:val="18"/>
              </w:rPr>
              <w:t>10-20%</w:t>
            </w:r>
            <w:r>
              <w:rPr>
                <w:rFonts w:hint="eastAsia" w:ascii="仿宋_GB2312" w:hAnsi="宋体" w:eastAsia="仿宋_GB2312" w:cs="宋体"/>
                <w:kern w:val="0"/>
                <w:sz w:val="18"/>
                <w:szCs w:val="18"/>
              </w:rPr>
              <w:t>（含），计</w:t>
            </w:r>
            <w:r>
              <w:rPr>
                <w:rFonts w:ascii="仿宋_GB2312" w:hAnsi="宋体" w:eastAsia="仿宋_GB2312" w:cs="宋体"/>
                <w:kern w:val="0"/>
                <w:sz w:val="18"/>
                <w:szCs w:val="18"/>
              </w:rPr>
              <w:t>1</w:t>
            </w:r>
            <w:r>
              <w:rPr>
                <w:rFonts w:hint="eastAsia" w:ascii="仿宋_GB2312" w:hAnsi="宋体" w:eastAsia="仿宋_GB2312" w:cs="宋体"/>
                <w:kern w:val="0"/>
                <w:sz w:val="18"/>
                <w:szCs w:val="18"/>
              </w:rPr>
              <w:t>分；</w:t>
            </w:r>
            <w:r>
              <w:rPr>
                <w:rFonts w:ascii="仿宋_GB2312" w:hAnsi="宋体" w:eastAsia="仿宋_GB2312" w:cs="宋体"/>
                <w:kern w:val="0"/>
                <w:sz w:val="18"/>
                <w:szCs w:val="18"/>
              </w:rPr>
              <w:t>20-30%</w:t>
            </w:r>
            <w:r>
              <w:rPr>
                <w:rFonts w:hint="eastAsia" w:ascii="仿宋_GB2312" w:hAnsi="宋体" w:eastAsia="仿宋_GB2312" w:cs="宋体"/>
                <w:kern w:val="0"/>
                <w:sz w:val="18"/>
                <w:szCs w:val="18"/>
              </w:rPr>
              <w:t>（含），计</w:t>
            </w:r>
            <w:r>
              <w:rPr>
                <w:rFonts w:ascii="仿宋_GB2312" w:hAnsi="宋体" w:eastAsia="仿宋_GB2312" w:cs="宋体"/>
                <w:kern w:val="0"/>
                <w:sz w:val="18"/>
                <w:szCs w:val="18"/>
              </w:rPr>
              <w:t>0.5</w:t>
            </w:r>
            <w:r>
              <w:rPr>
                <w:rFonts w:hint="eastAsia" w:ascii="仿宋_GB2312" w:hAnsi="宋体" w:eastAsia="仿宋_GB2312" w:cs="宋体"/>
                <w:kern w:val="0"/>
                <w:sz w:val="18"/>
                <w:szCs w:val="18"/>
              </w:rPr>
              <w:t>分；大于</w:t>
            </w:r>
            <w:r>
              <w:rPr>
                <w:rFonts w:ascii="仿宋_GB2312" w:hAnsi="宋体" w:eastAsia="仿宋_GB2312" w:cs="宋体"/>
                <w:kern w:val="0"/>
                <w:sz w:val="18"/>
                <w:szCs w:val="18"/>
              </w:rPr>
              <w:t>30%</w:t>
            </w:r>
            <w:r>
              <w:rPr>
                <w:rFonts w:hint="eastAsia" w:ascii="仿宋_GB2312" w:hAnsi="宋体" w:eastAsia="仿宋_GB2312" w:cs="宋体"/>
                <w:kern w:val="0"/>
                <w:sz w:val="18"/>
                <w:szCs w:val="18"/>
              </w:rPr>
              <w:t>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hAnsi="宋体" w:eastAsia="仿宋_GB2312" w:cs="宋体"/>
                <w:color w:val="000000"/>
                <w:sz w:val="18"/>
                <w:szCs w:val="18"/>
              </w:rPr>
              <w:t>预算无调整</w:t>
            </w:r>
          </w:p>
        </w:tc>
      </w:tr>
      <w:tr>
        <w:tblPrEx>
          <w:tblCellMar>
            <w:top w:w="0" w:type="dxa"/>
            <w:left w:w="108" w:type="dxa"/>
            <w:bottom w:w="0" w:type="dxa"/>
            <w:right w:w="108" w:type="dxa"/>
          </w:tblCellMar>
        </w:tblPrEx>
        <w:trPr>
          <w:trHeight w:val="1039"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支付进度</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春节前下达全部专项资金的</w:t>
            </w:r>
            <w:r>
              <w:rPr>
                <w:rFonts w:ascii="仿宋_GB2312" w:hAnsi="宋体" w:eastAsia="仿宋_GB2312" w:cs="宋体"/>
                <w:kern w:val="0"/>
                <w:sz w:val="18"/>
                <w:szCs w:val="18"/>
              </w:rPr>
              <w:t>50%</w:t>
            </w:r>
            <w:r>
              <w:rPr>
                <w:rFonts w:hint="eastAsia" w:ascii="仿宋_GB2312" w:hAnsi="宋体" w:eastAsia="仿宋_GB2312" w:cs="宋体"/>
                <w:kern w:val="0"/>
                <w:sz w:val="18"/>
                <w:szCs w:val="18"/>
              </w:rPr>
              <w:t>；</w:t>
            </w:r>
            <w:r>
              <w:rPr>
                <w:rFonts w:ascii="仿宋_GB2312" w:hAnsi="宋体" w:eastAsia="仿宋_GB2312" w:cs="宋体"/>
                <w:kern w:val="0"/>
                <w:sz w:val="18"/>
                <w:szCs w:val="18"/>
              </w:rPr>
              <w:t>6</w:t>
            </w:r>
            <w:r>
              <w:rPr>
                <w:rFonts w:hint="eastAsia" w:ascii="仿宋_GB2312" w:hAnsi="宋体" w:eastAsia="仿宋_GB2312" w:cs="宋体"/>
                <w:kern w:val="0"/>
                <w:sz w:val="18"/>
                <w:szCs w:val="18"/>
              </w:rPr>
              <w:t>月底前所有专项资金指标全部下达完。</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每出现一个专项未按进度完成资金下达扣</w:t>
            </w:r>
            <w:r>
              <w:rPr>
                <w:rFonts w:ascii="仿宋_GB2312" w:hAnsi="宋体" w:eastAsia="仿宋_GB2312" w:cs="宋体"/>
                <w:kern w:val="0"/>
                <w:sz w:val="18"/>
                <w:szCs w:val="18"/>
              </w:rPr>
              <w:t>0.5</w:t>
            </w:r>
            <w:r>
              <w:rPr>
                <w:rFonts w:hint="eastAsia" w:ascii="仿宋_GB2312" w:hAnsi="宋体" w:eastAsia="仿宋_GB2312" w:cs="宋体"/>
                <w:kern w:val="0"/>
                <w:sz w:val="18"/>
                <w:szCs w:val="18"/>
              </w:rPr>
              <w:t>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hAnsi="宋体" w:eastAsia="仿宋_GB2312" w:cs="宋体"/>
                <w:color w:val="000000"/>
                <w:sz w:val="18"/>
                <w:szCs w:val="18"/>
              </w:rPr>
              <w:t>按进度下达资金指标</w:t>
            </w:r>
          </w:p>
        </w:tc>
      </w:tr>
      <w:tr>
        <w:tblPrEx>
          <w:tblCellMar>
            <w:top w:w="0" w:type="dxa"/>
            <w:left w:w="108" w:type="dxa"/>
            <w:bottom w:w="0" w:type="dxa"/>
            <w:right w:w="108" w:type="dxa"/>
          </w:tblCellMar>
        </w:tblPrEx>
        <w:trPr>
          <w:trHeight w:val="619"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资金结余</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无结余，</w:t>
            </w:r>
            <w:r>
              <w:rPr>
                <w:rFonts w:ascii="仿宋_GB2312" w:hAnsi="宋体" w:eastAsia="仿宋_GB2312" w:cs="宋体"/>
                <w:kern w:val="0"/>
                <w:sz w:val="18"/>
                <w:szCs w:val="18"/>
              </w:rPr>
              <w:t>3</w:t>
            </w:r>
            <w:r>
              <w:rPr>
                <w:rFonts w:hint="eastAsia" w:ascii="仿宋_GB2312" w:hAnsi="宋体" w:eastAsia="仿宋_GB2312" w:cs="宋体"/>
                <w:kern w:val="0"/>
                <w:sz w:val="18"/>
                <w:szCs w:val="18"/>
              </w:rPr>
              <w:t>分；有结余，但不超过上年结转，</w:t>
            </w:r>
            <w:r>
              <w:rPr>
                <w:rFonts w:ascii="仿宋_GB2312" w:hAnsi="宋体" w:eastAsia="仿宋_GB2312" w:cs="宋体"/>
                <w:kern w:val="0"/>
                <w:sz w:val="18"/>
                <w:szCs w:val="18"/>
              </w:rPr>
              <w:t>2</w:t>
            </w:r>
            <w:r>
              <w:rPr>
                <w:rFonts w:hint="eastAsia" w:ascii="仿宋_GB2312" w:hAnsi="宋体" w:eastAsia="仿宋_GB2312" w:cs="宋体"/>
                <w:kern w:val="0"/>
                <w:sz w:val="18"/>
                <w:szCs w:val="18"/>
              </w:rPr>
              <w:t>分；结余超过上年结转，不得分。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0</w:t>
            </w:r>
          </w:p>
        </w:tc>
        <w:tc>
          <w:tcPr>
            <w:tcW w:w="1080" w:type="dxa"/>
            <w:tcBorders>
              <w:top w:val="nil"/>
              <w:left w:val="nil"/>
              <w:bottom w:val="single" w:color="auto" w:sz="4" w:space="0"/>
              <w:right w:val="single" w:color="auto" w:sz="4" w:space="0"/>
            </w:tcBorders>
            <w:vAlign w:val="center"/>
          </w:tcPr>
          <w:p>
            <w:pPr>
              <w:rPr>
                <w:rFonts w:ascii="仿宋_GB2312" w:hAnsi="宋体" w:eastAsia="仿宋_GB2312" w:cs="宋体"/>
                <w:sz w:val="20"/>
                <w:szCs w:val="20"/>
              </w:rPr>
            </w:pPr>
            <w:r>
              <w:rPr>
                <w:rFonts w:hint="eastAsia" w:ascii="仿宋_GB2312" w:eastAsia="仿宋_GB2312"/>
                <w:sz w:val="20"/>
                <w:szCs w:val="20"/>
              </w:rPr>
              <w:t>结余超过上年结转</w:t>
            </w:r>
          </w:p>
        </w:tc>
      </w:tr>
      <w:tr>
        <w:tblPrEx>
          <w:tblCellMar>
            <w:top w:w="0" w:type="dxa"/>
            <w:left w:w="108" w:type="dxa"/>
            <w:bottom w:w="0" w:type="dxa"/>
            <w:right w:w="108" w:type="dxa"/>
          </w:tblCellMar>
        </w:tblPrEx>
        <w:trPr>
          <w:trHeight w:val="495"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“三公经费”</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以</w:t>
            </w:r>
            <w:r>
              <w:rPr>
                <w:rFonts w:ascii="仿宋_GB2312" w:hAnsi="宋体" w:eastAsia="仿宋_GB2312" w:cs="宋体"/>
                <w:kern w:val="0"/>
                <w:sz w:val="18"/>
                <w:szCs w:val="18"/>
              </w:rPr>
              <w:t>100%</w:t>
            </w:r>
            <w:r>
              <w:rPr>
                <w:rFonts w:hint="eastAsia" w:ascii="仿宋_GB2312" w:hAnsi="宋体" w:eastAsia="仿宋_GB2312" w:cs="宋体"/>
                <w:kern w:val="0"/>
                <w:sz w:val="18"/>
                <w:szCs w:val="18"/>
              </w:rPr>
              <w:t>为标准。三公经费控制率</w:t>
            </w:r>
            <w:r>
              <w:rPr>
                <w:rFonts w:hint="eastAsia" w:ascii="宋体" w:hAnsi="宋体" w:cs="宋体"/>
                <w:kern w:val="0"/>
                <w:sz w:val="18"/>
                <w:szCs w:val="18"/>
              </w:rPr>
              <w:t>≦</w:t>
            </w:r>
            <w:r>
              <w:rPr>
                <w:rFonts w:ascii="仿宋_GB2312" w:hAnsi="宋体" w:eastAsia="仿宋_GB2312" w:cs="宋体"/>
                <w:kern w:val="0"/>
                <w:sz w:val="18"/>
                <w:szCs w:val="18"/>
              </w:rPr>
              <w:t>100%</w:t>
            </w:r>
            <w:r>
              <w:rPr>
                <w:rFonts w:hint="eastAsia" w:ascii="仿宋_GB2312" w:hAnsi="宋体" w:eastAsia="仿宋_GB2312" w:cs="宋体"/>
                <w:kern w:val="0"/>
                <w:sz w:val="18"/>
                <w:szCs w:val="18"/>
              </w:rPr>
              <w:t>，计</w:t>
            </w:r>
            <w:r>
              <w:rPr>
                <w:rFonts w:ascii="仿宋_GB2312" w:hAnsi="宋体" w:eastAsia="仿宋_GB2312" w:cs="宋体"/>
                <w:kern w:val="0"/>
                <w:sz w:val="18"/>
                <w:szCs w:val="18"/>
              </w:rPr>
              <w:t>6</w:t>
            </w:r>
            <w:r>
              <w:rPr>
                <w:rFonts w:hint="eastAsia" w:ascii="仿宋_GB2312" w:hAnsi="宋体" w:eastAsia="仿宋_GB2312" w:cs="宋体"/>
                <w:kern w:val="0"/>
                <w:sz w:val="18"/>
                <w:szCs w:val="18"/>
              </w:rPr>
              <w:t>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每超过一个百分点扣</w:t>
            </w:r>
            <w:r>
              <w:rPr>
                <w:rFonts w:ascii="仿宋_GB2312" w:hAnsi="宋体" w:eastAsia="仿宋_GB2312" w:cs="宋体"/>
                <w:kern w:val="0"/>
                <w:sz w:val="18"/>
                <w:szCs w:val="18"/>
              </w:rPr>
              <w:t>1</w:t>
            </w:r>
            <w:r>
              <w:rPr>
                <w:rFonts w:hint="eastAsia" w:ascii="仿宋_GB2312" w:hAnsi="宋体" w:eastAsia="仿宋_GB2312" w:cs="宋体"/>
                <w:kern w:val="0"/>
                <w:sz w:val="18"/>
                <w:szCs w:val="18"/>
              </w:rPr>
              <w:t>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6</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6</w:t>
            </w:r>
          </w:p>
        </w:tc>
        <w:tc>
          <w:tcPr>
            <w:tcW w:w="1080" w:type="dxa"/>
            <w:tcBorders>
              <w:top w:val="nil"/>
              <w:left w:val="nil"/>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三公经费预算数</w:t>
            </w:r>
            <w:r>
              <w:rPr>
                <w:rFonts w:ascii="仿宋_GB2312" w:eastAsia="仿宋_GB2312"/>
                <w:color w:val="000000"/>
                <w:sz w:val="18"/>
                <w:szCs w:val="18"/>
              </w:rPr>
              <w:t xml:space="preserve"> 6</w:t>
            </w:r>
            <w:r>
              <w:rPr>
                <w:rFonts w:hint="eastAsia" w:ascii="仿宋_GB2312" w:eastAsia="仿宋_GB2312"/>
                <w:color w:val="000000"/>
                <w:sz w:val="18"/>
                <w:szCs w:val="18"/>
              </w:rPr>
              <w:t>万元，实际支出</w:t>
            </w:r>
            <w:r>
              <w:rPr>
                <w:rFonts w:ascii="仿宋_GB2312" w:eastAsia="仿宋_GB2312"/>
                <w:color w:val="000000"/>
                <w:sz w:val="18"/>
                <w:szCs w:val="18"/>
              </w:rPr>
              <w:t>5.94</w:t>
            </w:r>
            <w:r>
              <w:rPr>
                <w:rFonts w:hint="eastAsia" w:ascii="仿宋_GB2312" w:eastAsia="仿宋_GB2312"/>
                <w:color w:val="000000"/>
                <w:sz w:val="18"/>
                <w:szCs w:val="18"/>
              </w:rPr>
              <w:t>万元，三公经费控制率</w:t>
            </w:r>
            <w:r>
              <w:rPr>
                <w:rFonts w:ascii="仿宋_GB2312" w:eastAsia="仿宋_GB2312"/>
                <w:color w:val="000000"/>
                <w:sz w:val="18"/>
                <w:szCs w:val="18"/>
              </w:rPr>
              <w:t>100%</w:t>
            </w:r>
            <w:r>
              <w:rPr>
                <w:rFonts w:hint="eastAsia" w:ascii="仿宋_GB2312" w:eastAsia="仿宋_GB2312"/>
                <w:color w:val="000000"/>
                <w:sz w:val="18"/>
                <w:szCs w:val="18"/>
              </w:rPr>
              <w:t>，三公经费控制率</w:t>
            </w:r>
            <w:r>
              <w:rPr>
                <w:rFonts w:hint="eastAsia" w:ascii="宋体" w:hAnsi="宋体" w:cs="宋体"/>
                <w:color w:val="000000"/>
                <w:sz w:val="18"/>
                <w:szCs w:val="18"/>
              </w:rPr>
              <w:t>≦</w:t>
            </w:r>
            <w:r>
              <w:rPr>
                <w:rFonts w:ascii="仿宋_GB2312" w:eastAsia="仿宋_GB2312"/>
                <w:color w:val="000000"/>
                <w:sz w:val="18"/>
                <w:szCs w:val="18"/>
              </w:rPr>
              <w:t>100%</w:t>
            </w:r>
            <w:r>
              <w:rPr>
                <w:rFonts w:hint="eastAsia" w:ascii="仿宋_GB2312" w:eastAsia="仿宋_GB2312"/>
                <w:color w:val="000000"/>
                <w:sz w:val="18"/>
                <w:szCs w:val="18"/>
              </w:rPr>
              <w:t>，得</w:t>
            </w:r>
            <w:r>
              <w:rPr>
                <w:rFonts w:ascii="仿宋_GB2312" w:eastAsia="仿宋_GB2312"/>
                <w:color w:val="000000"/>
                <w:sz w:val="18"/>
                <w:szCs w:val="18"/>
              </w:rPr>
              <w:t>6</w:t>
            </w:r>
            <w:r>
              <w:rPr>
                <w:rFonts w:hint="eastAsia" w:ascii="仿宋_GB2312" w:eastAsia="仿宋_GB2312"/>
                <w:color w:val="000000"/>
                <w:sz w:val="18"/>
                <w:szCs w:val="18"/>
              </w:rPr>
              <w:t>分。</w:t>
            </w:r>
          </w:p>
        </w:tc>
      </w:tr>
      <w:tr>
        <w:tblPrEx>
          <w:tblCellMar>
            <w:top w:w="0" w:type="dxa"/>
            <w:left w:w="108" w:type="dxa"/>
            <w:bottom w:w="0" w:type="dxa"/>
            <w:right w:w="108" w:type="dxa"/>
          </w:tblCellMar>
        </w:tblPrEx>
        <w:trPr>
          <w:trHeight w:val="915"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预算管理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w:t>
            </w:r>
            <w:r>
              <w:rPr>
                <w:rFonts w:ascii="仿宋_GB2312" w:hAnsi="宋体" w:eastAsia="仿宋_GB2312" w:cs="宋体"/>
                <w:kern w:val="0"/>
                <w:sz w:val="18"/>
                <w:szCs w:val="18"/>
              </w:rPr>
              <w:t>15</w:t>
            </w:r>
            <w:r>
              <w:rPr>
                <w:rFonts w:hint="eastAsia" w:ascii="仿宋_GB2312" w:hAnsi="宋体" w:eastAsia="仿宋_GB2312" w:cs="宋体"/>
                <w:kern w:val="0"/>
                <w:sz w:val="18"/>
                <w:szCs w:val="18"/>
              </w:rPr>
              <w:t>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管理制度</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①已制定或具有预算资金管理办法，内部财务管理制度、会计核算制度等管理制度，</w:t>
            </w:r>
            <w:r>
              <w:rPr>
                <w:rFonts w:ascii="仿宋_GB2312" w:hAnsi="宋体" w:eastAsia="仿宋_GB2312" w:cs="宋体"/>
                <w:kern w:val="0"/>
                <w:sz w:val="18"/>
                <w:szCs w:val="18"/>
              </w:rPr>
              <w:t>1</w:t>
            </w:r>
            <w:r>
              <w:rPr>
                <w:rFonts w:hint="eastAsia" w:ascii="仿宋_GB2312" w:hAnsi="宋体" w:eastAsia="仿宋_GB2312" w:cs="宋体"/>
                <w:kern w:val="0"/>
                <w:sz w:val="18"/>
                <w:szCs w:val="18"/>
              </w:rPr>
              <w:t>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②相关管理制度合法、合规、完整，</w:t>
            </w:r>
            <w:r>
              <w:rPr>
                <w:rFonts w:ascii="仿宋_GB2312" w:hAnsi="宋体" w:eastAsia="仿宋_GB2312" w:cs="宋体"/>
                <w:kern w:val="0"/>
                <w:sz w:val="18"/>
                <w:szCs w:val="18"/>
              </w:rPr>
              <w:t>1</w:t>
            </w:r>
            <w:r>
              <w:rPr>
                <w:rFonts w:hint="eastAsia" w:ascii="仿宋_GB2312" w:hAnsi="宋体" w:eastAsia="仿宋_GB2312" w:cs="宋体"/>
                <w:kern w:val="0"/>
                <w:sz w:val="18"/>
                <w:szCs w:val="18"/>
              </w:rPr>
              <w:t>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③相关管理制度得到有效执行，</w:t>
            </w:r>
            <w:r>
              <w:rPr>
                <w:rFonts w:ascii="仿宋_GB2312" w:hAnsi="宋体" w:eastAsia="仿宋_GB2312" w:cs="宋体"/>
                <w:kern w:val="0"/>
                <w:sz w:val="18"/>
                <w:szCs w:val="18"/>
              </w:rPr>
              <w:t>1</w:t>
            </w:r>
            <w:r>
              <w:rPr>
                <w:rFonts w:hint="eastAsia" w:ascii="仿宋_GB2312" w:hAnsi="宋体" w:eastAsia="仿宋_GB2312" w:cs="宋体"/>
                <w:kern w:val="0"/>
                <w:sz w:val="18"/>
                <w:szCs w:val="18"/>
              </w:rPr>
              <w:t>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hAnsi="宋体" w:eastAsia="仿宋_GB2312" w:cs="宋体"/>
                <w:color w:val="000000"/>
                <w:sz w:val="18"/>
                <w:szCs w:val="18"/>
              </w:rPr>
              <w:t>制定了《财务管理制度》、《小车管理制度》等相关制度，制度合法合规完整，执行有效。</w:t>
            </w:r>
          </w:p>
        </w:tc>
      </w:tr>
      <w:tr>
        <w:tblPrEx>
          <w:tblCellMar>
            <w:top w:w="0" w:type="dxa"/>
            <w:left w:w="108" w:type="dxa"/>
            <w:bottom w:w="0" w:type="dxa"/>
            <w:right w:w="108" w:type="dxa"/>
          </w:tblCellMar>
        </w:tblPrEx>
        <w:trPr>
          <w:trHeight w:val="1802"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资金使用</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合规性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①支出符合国家财经法规和财务管理制度规定以及有关专项资金管理办法的规定；</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②资金拨付有完整的审批程序和手续；</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③项目支出按规定经过评估论证；</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④支出符合部门预算批复的用途；</w:t>
            </w:r>
          </w:p>
          <w:p>
            <w:pPr>
              <w:widowControl/>
              <w:spacing w:line="240" w:lineRule="exact"/>
              <w:jc w:val="left"/>
              <w:rPr>
                <w:rFonts w:hint="eastAsia" w:ascii="仿宋_GB2312" w:hAnsi="宋体" w:eastAsia="仿宋_GB2312" w:cs="宋体"/>
                <w:spacing w:val="-6"/>
                <w:kern w:val="0"/>
                <w:sz w:val="18"/>
                <w:szCs w:val="18"/>
                <w:lang w:eastAsia="zh-CN"/>
              </w:rPr>
            </w:pPr>
            <w:r>
              <w:rPr>
                <w:rFonts w:hint="eastAsia" w:ascii="仿宋_GB2312" w:hAnsi="宋体" w:eastAsia="仿宋_GB2312" w:cs="宋体"/>
                <w:spacing w:val="-6"/>
                <w:kern w:val="0"/>
                <w:sz w:val="18"/>
                <w:szCs w:val="18"/>
              </w:rPr>
              <w:t>⑤资金使用无截留、挤占、挪用、虚列支出等情况。</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spacing w:val="-6"/>
                <w:kern w:val="0"/>
                <w:sz w:val="18"/>
                <w:szCs w:val="18"/>
              </w:rPr>
              <w:t>以上情况每出现一例不符合要求的扣</w:t>
            </w:r>
            <w:r>
              <w:rPr>
                <w:rFonts w:ascii="仿宋_GB2312" w:hAnsi="宋体" w:eastAsia="仿宋_GB2312" w:cs="宋体"/>
                <w:spacing w:val="-6"/>
                <w:kern w:val="0"/>
                <w:sz w:val="18"/>
                <w:szCs w:val="18"/>
              </w:rPr>
              <w:t>1</w:t>
            </w:r>
            <w:r>
              <w:rPr>
                <w:rFonts w:hint="eastAsia" w:ascii="仿宋_GB2312" w:hAnsi="宋体" w:eastAsia="仿宋_GB2312" w:cs="宋体"/>
                <w:spacing w:val="-6"/>
                <w:kern w:val="0"/>
                <w:sz w:val="18"/>
                <w:szCs w:val="18"/>
              </w:rPr>
              <w:t>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vAlign w:val="center"/>
          </w:tcPr>
          <w:p>
            <w:pPr>
              <w:rPr>
                <w:rFonts w:ascii="仿宋_GB2312" w:hAnsi="宋体" w:eastAsia="仿宋_GB2312" w:cs="宋体"/>
                <w:color w:val="000000"/>
                <w:sz w:val="18"/>
                <w:szCs w:val="18"/>
              </w:rPr>
            </w:pPr>
          </w:p>
        </w:tc>
      </w:tr>
      <w:tr>
        <w:tblPrEx>
          <w:tblCellMar>
            <w:top w:w="0" w:type="dxa"/>
            <w:left w:w="108" w:type="dxa"/>
            <w:bottom w:w="0" w:type="dxa"/>
            <w:right w:w="108" w:type="dxa"/>
          </w:tblCellMar>
        </w:tblPrEx>
        <w:trPr>
          <w:trHeight w:val="45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预决算信息公开性和完善性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①按规定内容公开预决算信息，</w:t>
            </w:r>
            <w:r>
              <w:rPr>
                <w:rFonts w:ascii="仿宋_GB2312" w:hAnsi="宋体" w:eastAsia="仿宋_GB2312" w:cs="宋体"/>
                <w:kern w:val="0"/>
                <w:sz w:val="18"/>
                <w:szCs w:val="18"/>
              </w:rPr>
              <w:t>1</w:t>
            </w:r>
            <w:r>
              <w:rPr>
                <w:rFonts w:hint="eastAsia" w:ascii="仿宋_GB2312" w:hAnsi="宋体" w:eastAsia="仿宋_GB2312" w:cs="宋体"/>
                <w:kern w:val="0"/>
                <w:sz w:val="18"/>
                <w:szCs w:val="18"/>
              </w:rPr>
              <w:t>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②按规定时限公开预决算信息，</w:t>
            </w:r>
            <w:r>
              <w:rPr>
                <w:rFonts w:ascii="仿宋_GB2312" w:hAnsi="宋体" w:eastAsia="仿宋_GB2312" w:cs="宋体"/>
                <w:kern w:val="0"/>
                <w:sz w:val="18"/>
                <w:szCs w:val="18"/>
              </w:rPr>
              <w:t>0.5</w:t>
            </w:r>
            <w:r>
              <w:rPr>
                <w:rFonts w:hint="eastAsia" w:ascii="仿宋_GB2312" w:hAnsi="宋体" w:eastAsia="仿宋_GB2312" w:cs="宋体"/>
                <w:kern w:val="0"/>
                <w:sz w:val="18"/>
                <w:szCs w:val="18"/>
              </w:rPr>
              <w:t>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③基础数据信息和会计信息资料真实，</w:t>
            </w:r>
            <w:r>
              <w:rPr>
                <w:rFonts w:ascii="仿宋_GB2312" w:hAnsi="宋体" w:eastAsia="仿宋_GB2312" w:cs="宋体"/>
                <w:kern w:val="0"/>
                <w:sz w:val="18"/>
                <w:szCs w:val="18"/>
              </w:rPr>
              <w:t>0.5</w:t>
            </w:r>
            <w:r>
              <w:rPr>
                <w:rFonts w:hint="eastAsia" w:ascii="仿宋_GB2312" w:hAnsi="宋体" w:eastAsia="仿宋_GB2312" w:cs="宋体"/>
                <w:kern w:val="0"/>
                <w:sz w:val="18"/>
                <w:szCs w:val="18"/>
              </w:rPr>
              <w:t>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④基础数据信息和会计信息资料完整，</w:t>
            </w:r>
            <w:r>
              <w:rPr>
                <w:rFonts w:ascii="仿宋_GB2312" w:hAnsi="宋体" w:eastAsia="仿宋_GB2312" w:cs="宋体"/>
                <w:kern w:val="0"/>
                <w:sz w:val="18"/>
                <w:szCs w:val="18"/>
              </w:rPr>
              <w:t>0.5</w:t>
            </w:r>
            <w:r>
              <w:rPr>
                <w:rFonts w:hint="eastAsia" w:ascii="仿宋_GB2312" w:hAnsi="宋体" w:eastAsia="仿宋_GB2312" w:cs="宋体"/>
                <w:kern w:val="0"/>
                <w:sz w:val="18"/>
                <w:szCs w:val="18"/>
              </w:rPr>
              <w:t>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⑤基础数据信息和汇集信息资料准确，</w:t>
            </w:r>
            <w:r>
              <w:rPr>
                <w:rFonts w:ascii="仿宋_GB2312" w:hAnsi="宋体" w:eastAsia="仿宋_GB2312" w:cs="宋体"/>
                <w:kern w:val="0"/>
                <w:sz w:val="18"/>
                <w:szCs w:val="18"/>
              </w:rPr>
              <w:t>0.5</w:t>
            </w:r>
            <w:r>
              <w:rPr>
                <w:rFonts w:hint="eastAsia" w:ascii="仿宋_GB2312" w:hAnsi="宋体" w:eastAsia="仿宋_GB2312" w:cs="宋体"/>
                <w:kern w:val="0"/>
                <w:sz w:val="18"/>
                <w:szCs w:val="18"/>
              </w:rPr>
              <w:t>分。</w:t>
            </w:r>
            <w:r>
              <w:rPr>
                <w:rFonts w:ascii="仿宋_GB2312" w:hAnsi="宋体" w:eastAsia="仿宋_GB2312" w:cs="宋体"/>
                <w:kern w:val="0"/>
                <w:sz w:val="18"/>
                <w:szCs w:val="18"/>
              </w:rPr>
              <w:t xml:space="preserve">                                            </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rPr>
                <w:rFonts w:ascii="仿宋_GB2312" w:hAnsi="宋体" w:eastAsia="仿宋_GB2312" w:cs="宋体"/>
                <w:sz w:val="20"/>
                <w:szCs w:val="20"/>
              </w:rPr>
            </w:pPr>
          </w:p>
        </w:tc>
      </w:tr>
      <w:tr>
        <w:tblPrEx>
          <w:tblCellMar>
            <w:top w:w="0" w:type="dxa"/>
            <w:left w:w="108" w:type="dxa"/>
            <w:bottom w:w="0" w:type="dxa"/>
            <w:right w:w="108" w:type="dxa"/>
          </w:tblCellMar>
        </w:tblPrEx>
        <w:trPr>
          <w:trHeight w:val="57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政府采购</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执行率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政府采购执行率等于</w:t>
            </w:r>
            <w:r>
              <w:rPr>
                <w:rFonts w:ascii="仿宋_GB2312" w:hAnsi="宋体" w:eastAsia="仿宋_GB2312" w:cs="宋体"/>
                <w:kern w:val="0"/>
                <w:sz w:val="18"/>
                <w:szCs w:val="18"/>
              </w:rPr>
              <w:t>100%</w:t>
            </w:r>
            <w:r>
              <w:rPr>
                <w:rFonts w:hint="eastAsia" w:ascii="仿宋_GB2312" w:hAnsi="宋体" w:eastAsia="仿宋_GB2312" w:cs="宋体"/>
                <w:kern w:val="0"/>
                <w:sz w:val="18"/>
                <w:szCs w:val="18"/>
              </w:rPr>
              <w:t>的，得</w:t>
            </w:r>
            <w:r>
              <w:rPr>
                <w:rFonts w:ascii="仿宋_GB2312" w:hAnsi="宋体" w:eastAsia="仿宋_GB2312" w:cs="宋体"/>
                <w:kern w:val="0"/>
                <w:sz w:val="18"/>
                <w:szCs w:val="18"/>
              </w:rPr>
              <w:t>3</w:t>
            </w:r>
            <w:r>
              <w:rPr>
                <w:rFonts w:hint="eastAsia" w:ascii="仿宋_GB2312" w:hAnsi="宋体" w:eastAsia="仿宋_GB2312" w:cs="宋体"/>
                <w:kern w:val="0"/>
                <w:sz w:val="18"/>
                <w:szCs w:val="18"/>
              </w:rPr>
              <w:t>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每减少一个百分点，扣</w:t>
            </w:r>
            <w:r>
              <w:rPr>
                <w:rFonts w:ascii="仿宋_GB2312" w:hAnsi="宋体" w:eastAsia="仿宋_GB2312" w:cs="宋体"/>
                <w:kern w:val="0"/>
                <w:sz w:val="18"/>
                <w:szCs w:val="18"/>
              </w:rPr>
              <w:t>0.2</w:t>
            </w:r>
            <w:r>
              <w:rPr>
                <w:rFonts w:hint="eastAsia" w:ascii="仿宋_GB2312" w:hAnsi="宋体" w:eastAsia="仿宋_GB2312" w:cs="宋体"/>
                <w:kern w:val="0"/>
                <w:sz w:val="18"/>
                <w:szCs w:val="18"/>
              </w:rPr>
              <w:t>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rPr>
                <w:rFonts w:ascii="仿宋_GB2312" w:hAnsi="宋体" w:eastAsia="仿宋_GB2312" w:cs="宋体"/>
                <w:color w:val="000000"/>
                <w:sz w:val="18"/>
                <w:szCs w:val="18"/>
              </w:rPr>
            </w:pPr>
          </w:p>
        </w:tc>
      </w:tr>
      <w:tr>
        <w:tblPrEx>
          <w:tblCellMar>
            <w:top w:w="0" w:type="dxa"/>
            <w:left w:w="108" w:type="dxa"/>
            <w:bottom w:w="0" w:type="dxa"/>
            <w:right w:w="108" w:type="dxa"/>
          </w:tblCellMar>
        </w:tblPrEx>
        <w:trPr>
          <w:trHeight w:val="63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公务卡刷卡率达</w:t>
            </w:r>
            <w:r>
              <w:rPr>
                <w:rFonts w:ascii="仿宋_GB2312" w:hAnsi="宋体" w:eastAsia="仿宋_GB2312" w:cs="宋体"/>
                <w:kern w:val="0"/>
                <w:sz w:val="18"/>
                <w:szCs w:val="18"/>
              </w:rPr>
              <w:t>50</w:t>
            </w:r>
            <w:r>
              <w:rPr>
                <w:rFonts w:hint="eastAsia" w:ascii="仿宋_GB2312" w:hAnsi="宋体" w:eastAsia="仿宋_GB2312" w:cs="宋体"/>
                <w:kern w:val="0"/>
                <w:sz w:val="18"/>
                <w:szCs w:val="18"/>
              </w:rPr>
              <w:t>％以上的，得</w:t>
            </w:r>
            <w:r>
              <w:rPr>
                <w:rFonts w:ascii="仿宋_GB2312" w:hAnsi="宋体" w:eastAsia="仿宋_GB2312" w:cs="宋体"/>
                <w:kern w:val="0"/>
                <w:sz w:val="18"/>
                <w:szCs w:val="18"/>
              </w:rPr>
              <w:t>3</w:t>
            </w:r>
            <w:r>
              <w:rPr>
                <w:rFonts w:hint="eastAsia" w:ascii="仿宋_GB2312" w:hAnsi="宋体" w:eastAsia="仿宋_GB2312" w:cs="宋体"/>
                <w:kern w:val="0"/>
                <w:sz w:val="18"/>
                <w:szCs w:val="18"/>
              </w:rPr>
              <w:t>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每减少一个百分点，扣</w:t>
            </w:r>
            <w:r>
              <w:rPr>
                <w:rFonts w:ascii="仿宋_GB2312" w:hAnsi="宋体" w:eastAsia="仿宋_GB2312" w:cs="宋体"/>
                <w:kern w:val="0"/>
                <w:sz w:val="18"/>
                <w:szCs w:val="18"/>
              </w:rPr>
              <w:t>0.2</w:t>
            </w:r>
            <w:r>
              <w:rPr>
                <w:rFonts w:hint="eastAsia" w:ascii="仿宋_GB2312" w:hAnsi="宋体" w:eastAsia="仿宋_GB2312" w:cs="宋体"/>
                <w:kern w:val="0"/>
                <w:sz w:val="18"/>
                <w:szCs w:val="18"/>
              </w:rPr>
              <w:t>分，扣完为止。</w:t>
            </w:r>
            <w:r>
              <w:rPr>
                <w:rFonts w:ascii="仿宋_GB2312" w:hAnsi="宋体" w:eastAsia="仿宋_GB2312" w:cs="宋体"/>
                <w:kern w:val="0"/>
                <w:sz w:val="18"/>
                <w:szCs w:val="18"/>
              </w:rPr>
              <w:t xml:space="preserve">                                            </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rPr>
                <w:rFonts w:ascii="仿宋_GB2312" w:hAnsi="宋体" w:eastAsia="仿宋_GB2312" w:cs="宋体"/>
                <w:color w:val="000000"/>
                <w:sz w:val="18"/>
                <w:szCs w:val="18"/>
              </w:rPr>
            </w:pPr>
          </w:p>
        </w:tc>
      </w:tr>
      <w:tr>
        <w:tblPrEx>
          <w:tblCellMar>
            <w:top w:w="0" w:type="dxa"/>
            <w:left w:w="108" w:type="dxa"/>
            <w:bottom w:w="0" w:type="dxa"/>
            <w:right w:w="108" w:type="dxa"/>
          </w:tblCellMar>
        </w:tblPrEx>
        <w:trPr>
          <w:trHeight w:val="735"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资产管理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w:t>
            </w:r>
            <w:r>
              <w:rPr>
                <w:rFonts w:ascii="仿宋_GB2312" w:hAnsi="宋体" w:eastAsia="仿宋_GB2312" w:cs="宋体"/>
                <w:kern w:val="0"/>
                <w:sz w:val="18"/>
                <w:szCs w:val="18"/>
              </w:rPr>
              <w:t>10</w:t>
            </w:r>
            <w:r>
              <w:rPr>
                <w:rFonts w:hint="eastAsia" w:ascii="仿宋_GB2312" w:hAnsi="宋体" w:eastAsia="仿宋_GB2312" w:cs="宋体"/>
                <w:kern w:val="0"/>
                <w:sz w:val="18"/>
                <w:szCs w:val="18"/>
              </w:rPr>
              <w:t>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管理制度</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①已制定或具有资产管理制度，且相关资产管理制度合法、合规、完整，</w:t>
            </w:r>
            <w:r>
              <w:rPr>
                <w:rFonts w:ascii="仿宋_GB2312" w:hAnsi="宋体" w:eastAsia="仿宋_GB2312" w:cs="宋体"/>
                <w:kern w:val="0"/>
                <w:sz w:val="18"/>
                <w:szCs w:val="18"/>
              </w:rPr>
              <w:t>2</w:t>
            </w:r>
            <w:r>
              <w:rPr>
                <w:rFonts w:hint="eastAsia" w:ascii="仿宋_GB2312" w:hAnsi="宋体" w:eastAsia="仿宋_GB2312" w:cs="宋体"/>
                <w:kern w:val="0"/>
                <w:sz w:val="18"/>
                <w:szCs w:val="18"/>
              </w:rPr>
              <w:t>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②相关资产管理制度得到有效执行，</w:t>
            </w:r>
            <w:r>
              <w:rPr>
                <w:rFonts w:ascii="仿宋_GB2312" w:hAnsi="宋体" w:eastAsia="仿宋_GB2312" w:cs="宋体"/>
                <w:kern w:val="0"/>
                <w:sz w:val="18"/>
                <w:szCs w:val="18"/>
              </w:rPr>
              <w:t>1</w:t>
            </w:r>
            <w:r>
              <w:rPr>
                <w:rFonts w:hint="eastAsia" w:ascii="仿宋_GB2312" w:hAnsi="宋体" w:eastAsia="仿宋_GB2312" w:cs="宋体"/>
                <w:kern w:val="0"/>
                <w:sz w:val="18"/>
                <w:szCs w:val="18"/>
              </w:rPr>
              <w:t>分。</w:t>
            </w:r>
            <w:r>
              <w:rPr>
                <w:rFonts w:ascii="仿宋_GB2312" w:hAnsi="宋体" w:eastAsia="仿宋_GB2312" w:cs="宋体"/>
                <w:kern w:val="0"/>
                <w:sz w:val="18"/>
                <w:szCs w:val="18"/>
              </w:rPr>
              <w:t xml:space="preserve">                                           </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rPr>
                <w:rFonts w:ascii="仿宋_GB2312" w:hAnsi="宋体" w:eastAsia="仿宋_GB2312" w:cs="宋体"/>
                <w:color w:val="000000"/>
                <w:sz w:val="18"/>
                <w:szCs w:val="18"/>
              </w:rPr>
            </w:pPr>
          </w:p>
        </w:tc>
      </w:tr>
    </w:tbl>
    <w:p>
      <w:r>
        <w:t xml:space="preserve">     </w:t>
      </w:r>
    </w:p>
    <w:p/>
    <w:p/>
    <w:p/>
    <w:p/>
    <w:p/>
    <w:p/>
    <w:p/>
    <w:p/>
    <w:p/>
    <w:p/>
    <w:p/>
    <w:tbl>
      <w:tblPr>
        <w:tblStyle w:val="6"/>
        <w:tblW w:w="9894" w:type="dxa"/>
        <w:jc w:val="center"/>
        <w:tblLayout w:type="fixed"/>
        <w:tblCellMar>
          <w:top w:w="0" w:type="dxa"/>
          <w:left w:w="108" w:type="dxa"/>
          <w:bottom w:w="0" w:type="dxa"/>
          <w:right w:w="108" w:type="dxa"/>
        </w:tblCellMar>
      </w:tblPr>
      <w:tblGrid>
        <w:gridCol w:w="976"/>
        <w:gridCol w:w="939"/>
        <w:gridCol w:w="1389"/>
        <w:gridCol w:w="4171"/>
        <w:gridCol w:w="619"/>
        <w:gridCol w:w="720"/>
        <w:gridCol w:w="1080"/>
      </w:tblGrid>
      <w:tr>
        <w:tblPrEx>
          <w:tblCellMar>
            <w:top w:w="0" w:type="dxa"/>
            <w:left w:w="108" w:type="dxa"/>
            <w:bottom w:w="0" w:type="dxa"/>
            <w:right w:w="108" w:type="dxa"/>
          </w:tblCellMar>
        </w:tblPrEx>
        <w:trPr>
          <w:trHeight w:val="609" w:hRule="atLeast"/>
          <w:jc w:val="center"/>
        </w:trPr>
        <w:tc>
          <w:tcPr>
            <w:tcW w:w="97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spacing w:val="-12"/>
                <w:kern w:val="0"/>
                <w:sz w:val="18"/>
                <w:szCs w:val="18"/>
              </w:rPr>
            </w:pPr>
            <w:r>
              <w:rPr>
                <w:rFonts w:hint="eastAsia" w:ascii="仿宋_GB2312" w:hAnsi="宋体" w:eastAsia="仿宋_GB2312" w:cs="宋体"/>
                <w:b/>
                <w:bCs/>
                <w:spacing w:val="-12"/>
                <w:kern w:val="0"/>
                <w:sz w:val="18"/>
                <w:szCs w:val="18"/>
              </w:rPr>
              <w:t>扣分原因和其他说明</w:t>
            </w:r>
          </w:p>
        </w:tc>
      </w:tr>
      <w:tr>
        <w:tblPrEx>
          <w:tblCellMar>
            <w:top w:w="0" w:type="dxa"/>
            <w:left w:w="108" w:type="dxa"/>
            <w:bottom w:w="0" w:type="dxa"/>
            <w:right w:w="108" w:type="dxa"/>
          </w:tblCellMar>
        </w:tblPrEx>
        <w:trPr>
          <w:trHeight w:val="2011" w:hRule="atLeast"/>
          <w:jc w:val="center"/>
        </w:trPr>
        <w:tc>
          <w:tcPr>
            <w:tcW w:w="97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过</w:t>
            </w:r>
            <w:r>
              <w:rPr>
                <w:rFonts w:ascii="仿宋_GB2312" w:hAnsi="宋体" w:eastAsia="仿宋_GB2312" w:cs="宋体"/>
                <w:kern w:val="0"/>
                <w:sz w:val="18"/>
                <w:szCs w:val="18"/>
              </w:rPr>
              <w:t xml:space="preserve">  </w:t>
            </w:r>
            <w:r>
              <w:rPr>
                <w:rFonts w:hint="eastAsia" w:ascii="仿宋_GB2312" w:hAnsi="宋体" w:eastAsia="仿宋_GB2312" w:cs="宋体"/>
                <w:kern w:val="0"/>
                <w:sz w:val="18"/>
                <w:szCs w:val="18"/>
              </w:rPr>
              <w:t>程</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w:t>
            </w:r>
            <w:r>
              <w:rPr>
                <w:rFonts w:ascii="仿宋_GB2312" w:hAnsi="宋体" w:eastAsia="仿宋_GB2312" w:cs="宋体"/>
                <w:kern w:val="0"/>
                <w:sz w:val="18"/>
                <w:szCs w:val="18"/>
              </w:rPr>
              <w:t>40</w:t>
            </w:r>
            <w:r>
              <w:rPr>
                <w:rFonts w:hint="eastAsia" w:ascii="仿宋_GB2312" w:hAnsi="宋体" w:eastAsia="仿宋_GB2312" w:cs="宋体"/>
                <w:kern w:val="0"/>
                <w:sz w:val="18"/>
                <w:szCs w:val="18"/>
              </w:rPr>
              <w:t>分）</w:t>
            </w:r>
          </w:p>
        </w:tc>
        <w:tc>
          <w:tcPr>
            <w:tcW w:w="93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资产管理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w:t>
            </w:r>
            <w:r>
              <w:rPr>
                <w:rFonts w:ascii="仿宋_GB2312" w:hAnsi="宋体" w:eastAsia="仿宋_GB2312" w:cs="宋体"/>
                <w:kern w:val="0"/>
                <w:sz w:val="18"/>
                <w:szCs w:val="18"/>
              </w:rPr>
              <w:t>10</w:t>
            </w:r>
            <w:r>
              <w:rPr>
                <w:rFonts w:hint="eastAsia" w:ascii="仿宋_GB2312" w:hAnsi="宋体" w:eastAsia="仿宋_GB2312" w:cs="宋体"/>
                <w:kern w:val="0"/>
                <w:sz w:val="18"/>
                <w:szCs w:val="18"/>
              </w:rPr>
              <w:t>分）</w:t>
            </w:r>
          </w:p>
        </w:tc>
        <w:tc>
          <w:tcPr>
            <w:tcW w:w="138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资产管理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安全性</w:t>
            </w:r>
          </w:p>
        </w:tc>
        <w:tc>
          <w:tcPr>
            <w:tcW w:w="4171" w:type="dxa"/>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①资产保存完整；</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②资产配置合理；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③资产处置规范；</w:t>
            </w:r>
            <w:r>
              <w:rPr>
                <w:rFonts w:ascii="仿宋_GB2312" w:hAnsi="宋体" w:eastAsia="仿宋_GB2312" w:cs="宋体"/>
                <w:kern w:val="0"/>
                <w:sz w:val="18"/>
                <w:szCs w:val="18"/>
              </w:rPr>
              <w:t xml:space="preserve"> </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④资产账务管理合规，帐实相符；</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⑤资产有偿使用及处置收入及时足额上缴；</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以上情况每出现一例不符合有关要求的扣</w:t>
            </w:r>
            <w:r>
              <w:rPr>
                <w:rFonts w:ascii="仿宋_GB2312" w:hAnsi="宋体" w:eastAsia="仿宋_GB2312" w:cs="宋体"/>
                <w:kern w:val="0"/>
                <w:sz w:val="18"/>
                <w:szCs w:val="18"/>
              </w:rPr>
              <w:t>1</w:t>
            </w:r>
            <w:r>
              <w:rPr>
                <w:rFonts w:hint="eastAsia" w:ascii="仿宋_GB2312" w:hAnsi="宋体" w:eastAsia="仿宋_GB2312" w:cs="宋体"/>
                <w:kern w:val="0"/>
                <w:sz w:val="18"/>
                <w:szCs w:val="18"/>
              </w:rPr>
              <w:t>分，扣完为止。</w:t>
            </w:r>
          </w:p>
        </w:tc>
        <w:tc>
          <w:tcPr>
            <w:tcW w:w="61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4</w:t>
            </w:r>
          </w:p>
        </w:tc>
        <w:tc>
          <w:tcPr>
            <w:tcW w:w="72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4</w:t>
            </w: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74" w:hRule="atLeast"/>
          <w:jc w:val="center"/>
        </w:trPr>
        <w:tc>
          <w:tcPr>
            <w:tcW w:w="9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固定资产</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利用率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每低于</w:t>
            </w:r>
            <w:r>
              <w:rPr>
                <w:rFonts w:ascii="仿宋_GB2312" w:hAnsi="宋体" w:eastAsia="仿宋_GB2312" w:cs="宋体"/>
                <w:kern w:val="0"/>
                <w:sz w:val="18"/>
                <w:szCs w:val="18"/>
              </w:rPr>
              <w:t>100%</w:t>
            </w:r>
            <w:r>
              <w:rPr>
                <w:rFonts w:hint="eastAsia" w:ascii="仿宋_GB2312" w:hAnsi="宋体" w:eastAsia="仿宋_GB2312" w:cs="宋体"/>
                <w:kern w:val="0"/>
                <w:sz w:val="18"/>
                <w:szCs w:val="18"/>
              </w:rPr>
              <w:t>一个百分点扣</w:t>
            </w:r>
            <w:r>
              <w:rPr>
                <w:rFonts w:ascii="仿宋_GB2312" w:hAnsi="宋体" w:eastAsia="仿宋_GB2312" w:cs="宋体"/>
                <w:kern w:val="0"/>
                <w:sz w:val="18"/>
                <w:szCs w:val="18"/>
              </w:rPr>
              <w:t>0.1</w:t>
            </w:r>
            <w:r>
              <w:rPr>
                <w:rFonts w:hint="eastAsia" w:ascii="仿宋_GB2312" w:hAnsi="宋体" w:eastAsia="仿宋_GB2312" w:cs="宋体"/>
                <w:kern w:val="0"/>
                <w:sz w:val="18"/>
                <w:szCs w:val="18"/>
              </w:rPr>
              <w:t>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w:t>
            </w:r>
            <w:r>
              <w:rPr>
                <w:rFonts w:ascii="仿宋_GB2312" w:hAnsi="宋体" w:eastAsia="仿宋_GB2312" w:cs="宋体"/>
                <w:kern w:val="0"/>
                <w:sz w:val="18"/>
                <w:szCs w:val="18"/>
              </w:rPr>
              <w:t xml:space="preserve">  </w:t>
            </w:r>
            <w:r>
              <w:rPr>
                <w:rFonts w:hint="eastAsia" w:ascii="仿宋_GB2312" w:hAnsi="宋体" w:eastAsia="仿宋_GB2312" w:cs="宋体"/>
                <w:kern w:val="0"/>
                <w:sz w:val="18"/>
                <w:szCs w:val="18"/>
              </w:rPr>
              <w:t>出（</w:t>
            </w:r>
            <w:r>
              <w:rPr>
                <w:rFonts w:ascii="仿宋_GB2312" w:hAnsi="宋体" w:eastAsia="仿宋_GB2312" w:cs="宋体"/>
                <w:kern w:val="0"/>
                <w:sz w:val="18"/>
                <w:szCs w:val="18"/>
              </w:rPr>
              <w:t>25</w:t>
            </w:r>
            <w:r>
              <w:rPr>
                <w:rFonts w:hint="eastAsia" w:ascii="仿宋_GB2312" w:hAnsi="宋体" w:eastAsia="仿宋_GB2312" w:cs="宋体"/>
                <w:kern w:val="0"/>
                <w:sz w:val="18"/>
                <w:szCs w:val="18"/>
              </w:rPr>
              <w:t>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职责履行</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w:t>
            </w:r>
            <w:r>
              <w:rPr>
                <w:rFonts w:ascii="仿宋_GB2312" w:hAnsi="宋体" w:eastAsia="仿宋_GB2312" w:cs="宋体"/>
                <w:kern w:val="0"/>
                <w:sz w:val="18"/>
                <w:szCs w:val="18"/>
              </w:rPr>
              <w:t>25</w:t>
            </w:r>
            <w:r>
              <w:rPr>
                <w:rFonts w:hint="eastAsia" w:ascii="仿宋_GB2312" w:hAnsi="宋体" w:eastAsia="仿宋_GB2312" w:cs="宋体"/>
                <w:kern w:val="0"/>
                <w:sz w:val="18"/>
                <w:szCs w:val="18"/>
              </w:rPr>
              <w:t>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推进全面小康建设指标任务完成情况</w:t>
            </w:r>
          </w:p>
        </w:tc>
        <w:tc>
          <w:tcPr>
            <w:tcW w:w="4171" w:type="dxa"/>
            <w:vMerge w:val="restart"/>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根据岳县办发（</w:t>
            </w:r>
            <w:r>
              <w:rPr>
                <w:rFonts w:ascii="仿宋_GB2312" w:hAnsi="宋体" w:eastAsia="仿宋_GB2312" w:cs="宋体"/>
                <w:color w:val="000000"/>
                <w:kern w:val="0"/>
                <w:sz w:val="18"/>
                <w:szCs w:val="18"/>
              </w:rPr>
              <w:t>2019</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号《全面建成小康社会综合绩效考评实施方案》的通知折算</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建设湖南新增及目标任务完成情况</w:t>
            </w:r>
          </w:p>
        </w:tc>
        <w:tc>
          <w:tcPr>
            <w:tcW w:w="417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7</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7</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《政府工作报告》目标任务完成情况</w:t>
            </w:r>
          </w:p>
        </w:tc>
        <w:tc>
          <w:tcPr>
            <w:tcW w:w="417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8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省市县重点民生实事完成情况</w:t>
            </w:r>
          </w:p>
        </w:tc>
        <w:tc>
          <w:tcPr>
            <w:tcW w:w="417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2</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2</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省市县重点工程和重大项目建设完成情况</w:t>
            </w:r>
          </w:p>
        </w:tc>
        <w:tc>
          <w:tcPr>
            <w:tcW w:w="417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2</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2</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80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其他工作实绩指标完成情况</w:t>
            </w:r>
          </w:p>
        </w:tc>
        <w:tc>
          <w:tcPr>
            <w:tcW w:w="417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4</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4</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00"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效</w:t>
            </w:r>
            <w:r>
              <w:rPr>
                <w:rFonts w:ascii="仿宋_GB2312" w:hAnsi="宋体" w:eastAsia="仿宋_GB2312" w:cs="宋体"/>
                <w:kern w:val="0"/>
                <w:sz w:val="18"/>
                <w:szCs w:val="18"/>
              </w:rPr>
              <w:t xml:space="preserve">  </w:t>
            </w:r>
            <w:r>
              <w:rPr>
                <w:rFonts w:hint="eastAsia" w:ascii="仿宋_GB2312" w:hAnsi="宋体" w:eastAsia="仿宋_GB2312" w:cs="宋体"/>
                <w:kern w:val="0"/>
                <w:sz w:val="18"/>
                <w:szCs w:val="18"/>
              </w:rPr>
              <w:t>果</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w:t>
            </w:r>
            <w:r>
              <w:rPr>
                <w:rFonts w:ascii="仿宋_GB2312" w:hAnsi="宋体" w:eastAsia="仿宋_GB2312" w:cs="宋体"/>
                <w:kern w:val="0"/>
                <w:sz w:val="18"/>
                <w:szCs w:val="18"/>
              </w:rPr>
              <w:t>20</w:t>
            </w:r>
            <w:r>
              <w:rPr>
                <w:rFonts w:hint="eastAsia" w:ascii="仿宋_GB2312" w:hAnsi="宋体" w:eastAsia="仿宋_GB2312" w:cs="宋体"/>
                <w:kern w:val="0"/>
                <w:sz w:val="18"/>
                <w:szCs w:val="18"/>
              </w:rPr>
              <w:t>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履职效益</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w:t>
            </w:r>
            <w:r>
              <w:rPr>
                <w:rFonts w:ascii="仿宋_GB2312" w:hAnsi="宋体" w:eastAsia="仿宋_GB2312" w:cs="宋体"/>
                <w:kern w:val="0"/>
                <w:sz w:val="18"/>
                <w:szCs w:val="18"/>
              </w:rPr>
              <w:t>20</w:t>
            </w:r>
            <w:r>
              <w:rPr>
                <w:rFonts w:hint="eastAsia" w:ascii="仿宋_GB2312" w:hAnsi="宋体" w:eastAsia="仿宋_GB2312" w:cs="宋体"/>
                <w:kern w:val="0"/>
                <w:sz w:val="18"/>
                <w:szCs w:val="18"/>
              </w:rPr>
              <w:t>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经济效益</w:t>
            </w:r>
          </w:p>
        </w:tc>
        <w:tc>
          <w:tcPr>
            <w:tcW w:w="4171" w:type="dxa"/>
            <w:vMerge w:val="restart"/>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61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15</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0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社会效益</w:t>
            </w:r>
          </w:p>
        </w:tc>
        <w:tc>
          <w:tcPr>
            <w:tcW w:w="417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61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720" w:type="dxa"/>
            <w:tcBorders>
              <w:top w:val="nil"/>
              <w:left w:val="nil"/>
              <w:bottom w:val="single" w:color="auto" w:sz="4" w:space="0"/>
              <w:right w:val="single" w:color="auto" w:sz="4" w:space="0"/>
            </w:tcBorders>
            <w:shd w:val="clear" w:color="auto" w:fill="FFFFFF"/>
            <w:vAlign w:val="center"/>
          </w:tcPr>
          <w:p>
            <w:pPr>
              <w:widowControl/>
              <w:jc w:val="left"/>
              <w:rPr>
                <w:rFonts w:ascii="仿宋_GB2312" w:hAnsi="宋体" w:eastAsia="仿宋_GB2312" w:cs="宋体"/>
                <w:kern w:val="0"/>
                <w:sz w:val="18"/>
                <w:szCs w:val="18"/>
              </w:rPr>
            </w:pPr>
            <w:r>
              <w:rPr>
                <w:rFonts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0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生态效益</w:t>
            </w:r>
          </w:p>
        </w:tc>
        <w:tc>
          <w:tcPr>
            <w:tcW w:w="417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61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720" w:type="dxa"/>
            <w:tcBorders>
              <w:top w:val="nil"/>
              <w:left w:val="nil"/>
              <w:bottom w:val="single" w:color="auto" w:sz="4" w:space="0"/>
              <w:right w:val="single" w:color="auto" w:sz="4" w:space="0"/>
            </w:tcBorders>
            <w:shd w:val="clear" w:color="auto" w:fill="FFFFFF"/>
            <w:vAlign w:val="center"/>
          </w:tcPr>
          <w:p>
            <w:pPr>
              <w:widowControl/>
              <w:jc w:val="left"/>
              <w:rPr>
                <w:rFonts w:ascii="仿宋_GB2312" w:hAnsi="宋体" w:eastAsia="仿宋_GB2312" w:cs="宋体"/>
                <w:kern w:val="0"/>
                <w:sz w:val="18"/>
                <w:szCs w:val="18"/>
              </w:rPr>
            </w:pPr>
            <w:r>
              <w:rPr>
                <w:rFonts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1113"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社会公众或服务对象满意度</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ascii="仿宋_GB2312" w:hAnsi="宋体" w:eastAsia="仿宋_GB2312" w:cs="宋体"/>
                <w:kern w:val="0"/>
                <w:sz w:val="18"/>
                <w:szCs w:val="18"/>
              </w:rPr>
              <w:t>95%</w:t>
            </w:r>
            <w:r>
              <w:rPr>
                <w:rFonts w:hint="eastAsia" w:ascii="仿宋_GB2312" w:hAnsi="宋体" w:eastAsia="仿宋_GB2312" w:cs="宋体"/>
                <w:kern w:val="0"/>
                <w:sz w:val="18"/>
                <w:szCs w:val="18"/>
              </w:rPr>
              <w:t>（含）以上计</w:t>
            </w:r>
            <w:r>
              <w:rPr>
                <w:rFonts w:ascii="仿宋_GB2312" w:hAnsi="宋体" w:eastAsia="仿宋_GB2312" w:cs="宋体"/>
                <w:kern w:val="0"/>
                <w:sz w:val="18"/>
                <w:szCs w:val="18"/>
              </w:rPr>
              <w:t>5</w:t>
            </w:r>
            <w:r>
              <w:rPr>
                <w:rFonts w:hint="eastAsia" w:ascii="仿宋_GB2312" w:hAnsi="宋体" w:eastAsia="仿宋_GB2312" w:cs="宋体"/>
                <w:kern w:val="0"/>
                <w:sz w:val="18"/>
                <w:szCs w:val="18"/>
              </w:rPr>
              <w:t>分；</w:t>
            </w:r>
          </w:p>
          <w:p>
            <w:pPr>
              <w:widowControl/>
              <w:spacing w:line="240" w:lineRule="exact"/>
              <w:jc w:val="left"/>
              <w:rPr>
                <w:rFonts w:ascii="仿宋_GB2312" w:hAnsi="宋体" w:eastAsia="仿宋_GB2312" w:cs="宋体"/>
                <w:kern w:val="0"/>
                <w:sz w:val="18"/>
                <w:szCs w:val="18"/>
              </w:rPr>
            </w:pPr>
            <w:r>
              <w:rPr>
                <w:rFonts w:ascii="仿宋_GB2312" w:hAnsi="宋体" w:eastAsia="仿宋_GB2312" w:cs="宋体"/>
                <w:kern w:val="0"/>
                <w:sz w:val="18"/>
                <w:szCs w:val="18"/>
              </w:rPr>
              <w:t>85%</w:t>
            </w:r>
            <w:r>
              <w:rPr>
                <w:rFonts w:hint="eastAsia" w:ascii="仿宋_GB2312" w:hAnsi="宋体" w:eastAsia="仿宋_GB2312" w:cs="宋体"/>
                <w:kern w:val="0"/>
                <w:sz w:val="18"/>
                <w:szCs w:val="18"/>
              </w:rPr>
              <w:t>（含）</w:t>
            </w:r>
            <w:r>
              <w:rPr>
                <w:rFonts w:ascii="仿宋_GB2312" w:hAnsi="宋体" w:eastAsia="仿宋_GB2312" w:cs="宋体"/>
                <w:kern w:val="0"/>
                <w:sz w:val="18"/>
                <w:szCs w:val="18"/>
              </w:rPr>
              <w:t>-95%</w:t>
            </w:r>
            <w:r>
              <w:rPr>
                <w:rFonts w:hint="eastAsia" w:ascii="仿宋_GB2312" w:hAnsi="宋体" w:eastAsia="仿宋_GB2312" w:cs="宋体"/>
                <w:kern w:val="0"/>
                <w:sz w:val="18"/>
                <w:szCs w:val="18"/>
              </w:rPr>
              <w:t>，计</w:t>
            </w:r>
            <w:r>
              <w:rPr>
                <w:rFonts w:ascii="仿宋_GB2312" w:hAnsi="宋体" w:eastAsia="仿宋_GB2312" w:cs="宋体"/>
                <w:kern w:val="0"/>
                <w:sz w:val="18"/>
                <w:szCs w:val="18"/>
              </w:rPr>
              <w:t>3</w:t>
            </w:r>
            <w:r>
              <w:rPr>
                <w:rFonts w:hint="eastAsia" w:ascii="仿宋_GB2312" w:hAnsi="宋体" w:eastAsia="仿宋_GB2312" w:cs="宋体"/>
                <w:kern w:val="0"/>
                <w:sz w:val="18"/>
                <w:szCs w:val="18"/>
              </w:rPr>
              <w:t>分；</w:t>
            </w:r>
          </w:p>
          <w:p>
            <w:pPr>
              <w:widowControl/>
              <w:spacing w:line="240" w:lineRule="exact"/>
              <w:jc w:val="left"/>
              <w:rPr>
                <w:rFonts w:ascii="仿宋_GB2312" w:hAnsi="宋体" w:eastAsia="仿宋_GB2312" w:cs="宋体"/>
                <w:kern w:val="0"/>
                <w:sz w:val="18"/>
                <w:szCs w:val="18"/>
              </w:rPr>
            </w:pPr>
            <w:r>
              <w:rPr>
                <w:rFonts w:ascii="仿宋_GB2312" w:hAnsi="宋体" w:eastAsia="仿宋_GB2312" w:cs="宋体"/>
                <w:kern w:val="0"/>
                <w:sz w:val="18"/>
                <w:szCs w:val="18"/>
              </w:rPr>
              <w:t>75%</w:t>
            </w:r>
            <w:r>
              <w:rPr>
                <w:rFonts w:hint="eastAsia" w:ascii="仿宋_GB2312" w:hAnsi="宋体" w:eastAsia="仿宋_GB2312" w:cs="宋体"/>
                <w:kern w:val="0"/>
                <w:sz w:val="18"/>
                <w:szCs w:val="18"/>
              </w:rPr>
              <w:t>（含）</w:t>
            </w:r>
            <w:r>
              <w:rPr>
                <w:rFonts w:ascii="仿宋_GB2312" w:hAnsi="宋体" w:eastAsia="仿宋_GB2312" w:cs="宋体"/>
                <w:kern w:val="0"/>
                <w:sz w:val="18"/>
                <w:szCs w:val="18"/>
              </w:rPr>
              <w:t>-85%</w:t>
            </w:r>
            <w:r>
              <w:rPr>
                <w:rFonts w:hint="eastAsia" w:ascii="仿宋_GB2312" w:hAnsi="宋体" w:eastAsia="仿宋_GB2312" w:cs="宋体"/>
                <w:kern w:val="0"/>
                <w:sz w:val="18"/>
                <w:szCs w:val="18"/>
              </w:rPr>
              <w:t>，计</w:t>
            </w:r>
            <w:r>
              <w:rPr>
                <w:rFonts w:ascii="仿宋_GB2312" w:hAnsi="宋体" w:eastAsia="仿宋_GB2312" w:cs="宋体"/>
                <w:kern w:val="0"/>
                <w:sz w:val="18"/>
                <w:szCs w:val="18"/>
              </w:rPr>
              <w:t>1</w:t>
            </w:r>
            <w:r>
              <w:rPr>
                <w:rFonts w:hint="eastAsia" w:ascii="仿宋_GB2312" w:hAnsi="宋体" w:eastAsia="仿宋_GB2312" w:cs="宋体"/>
                <w:kern w:val="0"/>
                <w:sz w:val="18"/>
                <w:szCs w:val="18"/>
              </w:rPr>
              <w:t>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低于</w:t>
            </w:r>
            <w:r>
              <w:rPr>
                <w:rFonts w:ascii="仿宋_GB2312" w:hAnsi="宋体" w:eastAsia="仿宋_GB2312" w:cs="宋体"/>
                <w:kern w:val="0"/>
                <w:sz w:val="18"/>
                <w:szCs w:val="18"/>
              </w:rPr>
              <w:t>75%</w:t>
            </w:r>
            <w:r>
              <w:rPr>
                <w:rFonts w:hint="eastAsia" w:ascii="仿宋_GB2312" w:hAnsi="宋体" w:eastAsia="仿宋_GB2312" w:cs="宋体"/>
                <w:kern w:val="0"/>
                <w:sz w:val="18"/>
                <w:szCs w:val="18"/>
              </w:rPr>
              <w:t>计</w:t>
            </w:r>
            <w:r>
              <w:rPr>
                <w:rFonts w:ascii="仿宋_GB2312" w:hAnsi="宋体" w:eastAsia="仿宋_GB2312" w:cs="宋体"/>
                <w:kern w:val="0"/>
                <w:sz w:val="18"/>
                <w:szCs w:val="18"/>
              </w:rPr>
              <w:t>0</w:t>
            </w:r>
            <w:r>
              <w:rPr>
                <w:rFonts w:hint="eastAsia" w:ascii="仿宋_GB2312" w:hAnsi="宋体" w:eastAsia="仿宋_GB2312" w:cs="宋体"/>
                <w:kern w:val="0"/>
                <w:sz w:val="18"/>
                <w:szCs w:val="18"/>
              </w:rPr>
              <w:t>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社会公众满意度达到</w:t>
            </w:r>
            <w:r>
              <w:rPr>
                <w:rFonts w:ascii="仿宋_GB2312" w:hAnsi="宋体" w:eastAsia="仿宋_GB2312" w:cs="宋体"/>
                <w:kern w:val="0"/>
                <w:sz w:val="18"/>
                <w:szCs w:val="18"/>
              </w:rPr>
              <w:t>95%</w:t>
            </w:r>
            <w:r>
              <w:rPr>
                <w:rFonts w:hint="eastAsia" w:ascii="仿宋_GB2312" w:hAnsi="宋体" w:eastAsia="仿宋_GB2312" w:cs="宋体"/>
                <w:kern w:val="0"/>
                <w:sz w:val="18"/>
                <w:szCs w:val="18"/>
              </w:rPr>
              <w:t>以上</w:t>
            </w:r>
          </w:p>
        </w:tc>
      </w:tr>
      <w:tr>
        <w:tblPrEx>
          <w:tblCellMar>
            <w:top w:w="0" w:type="dxa"/>
            <w:left w:w="108" w:type="dxa"/>
            <w:bottom w:w="0" w:type="dxa"/>
            <w:right w:w="108" w:type="dxa"/>
          </w:tblCellMar>
        </w:tblPrEx>
        <w:trPr>
          <w:trHeight w:val="670" w:hRule="atLeast"/>
          <w:jc w:val="center"/>
        </w:trPr>
        <w:tc>
          <w:tcPr>
            <w:tcW w:w="976"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总</w:t>
            </w:r>
            <w:r>
              <w:rPr>
                <w:rFonts w:ascii="仿宋_GB2312" w:hAnsi="宋体" w:eastAsia="仿宋_GB2312" w:cs="宋体"/>
                <w:b/>
                <w:bCs/>
                <w:kern w:val="0"/>
                <w:sz w:val="18"/>
                <w:szCs w:val="18"/>
              </w:rPr>
              <w:t xml:space="preserve"> </w:t>
            </w:r>
            <w:r>
              <w:rPr>
                <w:rFonts w:hint="eastAsia" w:ascii="仿宋_GB2312" w:hAnsi="宋体" w:eastAsia="仿宋_GB2312" w:cs="宋体"/>
                <w:b/>
                <w:bCs/>
                <w:kern w:val="0"/>
                <w:sz w:val="18"/>
                <w:szCs w:val="18"/>
              </w:rPr>
              <w:t>分</w:t>
            </w:r>
          </w:p>
        </w:tc>
        <w:tc>
          <w:tcPr>
            <w:tcW w:w="93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4171"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spacing w:val="-8"/>
                <w:kern w:val="0"/>
                <w:sz w:val="18"/>
                <w:szCs w:val="18"/>
              </w:rPr>
            </w:pPr>
            <w:r>
              <w:rPr>
                <w:rFonts w:ascii="仿宋_GB2312" w:hAnsi="宋体" w:eastAsia="仿宋_GB2312" w:cs="宋体"/>
                <w:b/>
                <w:bCs/>
                <w:spacing w:val="-8"/>
                <w:kern w:val="0"/>
                <w:sz w:val="18"/>
                <w:szCs w:val="18"/>
              </w:rPr>
              <w:t>100</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ascii="仿宋_GB2312" w:hAnsi="宋体" w:eastAsia="仿宋_GB2312" w:cs="宋体"/>
                <w:b/>
                <w:bCs/>
                <w:kern w:val="0"/>
                <w:sz w:val="18"/>
                <w:szCs w:val="18"/>
              </w:rPr>
              <w:t>97</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r>
    </w:tbl>
    <w:p>
      <w:pPr>
        <w:spacing w:beforeLines="50"/>
        <w:rPr>
          <w:rFonts w:ascii="仿宋_GB2312" w:hAnsi="宋体" w:eastAsia="仿宋_GB2312" w:cs="宋体"/>
          <w:kern w:val="0"/>
          <w:szCs w:val="21"/>
        </w:rPr>
      </w:pPr>
      <w:r>
        <w:rPr>
          <w:rFonts w:hint="eastAsia" w:ascii="仿宋_GB2312" w:hAnsi="宋体" w:eastAsia="仿宋_GB2312" w:cs="宋体"/>
          <w:kern w:val="0"/>
          <w:szCs w:val="21"/>
        </w:rPr>
        <w:t>备注：如部门（单位）根据本部门实际情况修改调整了附件</w:t>
      </w:r>
      <w:r>
        <w:rPr>
          <w:rFonts w:ascii="仿宋_GB2312" w:hAnsi="宋体" w:eastAsia="仿宋_GB2312" w:cs="宋体"/>
          <w:kern w:val="0"/>
          <w:szCs w:val="21"/>
        </w:rPr>
        <w:t>3</w:t>
      </w:r>
      <w:r>
        <w:rPr>
          <w:rFonts w:hint="eastAsia" w:ascii="仿宋_GB2312" w:hAnsi="宋体" w:eastAsia="仿宋_GB2312" w:cs="宋体"/>
          <w:kern w:val="0"/>
          <w:szCs w:val="21"/>
        </w:rPr>
        <w:t>《部门整体支出绩效评价指标体系（参考样表）》，须相应修改调整本表中的对应部分。</w:t>
      </w:r>
    </w:p>
    <w:p>
      <w:pPr>
        <w:spacing w:beforeLines="50"/>
        <w:rPr>
          <w:rFonts w:ascii="黑体" w:hAnsi="黑体" w:eastAsia="黑体"/>
          <w:sz w:val="32"/>
          <w:szCs w:val="32"/>
        </w:rPr>
      </w:pPr>
    </w:p>
    <w:p>
      <w:pPr>
        <w:spacing w:beforeLines="50"/>
        <w:rPr>
          <w:rFonts w:ascii="黑体" w:hAnsi="黑体" w:eastAsia="黑体"/>
          <w:sz w:val="32"/>
          <w:szCs w:val="32"/>
        </w:rPr>
      </w:pPr>
    </w:p>
    <w:p>
      <w:pPr>
        <w:spacing w:beforeLines="50"/>
        <w:rPr>
          <w:rFonts w:ascii="仿宋_GB2312" w:hAnsi="宋体" w:eastAsia="仿宋_GB2312" w:cs="宋体"/>
          <w:kern w:val="0"/>
          <w:szCs w:val="21"/>
        </w:rPr>
      </w:pPr>
      <w:r>
        <w:rPr>
          <w:rFonts w:hint="eastAsia" w:ascii="黑体" w:hAnsi="黑体" w:eastAsia="黑体"/>
          <w:sz w:val="32"/>
          <w:szCs w:val="32"/>
        </w:rPr>
        <w:t>附件</w:t>
      </w:r>
      <w:r>
        <w:rPr>
          <w:rFonts w:ascii="黑体" w:hAnsi="黑体" w:eastAsia="黑体"/>
          <w:sz w:val="32"/>
          <w:szCs w:val="32"/>
        </w:rPr>
        <w:t>3-2</w:t>
      </w:r>
    </w:p>
    <w:p>
      <w:pPr>
        <w:spacing w:beforeLines="60" w:afterLines="60" w:line="560" w:lineRule="exact"/>
        <w:jc w:val="center"/>
        <w:rPr>
          <w:rFonts w:ascii="方正小标宋简体" w:eastAsia="方正小标宋简体"/>
          <w:sz w:val="38"/>
          <w:szCs w:val="38"/>
        </w:rPr>
      </w:pPr>
      <w:r>
        <w:rPr>
          <w:rFonts w:hint="eastAsia" w:ascii="方正小标宋简体" w:eastAsia="方正小标宋简体"/>
          <w:sz w:val="38"/>
          <w:szCs w:val="38"/>
        </w:rPr>
        <w:t>项目支出绩效评价指标体系评分表</w:t>
      </w:r>
    </w:p>
    <w:tbl>
      <w:tblPr>
        <w:tblStyle w:val="6"/>
        <w:tblW w:w="0" w:type="auto"/>
        <w:jc w:val="center"/>
        <w:tblLayout w:type="fixed"/>
        <w:tblCellMar>
          <w:top w:w="0" w:type="dxa"/>
          <w:left w:w="108" w:type="dxa"/>
          <w:bottom w:w="0" w:type="dxa"/>
          <w:right w:w="108" w:type="dxa"/>
        </w:tblCellMar>
      </w:tblPr>
      <w:tblGrid>
        <w:gridCol w:w="702"/>
        <w:gridCol w:w="540"/>
        <w:gridCol w:w="703"/>
        <w:gridCol w:w="540"/>
        <w:gridCol w:w="803"/>
        <w:gridCol w:w="550"/>
        <w:gridCol w:w="2407"/>
        <w:gridCol w:w="2772"/>
        <w:gridCol w:w="803"/>
      </w:tblGrid>
      <w:tr>
        <w:tblPrEx>
          <w:tblCellMar>
            <w:top w:w="0" w:type="dxa"/>
            <w:left w:w="108" w:type="dxa"/>
            <w:bottom w:w="0" w:type="dxa"/>
            <w:right w:w="108" w:type="dxa"/>
          </w:tblCellMar>
        </w:tblPrEx>
        <w:trPr>
          <w:trHeight w:val="582" w:hRule="atLeast"/>
          <w:jc w:val="center"/>
        </w:trPr>
        <w:tc>
          <w:tcPr>
            <w:tcW w:w="70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eastAsia" w:ascii="仿宋_GB2312" w:hAnsi="宋体" w:eastAsia="仿宋_GB2312" w:cs="宋体"/>
                <w:b/>
                <w:bCs/>
                <w:kern w:val="0"/>
                <w:sz w:val="18"/>
                <w:szCs w:val="18"/>
                <w:lang w:eastAsia="zh-CN"/>
              </w:rPr>
            </w:pPr>
            <w:r>
              <w:rPr>
                <w:rFonts w:hint="eastAsia" w:ascii="仿宋_GB2312" w:hAnsi="宋体" w:eastAsia="仿宋_GB2312" w:cs="宋体"/>
                <w:b/>
                <w:bCs/>
                <w:kern w:val="0"/>
                <w:sz w:val="18"/>
                <w:szCs w:val="18"/>
              </w:rPr>
              <w:t>一级</w:t>
            </w:r>
          </w:p>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指标</w:t>
            </w:r>
          </w:p>
        </w:tc>
        <w:tc>
          <w:tcPr>
            <w:tcW w:w="540" w:type="dxa"/>
            <w:tcBorders>
              <w:top w:val="single" w:color="000000" w:sz="4" w:space="0"/>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03" w:type="dxa"/>
            <w:tcBorders>
              <w:top w:val="single" w:color="000000" w:sz="4" w:space="0"/>
              <w:left w:val="nil"/>
              <w:bottom w:val="single" w:color="000000" w:sz="4" w:space="0"/>
              <w:right w:val="single" w:color="000000" w:sz="4" w:space="0"/>
            </w:tcBorders>
            <w:vAlign w:val="center"/>
          </w:tcPr>
          <w:p>
            <w:pPr>
              <w:widowControl/>
              <w:spacing w:line="240" w:lineRule="exact"/>
              <w:jc w:val="center"/>
              <w:rPr>
                <w:rFonts w:hint="eastAsia" w:ascii="仿宋_GB2312" w:hAnsi="宋体" w:eastAsia="仿宋_GB2312" w:cs="宋体"/>
                <w:b/>
                <w:bCs/>
                <w:kern w:val="0"/>
                <w:sz w:val="18"/>
                <w:szCs w:val="18"/>
                <w:lang w:eastAsia="zh-CN"/>
              </w:rPr>
            </w:pPr>
            <w:r>
              <w:rPr>
                <w:rFonts w:hint="eastAsia" w:ascii="仿宋_GB2312" w:hAnsi="宋体" w:eastAsia="仿宋_GB2312" w:cs="宋体"/>
                <w:b/>
                <w:bCs/>
                <w:kern w:val="0"/>
                <w:sz w:val="18"/>
                <w:szCs w:val="18"/>
              </w:rPr>
              <w:t>二级</w:t>
            </w:r>
          </w:p>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指标</w:t>
            </w:r>
          </w:p>
        </w:tc>
        <w:tc>
          <w:tcPr>
            <w:tcW w:w="540" w:type="dxa"/>
            <w:tcBorders>
              <w:top w:val="single" w:color="000000" w:sz="4" w:space="0"/>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803" w:type="dxa"/>
            <w:tcBorders>
              <w:top w:val="single" w:color="000000" w:sz="4" w:space="0"/>
              <w:left w:val="nil"/>
              <w:bottom w:val="single" w:color="000000" w:sz="4" w:space="0"/>
              <w:right w:val="single" w:color="000000" w:sz="4" w:space="0"/>
            </w:tcBorders>
            <w:vAlign w:val="center"/>
          </w:tcPr>
          <w:p>
            <w:pPr>
              <w:widowControl/>
              <w:spacing w:line="240" w:lineRule="exact"/>
              <w:jc w:val="center"/>
              <w:rPr>
                <w:rFonts w:hint="eastAsia" w:ascii="仿宋_GB2312" w:hAnsi="宋体" w:eastAsia="仿宋_GB2312" w:cs="宋体"/>
                <w:b/>
                <w:bCs/>
                <w:kern w:val="0"/>
                <w:sz w:val="18"/>
                <w:szCs w:val="18"/>
                <w:lang w:eastAsia="zh-CN"/>
              </w:rPr>
            </w:pPr>
            <w:r>
              <w:rPr>
                <w:rFonts w:hint="eastAsia" w:ascii="仿宋_GB2312" w:hAnsi="宋体" w:eastAsia="仿宋_GB2312" w:cs="宋体"/>
                <w:b/>
                <w:bCs/>
                <w:kern w:val="0"/>
                <w:sz w:val="18"/>
                <w:szCs w:val="18"/>
              </w:rPr>
              <w:t>三级</w:t>
            </w:r>
          </w:p>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指标</w:t>
            </w:r>
          </w:p>
        </w:tc>
        <w:tc>
          <w:tcPr>
            <w:tcW w:w="550" w:type="dxa"/>
            <w:tcBorders>
              <w:top w:val="single" w:color="000000" w:sz="4" w:space="0"/>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2407" w:type="dxa"/>
            <w:tcBorders>
              <w:top w:val="single" w:color="000000" w:sz="4" w:space="0"/>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具体指标</w:t>
            </w:r>
          </w:p>
        </w:tc>
        <w:tc>
          <w:tcPr>
            <w:tcW w:w="2772" w:type="dxa"/>
            <w:tcBorders>
              <w:top w:val="single" w:color="000000" w:sz="4" w:space="0"/>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评价标准</w:t>
            </w:r>
          </w:p>
        </w:tc>
        <w:tc>
          <w:tcPr>
            <w:tcW w:w="803"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w:t>
            </w:r>
          </w:p>
          <w:p>
            <w:pPr>
              <w:widowControl/>
              <w:spacing w:line="240" w:lineRule="exact"/>
              <w:jc w:val="center"/>
              <w:rPr>
                <w:rFonts w:ascii="仿宋_GB2312" w:hAnsi="宋体" w:eastAsia="仿宋_GB2312" w:cs="宋体"/>
                <w:b/>
                <w:bCs/>
                <w:kern w:val="0"/>
                <w:sz w:val="24"/>
              </w:rPr>
            </w:pPr>
            <w:r>
              <w:rPr>
                <w:rFonts w:hint="eastAsia" w:ascii="仿宋_GB2312" w:hAnsi="宋体" w:eastAsia="仿宋_GB2312" w:cs="宋体"/>
                <w:b/>
                <w:bCs/>
                <w:kern w:val="0"/>
                <w:sz w:val="18"/>
                <w:szCs w:val="18"/>
              </w:rPr>
              <w:t>得分</w:t>
            </w:r>
          </w:p>
        </w:tc>
      </w:tr>
      <w:tr>
        <w:tblPrEx>
          <w:tblCellMar>
            <w:top w:w="0" w:type="dxa"/>
            <w:left w:w="108" w:type="dxa"/>
            <w:bottom w:w="0" w:type="dxa"/>
            <w:right w:w="108" w:type="dxa"/>
          </w:tblCellMar>
        </w:tblPrEx>
        <w:trPr>
          <w:trHeight w:val="967" w:hRule="atLeast"/>
          <w:jc w:val="center"/>
        </w:trPr>
        <w:tc>
          <w:tcPr>
            <w:tcW w:w="702" w:type="dxa"/>
            <w:vMerge w:val="restart"/>
            <w:tcBorders>
              <w:top w:val="nil"/>
              <w:left w:val="single" w:color="000000" w:sz="4" w:space="0"/>
              <w:bottom w:val="single" w:color="000000" w:sz="4" w:space="0"/>
              <w:right w:val="single" w:color="000000" w:sz="4" w:space="0"/>
            </w:tcBorders>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项目决策</w:t>
            </w:r>
          </w:p>
        </w:tc>
        <w:tc>
          <w:tcPr>
            <w:tcW w:w="540" w:type="dxa"/>
            <w:vMerge w:val="restart"/>
            <w:tcBorders>
              <w:top w:val="nil"/>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20</w:t>
            </w:r>
          </w:p>
        </w:tc>
        <w:tc>
          <w:tcPr>
            <w:tcW w:w="703" w:type="dxa"/>
            <w:tcBorders>
              <w:top w:val="nil"/>
              <w:left w:val="nil"/>
              <w:bottom w:val="single" w:color="000000" w:sz="4" w:space="0"/>
              <w:right w:val="single" w:color="000000" w:sz="4" w:space="0"/>
            </w:tcBorders>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项目目标</w:t>
            </w:r>
          </w:p>
        </w:tc>
        <w:tc>
          <w:tcPr>
            <w:tcW w:w="54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4</w:t>
            </w: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目标</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内容</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设立了项目绩效目标；目标明确；目标细化；目标量化</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①设有目标（</w:t>
            </w:r>
            <w:r>
              <w:rPr>
                <w:rFonts w:ascii="仿宋_GB2312" w:hAnsi="宋体" w:eastAsia="仿宋_GB2312" w:cs="宋体"/>
                <w:kern w:val="0"/>
                <w:sz w:val="18"/>
                <w:szCs w:val="18"/>
              </w:rPr>
              <w:t>1</w:t>
            </w:r>
            <w:r>
              <w:rPr>
                <w:rFonts w:hint="eastAsia" w:ascii="仿宋_GB2312" w:hAnsi="宋体" w:eastAsia="仿宋_GB2312" w:cs="宋体"/>
                <w:kern w:val="0"/>
                <w:sz w:val="18"/>
                <w:szCs w:val="18"/>
              </w:rPr>
              <w:t>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②目标明确（</w:t>
            </w:r>
            <w:r>
              <w:rPr>
                <w:rFonts w:ascii="仿宋_GB2312" w:hAnsi="宋体" w:eastAsia="仿宋_GB2312" w:cs="宋体"/>
                <w:kern w:val="0"/>
                <w:sz w:val="18"/>
                <w:szCs w:val="18"/>
              </w:rPr>
              <w:t>1</w:t>
            </w:r>
            <w:r>
              <w:rPr>
                <w:rFonts w:hint="eastAsia" w:ascii="仿宋_GB2312" w:hAnsi="宋体" w:eastAsia="仿宋_GB2312" w:cs="宋体"/>
                <w:kern w:val="0"/>
                <w:sz w:val="18"/>
                <w:szCs w:val="18"/>
              </w:rPr>
              <w:t>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③目标细化（</w:t>
            </w:r>
            <w:r>
              <w:rPr>
                <w:rFonts w:ascii="仿宋_GB2312" w:hAnsi="宋体" w:eastAsia="仿宋_GB2312" w:cs="宋体"/>
                <w:kern w:val="0"/>
                <w:sz w:val="18"/>
                <w:szCs w:val="18"/>
              </w:rPr>
              <w:t>1</w:t>
            </w:r>
            <w:r>
              <w:rPr>
                <w:rFonts w:hint="eastAsia" w:ascii="仿宋_GB2312" w:hAnsi="宋体" w:eastAsia="仿宋_GB2312" w:cs="宋体"/>
                <w:kern w:val="0"/>
                <w:sz w:val="18"/>
                <w:szCs w:val="18"/>
              </w:rPr>
              <w:t>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④目标量化（</w:t>
            </w:r>
            <w:r>
              <w:rPr>
                <w:rFonts w:ascii="仿宋_GB2312" w:hAnsi="宋体" w:eastAsia="仿宋_GB2312" w:cs="宋体"/>
                <w:kern w:val="0"/>
                <w:sz w:val="18"/>
                <w:szCs w:val="18"/>
              </w:rPr>
              <w:t>1</w:t>
            </w:r>
            <w:r>
              <w:rPr>
                <w:rFonts w:hint="eastAsia" w:ascii="仿宋_GB2312" w:hAnsi="宋体" w:eastAsia="仿宋_GB2312" w:cs="宋体"/>
                <w:kern w:val="0"/>
                <w:sz w:val="18"/>
                <w:szCs w:val="18"/>
              </w:rPr>
              <w:t>分）</w:t>
            </w: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1277" w:hRule="atLeast"/>
          <w:jc w:val="center"/>
        </w:trPr>
        <w:tc>
          <w:tcPr>
            <w:tcW w:w="702"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决策过程</w:t>
            </w:r>
          </w:p>
        </w:tc>
        <w:tc>
          <w:tcPr>
            <w:tcW w:w="540" w:type="dxa"/>
            <w:vMerge w:val="restart"/>
            <w:tcBorders>
              <w:top w:val="nil"/>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8</w:t>
            </w: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决策</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依据</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有关法律法规的明确规定；某一经济社会发展规划；某部门年度工作计划；某一实际问题和需求</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①符合法律法规（</w:t>
            </w:r>
            <w:r>
              <w:rPr>
                <w:rFonts w:ascii="仿宋_GB2312" w:hAnsi="宋体" w:eastAsia="仿宋_GB2312" w:cs="宋体"/>
                <w:kern w:val="0"/>
                <w:sz w:val="18"/>
                <w:szCs w:val="18"/>
              </w:rPr>
              <w:t>1</w:t>
            </w:r>
            <w:r>
              <w:rPr>
                <w:rFonts w:hint="eastAsia" w:ascii="仿宋_GB2312" w:hAnsi="宋体" w:eastAsia="仿宋_GB2312" w:cs="宋体"/>
                <w:kern w:val="0"/>
                <w:sz w:val="18"/>
                <w:szCs w:val="18"/>
              </w:rPr>
              <w:t>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②符合经济社会发展规划（</w:t>
            </w:r>
            <w:r>
              <w:rPr>
                <w:rFonts w:ascii="仿宋_GB2312" w:hAnsi="宋体" w:eastAsia="仿宋_GB2312" w:cs="宋体"/>
                <w:kern w:val="0"/>
                <w:sz w:val="18"/>
                <w:szCs w:val="18"/>
              </w:rPr>
              <w:t>1</w:t>
            </w:r>
            <w:r>
              <w:rPr>
                <w:rFonts w:hint="eastAsia" w:ascii="仿宋_GB2312" w:hAnsi="宋体" w:eastAsia="仿宋_GB2312" w:cs="宋体"/>
                <w:kern w:val="0"/>
                <w:sz w:val="18"/>
                <w:szCs w:val="18"/>
              </w:rPr>
              <w:t>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③部门年度工作计划（</w:t>
            </w:r>
            <w:r>
              <w:rPr>
                <w:rFonts w:ascii="仿宋_GB2312" w:hAnsi="宋体" w:eastAsia="仿宋_GB2312" w:cs="宋体"/>
                <w:kern w:val="0"/>
                <w:sz w:val="18"/>
                <w:szCs w:val="18"/>
              </w:rPr>
              <w:t>1</w:t>
            </w:r>
            <w:r>
              <w:rPr>
                <w:rFonts w:hint="eastAsia" w:ascii="仿宋_GB2312" w:hAnsi="宋体" w:eastAsia="仿宋_GB2312" w:cs="宋体"/>
                <w:kern w:val="0"/>
                <w:sz w:val="18"/>
                <w:szCs w:val="18"/>
              </w:rPr>
              <w:t>分）</w:t>
            </w:r>
          </w:p>
          <w:p>
            <w:pPr>
              <w:widowControl/>
              <w:spacing w:line="240" w:lineRule="exact"/>
              <w:jc w:val="left"/>
              <w:rPr>
                <w:rFonts w:hint="eastAsia" w:ascii="仿宋_GB2312" w:hAnsi="宋体" w:eastAsia="仿宋_GB2312" w:cs="宋体"/>
                <w:spacing w:val="-6"/>
                <w:kern w:val="0"/>
                <w:sz w:val="18"/>
                <w:szCs w:val="18"/>
                <w:lang w:eastAsia="zh-CN"/>
              </w:rPr>
            </w:pPr>
            <w:r>
              <w:rPr>
                <w:rFonts w:hint="eastAsia" w:ascii="仿宋_GB2312" w:hAnsi="宋体" w:eastAsia="仿宋_GB2312" w:cs="宋体"/>
                <w:spacing w:val="-6"/>
                <w:kern w:val="0"/>
                <w:sz w:val="18"/>
                <w:szCs w:val="18"/>
              </w:rPr>
              <w:t>④针对某一实际问题和需求（</w:t>
            </w:r>
            <w:r>
              <w:rPr>
                <w:rFonts w:ascii="仿宋_GB2312" w:hAnsi="宋体" w:eastAsia="仿宋_GB2312" w:cs="宋体"/>
                <w:spacing w:val="-6"/>
                <w:kern w:val="0"/>
                <w:sz w:val="18"/>
                <w:szCs w:val="18"/>
              </w:rPr>
              <w:t>1</w:t>
            </w:r>
            <w:r>
              <w:rPr>
                <w:rFonts w:hint="eastAsia" w:ascii="仿宋_GB2312" w:hAnsi="宋体" w:eastAsia="仿宋_GB2312" w:cs="宋体"/>
                <w:spacing w:val="-6"/>
                <w:kern w:val="0"/>
                <w:sz w:val="18"/>
                <w:szCs w:val="18"/>
              </w:rPr>
              <w:t>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以上③需提供佐证资料。</w:t>
            </w: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983" w:hRule="atLeast"/>
          <w:jc w:val="center"/>
        </w:trPr>
        <w:tc>
          <w:tcPr>
            <w:tcW w:w="702"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决策</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程序</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项目符合申报条件；申报、批复程序符合相关管理办法；项目调整履行了相应手续</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①符合申报条件（</w:t>
            </w:r>
            <w:r>
              <w:rPr>
                <w:rFonts w:ascii="仿宋_GB2312" w:hAnsi="宋体" w:eastAsia="仿宋_GB2312" w:cs="宋体"/>
                <w:kern w:val="0"/>
                <w:sz w:val="18"/>
                <w:szCs w:val="18"/>
              </w:rPr>
              <w:t>2</w:t>
            </w:r>
            <w:r>
              <w:rPr>
                <w:rFonts w:hint="eastAsia" w:ascii="仿宋_GB2312" w:hAnsi="宋体" w:eastAsia="仿宋_GB2312" w:cs="宋体"/>
                <w:kern w:val="0"/>
                <w:sz w:val="18"/>
                <w:szCs w:val="18"/>
              </w:rPr>
              <w:t>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②项目申报、批复程序符合管理办法（</w:t>
            </w:r>
            <w:r>
              <w:rPr>
                <w:rFonts w:ascii="仿宋_GB2312" w:hAnsi="宋体" w:eastAsia="仿宋_GB2312" w:cs="宋体"/>
                <w:kern w:val="0"/>
                <w:sz w:val="18"/>
                <w:szCs w:val="18"/>
              </w:rPr>
              <w:t>1</w:t>
            </w:r>
            <w:r>
              <w:rPr>
                <w:rFonts w:hint="eastAsia" w:ascii="仿宋_GB2312" w:hAnsi="宋体" w:eastAsia="仿宋_GB2312" w:cs="宋体"/>
                <w:kern w:val="0"/>
                <w:sz w:val="18"/>
                <w:szCs w:val="18"/>
              </w:rPr>
              <w:t>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spacing w:val="-6"/>
                <w:kern w:val="0"/>
                <w:sz w:val="18"/>
                <w:szCs w:val="18"/>
              </w:rPr>
              <w:t>③项目调整履行了相应手续（</w:t>
            </w:r>
            <w:r>
              <w:rPr>
                <w:rFonts w:ascii="仿宋_GB2312" w:hAnsi="宋体" w:eastAsia="仿宋_GB2312" w:cs="宋体"/>
                <w:spacing w:val="-6"/>
                <w:kern w:val="0"/>
                <w:sz w:val="18"/>
                <w:szCs w:val="18"/>
              </w:rPr>
              <w:t>1</w:t>
            </w:r>
            <w:r>
              <w:rPr>
                <w:rFonts w:hint="eastAsia" w:ascii="仿宋_GB2312" w:hAnsi="宋体" w:eastAsia="仿宋_GB2312" w:cs="宋体"/>
                <w:spacing w:val="-6"/>
                <w:kern w:val="0"/>
                <w:sz w:val="18"/>
                <w:szCs w:val="18"/>
              </w:rPr>
              <w:t>分）</w:t>
            </w: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967" w:hRule="atLeast"/>
          <w:jc w:val="center"/>
        </w:trPr>
        <w:tc>
          <w:tcPr>
            <w:tcW w:w="702"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资金分配</w:t>
            </w:r>
          </w:p>
        </w:tc>
        <w:tc>
          <w:tcPr>
            <w:tcW w:w="540" w:type="dxa"/>
            <w:vMerge w:val="restart"/>
            <w:tcBorders>
              <w:top w:val="nil"/>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8</w:t>
            </w: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分配</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办法</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根据需要制定的相关资金管理办法；管理办法中有明确资金分配办法；资金分配因素全面、合理</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①有相应的资金管理办法（</w:t>
            </w:r>
            <w:r>
              <w:rPr>
                <w:rFonts w:ascii="仿宋_GB2312" w:hAnsi="宋体" w:eastAsia="仿宋_GB2312" w:cs="宋体"/>
                <w:kern w:val="0"/>
                <w:sz w:val="18"/>
                <w:szCs w:val="18"/>
              </w:rPr>
              <w:t>1</w:t>
            </w:r>
            <w:r>
              <w:rPr>
                <w:rFonts w:hint="eastAsia" w:ascii="仿宋_GB2312" w:hAnsi="宋体" w:eastAsia="仿宋_GB2312" w:cs="宋体"/>
                <w:kern w:val="0"/>
                <w:sz w:val="18"/>
                <w:szCs w:val="18"/>
              </w:rPr>
              <w:t>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②办法健全、规范（</w:t>
            </w:r>
            <w:r>
              <w:rPr>
                <w:rFonts w:ascii="仿宋_GB2312" w:hAnsi="宋体" w:eastAsia="仿宋_GB2312" w:cs="宋体"/>
                <w:kern w:val="0"/>
                <w:sz w:val="18"/>
                <w:szCs w:val="18"/>
              </w:rPr>
              <w:t>1</w:t>
            </w:r>
            <w:r>
              <w:rPr>
                <w:rFonts w:hint="eastAsia" w:ascii="仿宋_GB2312" w:hAnsi="宋体" w:eastAsia="仿宋_GB2312" w:cs="宋体"/>
                <w:kern w:val="0"/>
                <w:sz w:val="18"/>
                <w:szCs w:val="18"/>
              </w:rPr>
              <w:t>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③因素全面合理（</w:t>
            </w:r>
            <w:r>
              <w:rPr>
                <w:rFonts w:ascii="仿宋_GB2312" w:hAnsi="宋体" w:eastAsia="仿宋_GB2312" w:cs="宋体"/>
                <w:kern w:val="0"/>
                <w:sz w:val="18"/>
                <w:szCs w:val="18"/>
              </w:rPr>
              <w:t>1</w:t>
            </w:r>
            <w:r>
              <w:rPr>
                <w:rFonts w:hint="eastAsia" w:ascii="仿宋_GB2312" w:hAnsi="宋体" w:eastAsia="仿宋_GB2312" w:cs="宋体"/>
                <w:kern w:val="0"/>
                <w:sz w:val="18"/>
                <w:szCs w:val="18"/>
              </w:rPr>
              <w:t>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以上①需提供佐证资料。</w:t>
            </w: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758" w:hRule="atLeast"/>
          <w:jc w:val="center"/>
        </w:trPr>
        <w:tc>
          <w:tcPr>
            <w:tcW w:w="702"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分配</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结果</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5</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资金分配符合相关管理办法；分配结果公平合理</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①符合分配办法（</w:t>
            </w:r>
            <w:r>
              <w:rPr>
                <w:rFonts w:ascii="仿宋_GB2312" w:hAnsi="宋体" w:eastAsia="仿宋_GB2312" w:cs="宋体"/>
                <w:kern w:val="0"/>
                <w:sz w:val="18"/>
                <w:szCs w:val="18"/>
              </w:rPr>
              <w:t>2</w:t>
            </w:r>
            <w:r>
              <w:rPr>
                <w:rFonts w:hint="eastAsia" w:ascii="仿宋_GB2312" w:hAnsi="宋体" w:eastAsia="仿宋_GB2312" w:cs="宋体"/>
                <w:kern w:val="0"/>
                <w:sz w:val="18"/>
                <w:szCs w:val="18"/>
              </w:rPr>
              <w:t>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②分配公平合理（</w:t>
            </w:r>
            <w:r>
              <w:rPr>
                <w:rFonts w:ascii="仿宋_GB2312" w:hAnsi="宋体" w:eastAsia="仿宋_GB2312" w:cs="宋体"/>
                <w:kern w:val="0"/>
                <w:sz w:val="18"/>
                <w:szCs w:val="18"/>
              </w:rPr>
              <w:t>3</w:t>
            </w:r>
            <w:r>
              <w:rPr>
                <w:rFonts w:hint="eastAsia" w:ascii="仿宋_GB2312" w:hAnsi="宋体" w:eastAsia="仿宋_GB2312" w:cs="宋体"/>
                <w:kern w:val="0"/>
                <w:sz w:val="18"/>
                <w:szCs w:val="18"/>
              </w:rPr>
              <w:t>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spacing w:val="-6"/>
                <w:kern w:val="0"/>
                <w:sz w:val="18"/>
                <w:szCs w:val="18"/>
              </w:rPr>
              <w:t>此项需提供相应的资金分配方案。</w:t>
            </w: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438" w:hRule="atLeast"/>
          <w:jc w:val="center"/>
        </w:trPr>
        <w:tc>
          <w:tcPr>
            <w:tcW w:w="702" w:type="dxa"/>
            <w:vMerge w:val="restart"/>
            <w:tcBorders>
              <w:top w:val="nil"/>
              <w:left w:val="single" w:color="000000" w:sz="4" w:space="0"/>
              <w:bottom w:val="single" w:color="000000" w:sz="4" w:space="0"/>
              <w:right w:val="single" w:color="000000" w:sz="4" w:space="0"/>
            </w:tcBorders>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项目管理</w:t>
            </w:r>
            <w:r>
              <w:rPr>
                <w:rFonts w:ascii="仿宋_GB2312" w:hAnsi="宋体" w:eastAsia="仿宋_GB2312" w:cs="宋体"/>
                <w:kern w:val="0"/>
                <w:sz w:val="18"/>
                <w:szCs w:val="18"/>
              </w:rPr>
              <w:t xml:space="preserve"> </w:t>
            </w:r>
          </w:p>
        </w:tc>
        <w:tc>
          <w:tcPr>
            <w:tcW w:w="540" w:type="dxa"/>
            <w:vMerge w:val="restart"/>
            <w:tcBorders>
              <w:top w:val="nil"/>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25</w:t>
            </w:r>
          </w:p>
        </w:tc>
        <w:tc>
          <w:tcPr>
            <w:tcW w:w="703" w:type="dxa"/>
            <w:vMerge w:val="restart"/>
            <w:tcBorders>
              <w:top w:val="nil"/>
              <w:left w:val="single" w:color="000000" w:sz="4" w:space="0"/>
              <w:bottom w:val="single" w:color="000000" w:sz="4" w:space="0"/>
              <w:right w:val="single" w:color="000000" w:sz="4" w:space="0"/>
            </w:tcBorders>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资金到位</w:t>
            </w:r>
          </w:p>
        </w:tc>
        <w:tc>
          <w:tcPr>
            <w:tcW w:w="540" w:type="dxa"/>
            <w:vMerge w:val="restart"/>
            <w:tcBorders>
              <w:top w:val="nil"/>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5</w:t>
            </w: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到位率</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实际到位</w:t>
            </w:r>
            <w:r>
              <w:rPr>
                <w:rFonts w:ascii="仿宋_GB2312" w:hAnsi="宋体" w:eastAsia="仿宋_GB2312" w:cs="宋体"/>
                <w:kern w:val="0"/>
                <w:sz w:val="18"/>
                <w:szCs w:val="18"/>
              </w:rPr>
              <w:t>/</w:t>
            </w:r>
            <w:r>
              <w:rPr>
                <w:rFonts w:hint="eastAsia" w:ascii="仿宋_GB2312" w:hAnsi="宋体" w:eastAsia="仿宋_GB2312" w:cs="宋体"/>
                <w:kern w:val="0"/>
                <w:sz w:val="18"/>
                <w:szCs w:val="18"/>
              </w:rPr>
              <w:t>计划到位</w:t>
            </w:r>
            <w:r>
              <w:rPr>
                <w:rFonts w:ascii="仿宋_GB2312" w:hAnsi="宋体" w:eastAsia="仿宋_GB2312" w:cs="宋体"/>
                <w:kern w:val="0"/>
                <w:sz w:val="18"/>
                <w:szCs w:val="18"/>
              </w:rPr>
              <w:t>*100%</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根据项目资金的实际到位率计算得分（</w:t>
            </w:r>
            <w:r>
              <w:rPr>
                <w:rFonts w:ascii="仿宋_GB2312" w:hAnsi="宋体" w:eastAsia="仿宋_GB2312" w:cs="宋体"/>
                <w:kern w:val="0"/>
                <w:sz w:val="18"/>
                <w:szCs w:val="18"/>
              </w:rPr>
              <w:t>3</w:t>
            </w:r>
            <w:r>
              <w:rPr>
                <w:rFonts w:hint="eastAsia" w:ascii="仿宋_GB2312" w:hAnsi="宋体" w:eastAsia="仿宋_GB2312" w:cs="宋体"/>
                <w:kern w:val="0"/>
                <w:sz w:val="18"/>
                <w:szCs w:val="18"/>
              </w:rPr>
              <w:t>分）</w:t>
            </w: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744" w:hRule="atLeast"/>
          <w:jc w:val="center"/>
        </w:trPr>
        <w:tc>
          <w:tcPr>
            <w:tcW w:w="702"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到位</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时效</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2</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资金及时到位；若未及时到位，是否影响项目进度</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①到位及时（</w:t>
            </w:r>
            <w:r>
              <w:rPr>
                <w:rFonts w:ascii="仿宋_GB2312" w:hAnsi="宋体" w:eastAsia="仿宋_GB2312" w:cs="宋体"/>
                <w:kern w:val="0"/>
                <w:sz w:val="18"/>
                <w:szCs w:val="18"/>
              </w:rPr>
              <w:t>2</w:t>
            </w:r>
            <w:r>
              <w:rPr>
                <w:rFonts w:hint="eastAsia" w:ascii="仿宋_GB2312" w:hAnsi="宋体" w:eastAsia="仿宋_GB2312" w:cs="宋体"/>
                <w:kern w:val="0"/>
                <w:sz w:val="18"/>
                <w:szCs w:val="18"/>
              </w:rPr>
              <w:t>分）</w:t>
            </w:r>
          </w:p>
          <w:p>
            <w:pPr>
              <w:widowControl/>
              <w:spacing w:line="240" w:lineRule="exact"/>
              <w:jc w:val="left"/>
              <w:rPr>
                <w:rFonts w:hint="eastAsia" w:ascii="仿宋_GB2312" w:hAnsi="宋体" w:eastAsia="仿宋_GB2312" w:cs="宋体"/>
                <w:spacing w:val="-10"/>
                <w:kern w:val="0"/>
                <w:sz w:val="18"/>
                <w:szCs w:val="18"/>
                <w:lang w:eastAsia="zh-CN"/>
              </w:rPr>
            </w:pPr>
            <w:r>
              <w:rPr>
                <w:rFonts w:hint="eastAsia" w:ascii="仿宋_GB2312" w:hAnsi="宋体" w:eastAsia="仿宋_GB2312" w:cs="宋体"/>
                <w:spacing w:val="-10"/>
                <w:kern w:val="0"/>
                <w:sz w:val="18"/>
                <w:szCs w:val="18"/>
              </w:rPr>
              <w:t>②不及时但未影响项目进度</w:t>
            </w:r>
            <w:r>
              <w:rPr>
                <w:rFonts w:ascii="仿宋_GB2312" w:hAnsi="宋体" w:eastAsia="仿宋_GB2312" w:cs="宋体"/>
                <w:spacing w:val="-10"/>
                <w:kern w:val="0"/>
                <w:sz w:val="18"/>
                <w:szCs w:val="18"/>
              </w:rPr>
              <w:t xml:space="preserve"> </w:t>
            </w:r>
            <w:r>
              <w:rPr>
                <w:rFonts w:hint="eastAsia" w:ascii="仿宋_GB2312" w:hAnsi="宋体" w:eastAsia="仿宋_GB2312" w:cs="宋体"/>
                <w:spacing w:val="-10"/>
                <w:kern w:val="0"/>
                <w:sz w:val="18"/>
                <w:szCs w:val="18"/>
              </w:rPr>
              <w:t>（</w:t>
            </w:r>
            <w:r>
              <w:rPr>
                <w:rFonts w:ascii="仿宋_GB2312" w:hAnsi="宋体" w:eastAsia="仿宋_GB2312" w:cs="宋体"/>
                <w:spacing w:val="-10"/>
                <w:kern w:val="0"/>
                <w:sz w:val="18"/>
                <w:szCs w:val="18"/>
              </w:rPr>
              <w:t>1</w:t>
            </w:r>
            <w:r>
              <w:rPr>
                <w:rFonts w:hint="eastAsia" w:ascii="仿宋_GB2312" w:hAnsi="宋体" w:eastAsia="仿宋_GB2312" w:cs="宋体"/>
                <w:spacing w:val="-10"/>
                <w:kern w:val="0"/>
                <w:sz w:val="18"/>
                <w:szCs w:val="18"/>
              </w:rPr>
              <w:t>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spacing w:val="-6"/>
                <w:kern w:val="0"/>
                <w:sz w:val="18"/>
                <w:szCs w:val="18"/>
              </w:rPr>
              <w:t>③不及时并影响项目进度（</w:t>
            </w:r>
            <w:r>
              <w:rPr>
                <w:rFonts w:ascii="仿宋_GB2312" w:hAnsi="宋体" w:eastAsia="仿宋_GB2312" w:cs="宋体"/>
                <w:spacing w:val="-6"/>
                <w:kern w:val="0"/>
                <w:sz w:val="18"/>
                <w:szCs w:val="18"/>
              </w:rPr>
              <w:t>0.5</w:t>
            </w:r>
            <w:r>
              <w:rPr>
                <w:rFonts w:hint="eastAsia" w:ascii="仿宋_GB2312" w:hAnsi="宋体" w:eastAsia="仿宋_GB2312" w:cs="宋体"/>
                <w:spacing w:val="-6"/>
                <w:kern w:val="0"/>
                <w:sz w:val="18"/>
                <w:szCs w:val="18"/>
              </w:rPr>
              <w:t>分）</w:t>
            </w: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1168" w:hRule="atLeast"/>
          <w:jc w:val="center"/>
        </w:trPr>
        <w:tc>
          <w:tcPr>
            <w:tcW w:w="702"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资金管理</w:t>
            </w:r>
          </w:p>
        </w:tc>
        <w:tc>
          <w:tcPr>
            <w:tcW w:w="540" w:type="dxa"/>
            <w:vMerge w:val="restart"/>
            <w:tcBorders>
              <w:top w:val="nil"/>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10</w:t>
            </w: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资金</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使用</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7</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支出依据合规，无虚列项目支出情况；无截留挤占挪用情况；无超标准开支情况；无超预算情况</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①虚列套取扣</w:t>
            </w:r>
            <w:r>
              <w:rPr>
                <w:rFonts w:ascii="仿宋_GB2312" w:hAnsi="宋体" w:eastAsia="仿宋_GB2312" w:cs="宋体"/>
                <w:kern w:val="0"/>
                <w:sz w:val="18"/>
                <w:szCs w:val="18"/>
              </w:rPr>
              <w:t>4-7</w:t>
            </w:r>
            <w:r>
              <w:rPr>
                <w:rFonts w:hint="eastAsia" w:ascii="仿宋_GB2312" w:hAnsi="宋体" w:eastAsia="仿宋_GB2312" w:cs="宋体"/>
                <w:kern w:val="0"/>
                <w:sz w:val="18"/>
                <w:szCs w:val="18"/>
              </w:rPr>
              <w:t>分</w:t>
            </w:r>
            <w:r>
              <w:rPr>
                <w:rFonts w:ascii="仿宋_GB2312" w:hAnsi="宋体" w:eastAsia="仿宋_GB2312" w:cs="宋体"/>
                <w:kern w:val="0"/>
                <w:sz w:val="18"/>
                <w:szCs w:val="18"/>
              </w:rPr>
              <w:t xml:space="preserve"> </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②依据不合规扣</w:t>
            </w:r>
            <w:r>
              <w:rPr>
                <w:rFonts w:ascii="仿宋_GB2312" w:hAnsi="宋体" w:eastAsia="仿宋_GB2312" w:cs="宋体"/>
                <w:kern w:val="0"/>
                <w:sz w:val="18"/>
                <w:szCs w:val="18"/>
              </w:rPr>
              <w:t>2</w:t>
            </w:r>
            <w:r>
              <w:rPr>
                <w:rFonts w:hint="eastAsia" w:ascii="仿宋_GB2312" w:hAnsi="宋体" w:eastAsia="仿宋_GB2312" w:cs="宋体"/>
                <w:kern w:val="0"/>
                <w:sz w:val="18"/>
                <w:szCs w:val="18"/>
              </w:rPr>
              <w:t>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③截留、挤占、挪用扣</w:t>
            </w:r>
            <w:r>
              <w:rPr>
                <w:rFonts w:ascii="仿宋_GB2312" w:hAnsi="宋体" w:eastAsia="仿宋_GB2312" w:cs="宋体"/>
                <w:kern w:val="0"/>
                <w:sz w:val="18"/>
                <w:szCs w:val="18"/>
              </w:rPr>
              <w:t>3-6</w:t>
            </w:r>
            <w:r>
              <w:rPr>
                <w:rFonts w:hint="eastAsia" w:ascii="仿宋_GB2312" w:hAnsi="宋体" w:eastAsia="仿宋_GB2312" w:cs="宋体"/>
                <w:kern w:val="0"/>
                <w:sz w:val="18"/>
                <w:szCs w:val="18"/>
              </w:rPr>
              <w:t>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④超标准开支扣</w:t>
            </w:r>
            <w:r>
              <w:rPr>
                <w:rFonts w:ascii="仿宋_GB2312" w:hAnsi="宋体" w:eastAsia="仿宋_GB2312" w:cs="宋体"/>
                <w:kern w:val="0"/>
                <w:sz w:val="18"/>
                <w:szCs w:val="18"/>
              </w:rPr>
              <w:t>2-5</w:t>
            </w:r>
            <w:r>
              <w:rPr>
                <w:rFonts w:hint="eastAsia" w:ascii="仿宋_GB2312" w:hAnsi="宋体" w:eastAsia="仿宋_GB2312" w:cs="宋体"/>
                <w:kern w:val="0"/>
                <w:sz w:val="18"/>
                <w:szCs w:val="18"/>
              </w:rPr>
              <w:t>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⑤超预算扣</w:t>
            </w:r>
            <w:r>
              <w:rPr>
                <w:rFonts w:ascii="仿宋_GB2312" w:hAnsi="宋体" w:eastAsia="仿宋_GB2312" w:cs="宋体"/>
                <w:kern w:val="0"/>
                <w:sz w:val="18"/>
                <w:szCs w:val="18"/>
              </w:rPr>
              <w:t>2-5</w:t>
            </w:r>
            <w:r>
              <w:rPr>
                <w:rFonts w:hint="eastAsia" w:ascii="仿宋_GB2312" w:hAnsi="宋体" w:eastAsia="仿宋_GB2312" w:cs="宋体"/>
                <w:kern w:val="0"/>
                <w:sz w:val="18"/>
                <w:szCs w:val="18"/>
              </w:rPr>
              <w:t>分</w:t>
            </w: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998" w:hRule="atLeast"/>
          <w:jc w:val="center"/>
        </w:trPr>
        <w:tc>
          <w:tcPr>
            <w:tcW w:w="702"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财务</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资金管理、费用支出等制度健全；制度执行严格；会计核算规范</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①财务制度健全（</w:t>
            </w:r>
            <w:r>
              <w:rPr>
                <w:rFonts w:ascii="仿宋_GB2312" w:hAnsi="宋体" w:eastAsia="仿宋_GB2312" w:cs="宋体"/>
                <w:kern w:val="0"/>
                <w:sz w:val="18"/>
                <w:szCs w:val="18"/>
              </w:rPr>
              <w:t>1</w:t>
            </w:r>
            <w:r>
              <w:rPr>
                <w:rFonts w:hint="eastAsia" w:ascii="仿宋_GB2312" w:hAnsi="宋体" w:eastAsia="仿宋_GB2312" w:cs="宋体"/>
                <w:kern w:val="0"/>
                <w:sz w:val="18"/>
                <w:szCs w:val="18"/>
              </w:rPr>
              <w:t>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②严格执行制度（</w:t>
            </w:r>
            <w:r>
              <w:rPr>
                <w:rFonts w:ascii="仿宋_GB2312" w:hAnsi="宋体" w:eastAsia="仿宋_GB2312" w:cs="宋体"/>
                <w:kern w:val="0"/>
                <w:sz w:val="18"/>
                <w:szCs w:val="18"/>
              </w:rPr>
              <w:t>1</w:t>
            </w:r>
            <w:r>
              <w:rPr>
                <w:rFonts w:hint="eastAsia" w:ascii="仿宋_GB2312" w:hAnsi="宋体" w:eastAsia="仿宋_GB2312" w:cs="宋体"/>
                <w:kern w:val="0"/>
                <w:sz w:val="18"/>
                <w:szCs w:val="18"/>
              </w:rPr>
              <w:t>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③会计核算规范（</w:t>
            </w:r>
            <w:r>
              <w:rPr>
                <w:rFonts w:ascii="仿宋_GB2312" w:hAnsi="宋体" w:eastAsia="仿宋_GB2312" w:cs="宋体"/>
                <w:kern w:val="0"/>
                <w:sz w:val="18"/>
                <w:szCs w:val="18"/>
              </w:rPr>
              <w:t>1</w:t>
            </w:r>
            <w:r>
              <w:rPr>
                <w:rFonts w:hint="eastAsia" w:ascii="仿宋_GB2312" w:hAnsi="宋体" w:eastAsia="仿宋_GB2312" w:cs="宋体"/>
                <w:kern w:val="0"/>
                <w:sz w:val="18"/>
                <w:szCs w:val="18"/>
              </w:rPr>
              <w:t>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以上①需提供佐证资料。</w:t>
            </w: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612" w:hRule="atLeast"/>
          <w:jc w:val="center"/>
        </w:trPr>
        <w:tc>
          <w:tcPr>
            <w:tcW w:w="702" w:type="dxa"/>
            <w:vMerge w:val="restart"/>
            <w:tcBorders>
              <w:top w:val="nil"/>
              <w:left w:val="single" w:color="000000" w:sz="4" w:space="0"/>
              <w:bottom w:val="single" w:color="000000" w:sz="4" w:space="0"/>
              <w:right w:val="single" w:color="000000" w:sz="4" w:space="0"/>
            </w:tcBorders>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项目管理</w:t>
            </w:r>
            <w:r>
              <w:rPr>
                <w:rFonts w:ascii="仿宋_GB2312" w:hAnsi="宋体" w:eastAsia="仿宋_GB2312" w:cs="宋体"/>
                <w:kern w:val="0"/>
                <w:sz w:val="18"/>
                <w:szCs w:val="18"/>
              </w:rPr>
              <w:t xml:space="preserve"> </w:t>
            </w:r>
          </w:p>
        </w:tc>
        <w:tc>
          <w:tcPr>
            <w:tcW w:w="540" w:type="dxa"/>
            <w:vMerge w:val="restart"/>
            <w:tcBorders>
              <w:top w:val="nil"/>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25</w:t>
            </w:r>
          </w:p>
        </w:tc>
        <w:tc>
          <w:tcPr>
            <w:tcW w:w="703" w:type="dxa"/>
            <w:vMerge w:val="restart"/>
            <w:tcBorders>
              <w:top w:val="nil"/>
              <w:left w:val="single" w:color="000000" w:sz="4" w:space="0"/>
              <w:bottom w:val="single" w:color="000000" w:sz="4" w:space="0"/>
              <w:right w:val="single" w:color="000000" w:sz="4" w:space="0"/>
            </w:tcBorders>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组织实施</w:t>
            </w:r>
          </w:p>
        </w:tc>
        <w:tc>
          <w:tcPr>
            <w:tcW w:w="540" w:type="dxa"/>
            <w:vMerge w:val="restart"/>
            <w:tcBorders>
              <w:top w:val="nil"/>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10</w:t>
            </w: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组织</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机构</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1</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机构健全、分工明确</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①机构健全、分工明确</w:t>
            </w:r>
            <w:r>
              <w:rPr>
                <w:rFonts w:ascii="仿宋_GB2312" w:hAnsi="宋体" w:eastAsia="仿宋_GB2312" w:cs="宋体"/>
                <w:kern w:val="0"/>
                <w:sz w:val="18"/>
                <w:szCs w:val="18"/>
              </w:rPr>
              <w:t xml:space="preserve">  </w:t>
            </w:r>
            <w:r>
              <w:rPr>
                <w:rFonts w:hint="eastAsia" w:ascii="仿宋_GB2312" w:hAnsi="宋体" w:eastAsia="仿宋_GB2312" w:cs="宋体"/>
                <w:kern w:val="0"/>
                <w:sz w:val="18"/>
                <w:szCs w:val="18"/>
              </w:rPr>
              <w:t>（</w:t>
            </w:r>
            <w:r>
              <w:rPr>
                <w:rFonts w:ascii="仿宋_GB2312" w:hAnsi="宋体" w:eastAsia="仿宋_GB2312" w:cs="宋体"/>
                <w:kern w:val="0"/>
                <w:sz w:val="18"/>
                <w:szCs w:val="18"/>
              </w:rPr>
              <w:t>1</w:t>
            </w:r>
            <w:r>
              <w:rPr>
                <w:rFonts w:hint="eastAsia" w:ascii="仿宋_GB2312" w:hAnsi="宋体" w:eastAsia="仿宋_GB2312" w:cs="宋体"/>
                <w:kern w:val="0"/>
                <w:sz w:val="18"/>
                <w:szCs w:val="18"/>
              </w:rPr>
              <w:t>分）</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730" w:hRule="atLeast"/>
          <w:jc w:val="center"/>
        </w:trPr>
        <w:tc>
          <w:tcPr>
            <w:tcW w:w="702"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支撑</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条件</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1</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项目实施单位是否提供或具备了必备的人员、场地和设备等条件</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具备人员、场地、设备条件（</w:t>
            </w:r>
            <w:r>
              <w:rPr>
                <w:rFonts w:ascii="仿宋_GB2312" w:hAnsi="宋体" w:eastAsia="仿宋_GB2312" w:cs="宋体"/>
                <w:kern w:val="0"/>
                <w:sz w:val="18"/>
                <w:szCs w:val="18"/>
              </w:rPr>
              <w:t>1</w:t>
            </w:r>
            <w:r>
              <w:rPr>
                <w:rFonts w:hint="eastAsia" w:ascii="仿宋_GB2312" w:hAnsi="宋体" w:eastAsia="仿宋_GB2312" w:cs="宋体"/>
                <w:kern w:val="0"/>
                <w:sz w:val="18"/>
                <w:szCs w:val="18"/>
              </w:rPr>
              <w:t>分）</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730" w:hRule="atLeast"/>
          <w:jc w:val="center"/>
        </w:trPr>
        <w:tc>
          <w:tcPr>
            <w:tcW w:w="702"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项目</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实施</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项目按计划开工；按计划进度开展；按计划完工</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①按计划开工（</w:t>
            </w:r>
            <w:r>
              <w:rPr>
                <w:rFonts w:ascii="仿宋_GB2312" w:hAnsi="宋体" w:eastAsia="仿宋_GB2312" w:cs="宋体"/>
                <w:kern w:val="0"/>
                <w:sz w:val="18"/>
                <w:szCs w:val="18"/>
              </w:rPr>
              <w:t>1</w:t>
            </w:r>
            <w:r>
              <w:rPr>
                <w:rFonts w:hint="eastAsia" w:ascii="仿宋_GB2312" w:hAnsi="宋体" w:eastAsia="仿宋_GB2312" w:cs="宋体"/>
                <w:kern w:val="0"/>
                <w:sz w:val="18"/>
                <w:szCs w:val="18"/>
              </w:rPr>
              <w:t>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②按计划开展（</w:t>
            </w:r>
            <w:r>
              <w:rPr>
                <w:rFonts w:ascii="仿宋_GB2312" w:hAnsi="宋体" w:eastAsia="仿宋_GB2312" w:cs="宋体"/>
                <w:kern w:val="0"/>
                <w:sz w:val="18"/>
                <w:szCs w:val="18"/>
              </w:rPr>
              <w:t>1</w:t>
            </w:r>
            <w:r>
              <w:rPr>
                <w:rFonts w:hint="eastAsia" w:ascii="仿宋_GB2312" w:hAnsi="宋体" w:eastAsia="仿宋_GB2312" w:cs="宋体"/>
                <w:kern w:val="0"/>
                <w:sz w:val="18"/>
                <w:szCs w:val="18"/>
              </w:rPr>
              <w:t>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③按计划完工（</w:t>
            </w:r>
            <w:r>
              <w:rPr>
                <w:rFonts w:ascii="仿宋_GB2312" w:hAnsi="宋体" w:eastAsia="仿宋_GB2312" w:cs="宋体"/>
                <w:kern w:val="0"/>
                <w:sz w:val="18"/>
                <w:szCs w:val="18"/>
              </w:rPr>
              <w:t>1</w:t>
            </w:r>
            <w:r>
              <w:rPr>
                <w:rFonts w:hint="eastAsia" w:ascii="仿宋_GB2312" w:hAnsi="宋体" w:eastAsia="仿宋_GB2312" w:cs="宋体"/>
                <w:kern w:val="0"/>
                <w:sz w:val="18"/>
                <w:szCs w:val="18"/>
              </w:rPr>
              <w:t>分）</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745" w:hRule="atLeast"/>
          <w:jc w:val="center"/>
        </w:trPr>
        <w:tc>
          <w:tcPr>
            <w:tcW w:w="702"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管理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制度</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5</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项目管理制度健全；严格执行相关管理制度</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①管理制度健全（</w:t>
            </w:r>
            <w:r>
              <w:rPr>
                <w:rFonts w:ascii="仿宋_GB2312" w:hAnsi="宋体" w:eastAsia="仿宋_GB2312" w:cs="宋体"/>
                <w:kern w:val="0"/>
                <w:sz w:val="18"/>
                <w:szCs w:val="18"/>
              </w:rPr>
              <w:t>2</w:t>
            </w:r>
            <w:r>
              <w:rPr>
                <w:rFonts w:hint="eastAsia" w:ascii="仿宋_GB2312" w:hAnsi="宋体" w:eastAsia="仿宋_GB2312" w:cs="宋体"/>
                <w:kern w:val="0"/>
                <w:sz w:val="18"/>
                <w:szCs w:val="18"/>
              </w:rPr>
              <w:t>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②制度执行严格（</w:t>
            </w:r>
            <w:r>
              <w:rPr>
                <w:rFonts w:ascii="仿宋_GB2312" w:hAnsi="宋体" w:eastAsia="仿宋_GB2312" w:cs="宋体"/>
                <w:kern w:val="0"/>
                <w:sz w:val="18"/>
                <w:szCs w:val="18"/>
              </w:rPr>
              <w:t>3</w:t>
            </w:r>
            <w:r>
              <w:rPr>
                <w:rFonts w:hint="eastAsia" w:ascii="仿宋_GB2312" w:hAnsi="宋体" w:eastAsia="仿宋_GB2312" w:cs="宋体"/>
                <w:kern w:val="0"/>
                <w:sz w:val="18"/>
                <w:szCs w:val="18"/>
              </w:rPr>
              <w:t>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以上①需提供佐证资料。</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656" w:hRule="atLeast"/>
          <w:jc w:val="center"/>
        </w:trPr>
        <w:tc>
          <w:tcPr>
            <w:tcW w:w="702" w:type="dxa"/>
            <w:tcBorders>
              <w:top w:val="single" w:color="auto" w:sz="4" w:space="0"/>
              <w:left w:val="single" w:color="000000" w:sz="4" w:space="0"/>
              <w:bottom w:val="single" w:color="000000" w:sz="4" w:space="0"/>
              <w:right w:val="single" w:color="000000" w:sz="4" w:space="0"/>
            </w:tcBorders>
            <w:vAlign w:val="center"/>
          </w:tcPr>
          <w:p>
            <w:pPr>
              <w:widowControl/>
              <w:spacing w:line="240" w:lineRule="exact"/>
              <w:jc w:val="center"/>
              <w:rPr>
                <w:rFonts w:hint="eastAsia" w:ascii="仿宋_GB2312" w:hAnsi="宋体" w:eastAsia="仿宋_GB2312" w:cs="宋体"/>
                <w:b/>
                <w:bCs/>
                <w:kern w:val="0"/>
                <w:sz w:val="18"/>
                <w:szCs w:val="18"/>
                <w:lang w:eastAsia="zh-CN"/>
              </w:rPr>
            </w:pPr>
            <w:r>
              <w:rPr>
                <w:rFonts w:hint="eastAsia" w:ascii="仿宋_GB2312" w:hAnsi="宋体" w:eastAsia="仿宋_GB2312" w:cs="宋体"/>
                <w:b/>
                <w:bCs/>
                <w:kern w:val="0"/>
                <w:sz w:val="18"/>
                <w:szCs w:val="18"/>
              </w:rPr>
              <w:t>一级</w:t>
            </w:r>
          </w:p>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指标</w:t>
            </w:r>
          </w:p>
        </w:tc>
        <w:tc>
          <w:tcPr>
            <w:tcW w:w="540" w:type="dxa"/>
            <w:tcBorders>
              <w:top w:val="single" w:color="auto" w:sz="4" w:space="0"/>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03" w:type="dxa"/>
            <w:tcBorders>
              <w:top w:val="single" w:color="auto" w:sz="4" w:space="0"/>
              <w:left w:val="single" w:color="000000" w:sz="4" w:space="0"/>
              <w:bottom w:val="single" w:color="000000" w:sz="4" w:space="0"/>
              <w:right w:val="single" w:color="000000" w:sz="4" w:space="0"/>
            </w:tcBorders>
            <w:vAlign w:val="center"/>
          </w:tcPr>
          <w:p>
            <w:pPr>
              <w:widowControl/>
              <w:spacing w:line="240" w:lineRule="exact"/>
              <w:jc w:val="center"/>
              <w:rPr>
                <w:rFonts w:hint="eastAsia" w:ascii="仿宋_GB2312" w:hAnsi="宋体" w:eastAsia="仿宋_GB2312" w:cs="宋体"/>
                <w:b/>
                <w:bCs/>
                <w:kern w:val="0"/>
                <w:sz w:val="18"/>
                <w:szCs w:val="18"/>
                <w:lang w:eastAsia="zh-CN"/>
              </w:rPr>
            </w:pPr>
            <w:r>
              <w:rPr>
                <w:rFonts w:hint="eastAsia" w:ascii="仿宋_GB2312" w:hAnsi="宋体" w:eastAsia="仿宋_GB2312" w:cs="宋体"/>
                <w:b/>
                <w:bCs/>
                <w:kern w:val="0"/>
                <w:sz w:val="18"/>
                <w:szCs w:val="18"/>
              </w:rPr>
              <w:t>二级</w:t>
            </w:r>
          </w:p>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指标</w:t>
            </w:r>
          </w:p>
        </w:tc>
        <w:tc>
          <w:tcPr>
            <w:tcW w:w="540" w:type="dxa"/>
            <w:tcBorders>
              <w:top w:val="single" w:color="auto" w:sz="4" w:space="0"/>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803" w:type="dxa"/>
            <w:tcBorders>
              <w:top w:val="single" w:color="auto" w:sz="4" w:space="0"/>
              <w:left w:val="nil"/>
              <w:bottom w:val="single" w:color="000000" w:sz="4" w:space="0"/>
              <w:right w:val="single" w:color="000000" w:sz="4" w:space="0"/>
            </w:tcBorders>
            <w:vAlign w:val="center"/>
          </w:tcPr>
          <w:p>
            <w:pPr>
              <w:widowControl/>
              <w:spacing w:line="240" w:lineRule="exact"/>
              <w:jc w:val="center"/>
              <w:rPr>
                <w:rFonts w:hint="eastAsia" w:ascii="仿宋_GB2312" w:hAnsi="宋体" w:eastAsia="仿宋_GB2312" w:cs="宋体"/>
                <w:b/>
                <w:bCs/>
                <w:kern w:val="0"/>
                <w:sz w:val="18"/>
                <w:szCs w:val="18"/>
                <w:lang w:eastAsia="zh-CN"/>
              </w:rPr>
            </w:pPr>
            <w:r>
              <w:rPr>
                <w:rFonts w:hint="eastAsia" w:ascii="仿宋_GB2312" w:hAnsi="宋体" w:eastAsia="仿宋_GB2312" w:cs="宋体"/>
                <w:b/>
                <w:bCs/>
                <w:kern w:val="0"/>
                <w:sz w:val="18"/>
                <w:szCs w:val="18"/>
              </w:rPr>
              <w:t>三级</w:t>
            </w:r>
          </w:p>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指标</w:t>
            </w:r>
          </w:p>
        </w:tc>
        <w:tc>
          <w:tcPr>
            <w:tcW w:w="550" w:type="dxa"/>
            <w:tcBorders>
              <w:top w:val="single" w:color="auto" w:sz="4" w:space="0"/>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2407" w:type="dxa"/>
            <w:tcBorders>
              <w:top w:val="single" w:color="auto" w:sz="4" w:space="0"/>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具体指标</w:t>
            </w:r>
          </w:p>
        </w:tc>
        <w:tc>
          <w:tcPr>
            <w:tcW w:w="2772" w:type="dxa"/>
            <w:tcBorders>
              <w:top w:val="single" w:color="auto" w:sz="4" w:space="0"/>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评价标准</w:t>
            </w:r>
          </w:p>
        </w:tc>
        <w:tc>
          <w:tcPr>
            <w:tcW w:w="803"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kern w:val="0"/>
                <w:sz w:val="24"/>
              </w:rPr>
            </w:pPr>
            <w:r>
              <w:rPr>
                <w:rFonts w:hint="eastAsia" w:ascii="仿宋_GB2312" w:hAnsi="宋体" w:eastAsia="仿宋_GB2312" w:cs="宋体"/>
                <w:b/>
                <w:bCs/>
                <w:kern w:val="0"/>
                <w:sz w:val="24"/>
              </w:rPr>
              <w:t>自评</w:t>
            </w:r>
          </w:p>
          <w:p>
            <w:pPr>
              <w:widowControl/>
              <w:spacing w:line="240" w:lineRule="exact"/>
              <w:jc w:val="center"/>
              <w:rPr>
                <w:rFonts w:ascii="仿宋_GB2312" w:hAnsi="宋体" w:eastAsia="仿宋_GB2312" w:cs="宋体"/>
                <w:b/>
                <w:bCs/>
                <w:kern w:val="0"/>
                <w:sz w:val="24"/>
              </w:rPr>
            </w:pPr>
            <w:r>
              <w:rPr>
                <w:rFonts w:hint="eastAsia" w:ascii="仿宋_GB2312" w:hAnsi="宋体" w:eastAsia="仿宋_GB2312" w:cs="宋体"/>
                <w:b/>
                <w:bCs/>
                <w:kern w:val="0"/>
                <w:sz w:val="24"/>
              </w:rPr>
              <w:t>得分</w:t>
            </w:r>
          </w:p>
        </w:tc>
      </w:tr>
      <w:tr>
        <w:tblPrEx>
          <w:tblCellMar>
            <w:top w:w="0" w:type="dxa"/>
            <w:left w:w="108" w:type="dxa"/>
            <w:bottom w:w="0" w:type="dxa"/>
            <w:right w:w="108" w:type="dxa"/>
          </w:tblCellMar>
        </w:tblPrEx>
        <w:trPr>
          <w:trHeight w:val="1134" w:hRule="atLeast"/>
          <w:jc w:val="center"/>
        </w:trPr>
        <w:tc>
          <w:tcPr>
            <w:tcW w:w="702" w:type="dxa"/>
            <w:vMerge w:val="restart"/>
            <w:tcBorders>
              <w:top w:val="single" w:color="auto" w:sz="4" w:space="0"/>
              <w:left w:val="single" w:color="000000" w:sz="4" w:space="0"/>
              <w:bottom w:val="single" w:color="000000" w:sz="4" w:space="0"/>
              <w:right w:val="single" w:color="000000" w:sz="4" w:space="0"/>
            </w:tcBorders>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项目绩效</w:t>
            </w:r>
          </w:p>
        </w:tc>
        <w:tc>
          <w:tcPr>
            <w:tcW w:w="540" w:type="dxa"/>
            <w:vMerge w:val="restart"/>
            <w:tcBorders>
              <w:top w:val="single" w:color="auto" w:sz="4" w:space="0"/>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55</w:t>
            </w:r>
          </w:p>
        </w:tc>
        <w:tc>
          <w:tcPr>
            <w:tcW w:w="703" w:type="dxa"/>
            <w:vMerge w:val="restart"/>
            <w:tcBorders>
              <w:top w:val="single" w:color="auto" w:sz="4" w:space="0"/>
              <w:left w:val="single" w:color="000000" w:sz="4" w:space="0"/>
              <w:bottom w:val="single" w:color="000000" w:sz="4" w:space="0"/>
              <w:right w:val="single" w:color="000000" w:sz="4" w:space="0"/>
            </w:tcBorders>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项目产出</w:t>
            </w:r>
          </w:p>
        </w:tc>
        <w:tc>
          <w:tcPr>
            <w:tcW w:w="540" w:type="dxa"/>
            <w:vMerge w:val="restart"/>
            <w:tcBorders>
              <w:top w:val="single" w:color="auto" w:sz="4" w:space="0"/>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15</w:t>
            </w:r>
          </w:p>
        </w:tc>
        <w:tc>
          <w:tcPr>
            <w:tcW w:w="803" w:type="dxa"/>
            <w:tcBorders>
              <w:top w:val="single" w:color="auto" w:sz="4" w:space="0"/>
              <w:left w:val="nil"/>
              <w:bottom w:val="single" w:color="000000" w:sz="4" w:space="0"/>
              <w:right w:val="single" w:color="000000" w:sz="4" w:space="0"/>
            </w:tcBorders>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产出</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数量</w:t>
            </w:r>
          </w:p>
        </w:tc>
        <w:tc>
          <w:tcPr>
            <w:tcW w:w="550" w:type="dxa"/>
            <w:tcBorders>
              <w:top w:val="single" w:color="auto" w:sz="4" w:space="0"/>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5</w:t>
            </w:r>
          </w:p>
        </w:tc>
        <w:tc>
          <w:tcPr>
            <w:tcW w:w="2407" w:type="dxa"/>
            <w:tcBorders>
              <w:top w:val="single" w:color="auto" w:sz="4" w:space="0"/>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目标完成率</w:t>
            </w:r>
            <w:r>
              <w:rPr>
                <w:rFonts w:ascii="仿宋_GB2312" w:hAnsi="宋体" w:eastAsia="仿宋_GB2312" w:cs="宋体"/>
                <w:kern w:val="0"/>
                <w:sz w:val="18"/>
                <w:szCs w:val="18"/>
              </w:rPr>
              <w:t>=</w:t>
            </w:r>
            <w:r>
              <w:rPr>
                <w:rFonts w:hint="eastAsia" w:ascii="仿宋_GB2312" w:hAnsi="宋体" w:eastAsia="仿宋_GB2312" w:cs="宋体"/>
                <w:kern w:val="0"/>
                <w:sz w:val="18"/>
                <w:szCs w:val="18"/>
              </w:rPr>
              <w:t>目标完成数</w:t>
            </w:r>
            <w:r>
              <w:rPr>
                <w:rFonts w:ascii="仿宋_GB2312" w:hAnsi="宋体" w:eastAsia="仿宋_GB2312" w:cs="宋体"/>
                <w:kern w:val="0"/>
                <w:sz w:val="18"/>
                <w:szCs w:val="18"/>
              </w:rPr>
              <w:t>/</w:t>
            </w:r>
            <w:r>
              <w:rPr>
                <w:rFonts w:hint="eastAsia" w:ascii="仿宋_GB2312" w:hAnsi="宋体" w:eastAsia="仿宋_GB2312" w:cs="宋体"/>
                <w:kern w:val="0"/>
                <w:sz w:val="18"/>
                <w:szCs w:val="18"/>
              </w:rPr>
              <w:t>预定目标数×</w:t>
            </w:r>
            <w:r>
              <w:rPr>
                <w:rFonts w:ascii="仿宋_GB2312" w:hAnsi="宋体" w:eastAsia="仿宋_GB2312" w:cs="宋体"/>
                <w:kern w:val="0"/>
                <w:sz w:val="18"/>
                <w:szCs w:val="18"/>
              </w:rPr>
              <w:t>100%</w:t>
            </w:r>
          </w:p>
        </w:tc>
        <w:tc>
          <w:tcPr>
            <w:tcW w:w="2772" w:type="dxa"/>
            <w:tcBorders>
              <w:top w:val="single" w:color="auto" w:sz="4" w:space="0"/>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w:t>
            </w:r>
            <w:r>
              <w:rPr>
                <w:rFonts w:ascii="仿宋_GB2312" w:hAnsi="宋体" w:eastAsia="仿宋_GB2312" w:cs="宋体"/>
                <w:kern w:val="0"/>
                <w:sz w:val="18"/>
                <w:szCs w:val="18"/>
              </w:rPr>
              <w:t>100%</w:t>
            </w:r>
            <w:r>
              <w:rPr>
                <w:rFonts w:hint="eastAsia" w:ascii="仿宋_GB2312" w:hAnsi="宋体" w:eastAsia="仿宋_GB2312" w:cs="宋体"/>
                <w:kern w:val="0"/>
                <w:sz w:val="18"/>
                <w:szCs w:val="18"/>
              </w:rPr>
              <w:t>得</w:t>
            </w:r>
            <w:r>
              <w:rPr>
                <w:rFonts w:ascii="仿宋_GB2312" w:hAnsi="宋体" w:eastAsia="仿宋_GB2312" w:cs="宋体"/>
                <w:kern w:val="0"/>
                <w:sz w:val="18"/>
                <w:szCs w:val="18"/>
              </w:rPr>
              <w:t>5</w:t>
            </w:r>
            <w:r>
              <w:rPr>
                <w:rFonts w:hint="eastAsia" w:ascii="仿宋_GB2312" w:hAnsi="宋体" w:eastAsia="仿宋_GB2312" w:cs="宋体"/>
                <w:kern w:val="0"/>
                <w:sz w:val="18"/>
                <w:szCs w:val="18"/>
              </w:rPr>
              <w:t>分，未完成</w:t>
            </w:r>
            <w:r>
              <w:rPr>
                <w:rFonts w:ascii="仿宋_GB2312" w:hAnsi="宋体" w:eastAsia="仿宋_GB2312" w:cs="宋体"/>
                <w:kern w:val="0"/>
                <w:sz w:val="18"/>
                <w:szCs w:val="18"/>
              </w:rPr>
              <w:t>100%</w:t>
            </w:r>
            <w:r>
              <w:rPr>
                <w:rFonts w:hint="eastAsia" w:ascii="仿宋_GB2312" w:hAnsi="宋体" w:eastAsia="仿宋_GB2312" w:cs="宋体"/>
                <w:kern w:val="0"/>
                <w:sz w:val="18"/>
                <w:szCs w:val="18"/>
              </w:rPr>
              <w:t>的同比例扣减。</w:t>
            </w:r>
          </w:p>
        </w:tc>
        <w:tc>
          <w:tcPr>
            <w:tcW w:w="803"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1134" w:hRule="atLeast"/>
          <w:jc w:val="center"/>
        </w:trPr>
        <w:tc>
          <w:tcPr>
            <w:tcW w:w="702" w:type="dxa"/>
            <w:vMerge w:val="continue"/>
            <w:tcBorders>
              <w:top w:val="single" w:color="auto"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540" w:type="dxa"/>
            <w:vMerge w:val="continue"/>
            <w:tcBorders>
              <w:top w:val="single" w:color="auto"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703" w:type="dxa"/>
            <w:vMerge w:val="continue"/>
            <w:tcBorders>
              <w:top w:val="single" w:color="auto"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540" w:type="dxa"/>
            <w:vMerge w:val="continue"/>
            <w:tcBorders>
              <w:top w:val="single" w:color="auto"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产出</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质量</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目标完成质量</w:t>
            </w:r>
            <w:r>
              <w:rPr>
                <w:rFonts w:ascii="仿宋_GB2312" w:hAnsi="宋体" w:eastAsia="仿宋_GB2312" w:cs="宋体"/>
                <w:kern w:val="0"/>
                <w:sz w:val="18"/>
                <w:szCs w:val="18"/>
              </w:rPr>
              <w:t>=</w:t>
            </w:r>
            <w:r>
              <w:rPr>
                <w:rFonts w:hint="eastAsia" w:ascii="仿宋_GB2312" w:hAnsi="宋体" w:eastAsia="仿宋_GB2312" w:cs="宋体"/>
                <w:kern w:val="0"/>
                <w:sz w:val="18"/>
                <w:szCs w:val="18"/>
              </w:rPr>
              <w:t>实际达到的效果</w:t>
            </w:r>
            <w:r>
              <w:rPr>
                <w:rFonts w:ascii="仿宋_GB2312" w:hAnsi="宋体" w:eastAsia="仿宋_GB2312" w:cs="宋体"/>
                <w:kern w:val="0"/>
                <w:sz w:val="18"/>
                <w:szCs w:val="18"/>
              </w:rPr>
              <w:t>/</w:t>
            </w:r>
            <w:r>
              <w:rPr>
                <w:rFonts w:hint="eastAsia" w:ascii="仿宋_GB2312" w:hAnsi="宋体" w:eastAsia="仿宋_GB2312" w:cs="宋体"/>
                <w:kern w:val="0"/>
                <w:sz w:val="18"/>
                <w:szCs w:val="18"/>
              </w:rPr>
              <w:t>预定目标×</w:t>
            </w:r>
            <w:r>
              <w:rPr>
                <w:rFonts w:ascii="仿宋_GB2312" w:hAnsi="宋体" w:eastAsia="仿宋_GB2312" w:cs="宋体"/>
                <w:kern w:val="0"/>
                <w:sz w:val="18"/>
                <w:szCs w:val="18"/>
              </w:rPr>
              <w:t>100%</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项目产出质量达到绩效目标</w:t>
            </w:r>
            <w:r>
              <w:rPr>
                <w:rFonts w:ascii="仿宋_GB2312" w:hAnsi="宋体" w:eastAsia="仿宋_GB2312" w:cs="宋体"/>
                <w:kern w:val="0"/>
                <w:sz w:val="18"/>
                <w:szCs w:val="18"/>
              </w:rPr>
              <w:t>100%</w:t>
            </w:r>
            <w:r>
              <w:rPr>
                <w:rFonts w:hint="eastAsia" w:ascii="仿宋_GB2312" w:hAnsi="宋体" w:eastAsia="仿宋_GB2312" w:cs="宋体"/>
                <w:kern w:val="0"/>
                <w:sz w:val="18"/>
                <w:szCs w:val="18"/>
              </w:rPr>
              <w:t>得</w:t>
            </w:r>
            <w:r>
              <w:rPr>
                <w:rFonts w:ascii="仿宋_GB2312" w:hAnsi="宋体" w:eastAsia="仿宋_GB2312" w:cs="宋体"/>
                <w:kern w:val="0"/>
                <w:sz w:val="18"/>
                <w:szCs w:val="18"/>
              </w:rPr>
              <w:t>4</w:t>
            </w:r>
            <w:r>
              <w:rPr>
                <w:rFonts w:hint="eastAsia" w:ascii="仿宋_GB2312" w:hAnsi="宋体" w:eastAsia="仿宋_GB2312" w:cs="宋体"/>
                <w:kern w:val="0"/>
                <w:sz w:val="18"/>
                <w:szCs w:val="18"/>
              </w:rPr>
              <w:t>分，未完成</w:t>
            </w:r>
            <w:r>
              <w:rPr>
                <w:rFonts w:ascii="仿宋_GB2312" w:hAnsi="宋体" w:eastAsia="仿宋_GB2312" w:cs="宋体"/>
                <w:kern w:val="0"/>
                <w:sz w:val="18"/>
                <w:szCs w:val="18"/>
              </w:rPr>
              <w:t>100%</w:t>
            </w:r>
            <w:r>
              <w:rPr>
                <w:rFonts w:hint="eastAsia" w:ascii="仿宋_GB2312" w:hAnsi="宋体" w:eastAsia="仿宋_GB2312" w:cs="宋体"/>
                <w:kern w:val="0"/>
                <w:sz w:val="18"/>
                <w:szCs w:val="18"/>
              </w:rPr>
              <w:t>的同比例扣减。</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1134" w:hRule="atLeast"/>
          <w:jc w:val="center"/>
        </w:trPr>
        <w:tc>
          <w:tcPr>
            <w:tcW w:w="702" w:type="dxa"/>
            <w:vMerge w:val="continue"/>
            <w:tcBorders>
              <w:top w:val="single" w:color="auto"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540" w:type="dxa"/>
            <w:vMerge w:val="continue"/>
            <w:tcBorders>
              <w:top w:val="single" w:color="auto"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703" w:type="dxa"/>
            <w:vMerge w:val="continue"/>
            <w:tcBorders>
              <w:top w:val="single" w:color="auto"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540" w:type="dxa"/>
            <w:vMerge w:val="continue"/>
            <w:tcBorders>
              <w:top w:val="single" w:color="auto"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产出</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时效</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项目资金使用的预定目标是否如期完成，未完成的理由是否充分</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项目产出时效达到绩效目标得</w:t>
            </w:r>
            <w:r>
              <w:rPr>
                <w:rFonts w:ascii="仿宋_GB2312" w:hAnsi="宋体" w:eastAsia="仿宋_GB2312" w:cs="宋体"/>
                <w:kern w:val="0"/>
                <w:sz w:val="18"/>
                <w:szCs w:val="18"/>
              </w:rPr>
              <w:t>3</w:t>
            </w:r>
            <w:r>
              <w:rPr>
                <w:rFonts w:hint="eastAsia" w:ascii="仿宋_GB2312" w:hAnsi="宋体" w:eastAsia="仿宋_GB2312" w:cs="宋体"/>
                <w:kern w:val="0"/>
                <w:sz w:val="18"/>
                <w:szCs w:val="18"/>
              </w:rPr>
              <w:t>分，未如期完成且无充分理由的扣</w:t>
            </w:r>
            <w:r>
              <w:rPr>
                <w:rFonts w:ascii="仿宋_GB2312" w:hAnsi="宋体" w:eastAsia="仿宋_GB2312" w:cs="宋体"/>
                <w:kern w:val="0"/>
                <w:sz w:val="18"/>
                <w:szCs w:val="18"/>
              </w:rPr>
              <w:t>3</w:t>
            </w:r>
            <w:r>
              <w:rPr>
                <w:rFonts w:hint="eastAsia" w:ascii="仿宋_GB2312" w:hAnsi="宋体" w:eastAsia="仿宋_GB2312" w:cs="宋体"/>
                <w:kern w:val="0"/>
                <w:sz w:val="18"/>
                <w:szCs w:val="18"/>
              </w:rPr>
              <w:t>分。</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1134" w:hRule="atLeast"/>
          <w:jc w:val="center"/>
        </w:trPr>
        <w:tc>
          <w:tcPr>
            <w:tcW w:w="702" w:type="dxa"/>
            <w:vMerge w:val="continue"/>
            <w:tcBorders>
              <w:top w:val="single" w:color="auto"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540" w:type="dxa"/>
            <w:vMerge w:val="continue"/>
            <w:tcBorders>
              <w:top w:val="single" w:color="auto"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703" w:type="dxa"/>
            <w:vMerge w:val="continue"/>
            <w:tcBorders>
              <w:top w:val="single" w:color="auto"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540" w:type="dxa"/>
            <w:vMerge w:val="continue"/>
            <w:tcBorders>
              <w:top w:val="single" w:color="auto"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产出</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成本</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项目产出成本是否按绩效目标控制</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项目产出成本按绩效目标控制得</w:t>
            </w:r>
            <w:r>
              <w:rPr>
                <w:rFonts w:ascii="仿宋_GB2312" w:hAnsi="宋体" w:eastAsia="仿宋_GB2312" w:cs="宋体"/>
                <w:kern w:val="0"/>
                <w:sz w:val="18"/>
                <w:szCs w:val="18"/>
              </w:rPr>
              <w:t>3</w:t>
            </w:r>
            <w:r>
              <w:rPr>
                <w:rFonts w:hint="eastAsia" w:ascii="仿宋_GB2312" w:hAnsi="宋体" w:eastAsia="仿宋_GB2312" w:cs="宋体"/>
                <w:kern w:val="0"/>
                <w:sz w:val="18"/>
                <w:szCs w:val="18"/>
              </w:rPr>
              <w:t>分，未完成的，按超支比例扣减。</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1134" w:hRule="atLeast"/>
          <w:jc w:val="center"/>
        </w:trPr>
        <w:tc>
          <w:tcPr>
            <w:tcW w:w="702" w:type="dxa"/>
            <w:vMerge w:val="continue"/>
            <w:tcBorders>
              <w:top w:val="single" w:color="auto"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540" w:type="dxa"/>
            <w:vMerge w:val="continue"/>
            <w:tcBorders>
              <w:top w:val="single" w:color="auto"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项目效果</w:t>
            </w:r>
          </w:p>
        </w:tc>
        <w:tc>
          <w:tcPr>
            <w:tcW w:w="540" w:type="dxa"/>
            <w:vMerge w:val="restart"/>
            <w:tcBorders>
              <w:top w:val="nil"/>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40</w:t>
            </w: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经济</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效益</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指项目对国民经济和区域经济发展所带来的直接或间接效益等</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完成绩效目标设定的经济效益得</w:t>
            </w:r>
            <w:r>
              <w:rPr>
                <w:rFonts w:ascii="仿宋_GB2312" w:hAnsi="宋体" w:eastAsia="仿宋_GB2312" w:cs="宋体"/>
                <w:kern w:val="0"/>
                <w:sz w:val="18"/>
                <w:szCs w:val="18"/>
              </w:rPr>
              <w:t>8</w:t>
            </w:r>
            <w:r>
              <w:rPr>
                <w:rFonts w:hint="eastAsia" w:ascii="仿宋_GB2312" w:hAnsi="宋体" w:eastAsia="仿宋_GB2312" w:cs="宋体"/>
                <w:kern w:val="0"/>
                <w:sz w:val="18"/>
                <w:szCs w:val="18"/>
              </w:rPr>
              <w:t>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1134" w:hRule="atLeast"/>
          <w:jc w:val="center"/>
        </w:trPr>
        <w:tc>
          <w:tcPr>
            <w:tcW w:w="702" w:type="dxa"/>
            <w:vMerge w:val="continue"/>
            <w:tcBorders>
              <w:top w:val="single" w:color="auto"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540" w:type="dxa"/>
            <w:vMerge w:val="continue"/>
            <w:tcBorders>
              <w:top w:val="single" w:color="auto"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社会</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效益</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项目实施是否产生社会综合效益</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完成绩效目标设定的社会效益得</w:t>
            </w:r>
            <w:r>
              <w:rPr>
                <w:rFonts w:ascii="仿宋_GB2312" w:hAnsi="宋体" w:eastAsia="仿宋_GB2312" w:cs="宋体"/>
                <w:kern w:val="0"/>
                <w:sz w:val="18"/>
                <w:szCs w:val="18"/>
              </w:rPr>
              <w:t>8</w:t>
            </w:r>
            <w:r>
              <w:rPr>
                <w:rFonts w:hint="eastAsia" w:ascii="仿宋_GB2312" w:hAnsi="宋体" w:eastAsia="仿宋_GB2312" w:cs="宋体"/>
                <w:kern w:val="0"/>
                <w:sz w:val="18"/>
                <w:szCs w:val="18"/>
              </w:rPr>
              <w:t>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1134" w:hRule="atLeast"/>
          <w:jc w:val="center"/>
        </w:trPr>
        <w:tc>
          <w:tcPr>
            <w:tcW w:w="702" w:type="dxa"/>
            <w:vMerge w:val="continue"/>
            <w:tcBorders>
              <w:top w:val="single" w:color="auto"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540" w:type="dxa"/>
            <w:vMerge w:val="continue"/>
            <w:tcBorders>
              <w:top w:val="single" w:color="auto"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环境</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效益</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项目实施是否对环境产生积极或消极影响</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完成绩效目标设定的积极的环境效益得</w:t>
            </w:r>
            <w:r>
              <w:rPr>
                <w:rFonts w:ascii="仿宋_GB2312" w:hAnsi="宋体" w:eastAsia="仿宋_GB2312" w:cs="宋体"/>
                <w:kern w:val="0"/>
                <w:sz w:val="18"/>
                <w:szCs w:val="18"/>
              </w:rPr>
              <w:t>8</w:t>
            </w:r>
            <w:r>
              <w:rPr>
                <w:rFonts w:hint="eastAsia" w:ascii="仿宋_GB2312" w:hAnsi="宋体" w:eastAsia="仿宋_GB2312" w:cs="宋体"/>
                <w:kern w:val="0"/>
                <w:sz w:val="18"/>
                <w:szCs w:val="18"/>
              </w:rPr>
              <w:t>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1134" w:hRule="atLeast"/>
          <w:jc w:val="center"/>
        </w:trPr>
        <w:tc>
          <w:tcPr>
            <w:tcW w:w="702" w:type="dxa"/>
            <w:vMerge w:val="continue"/>
            <w:tcBorders>
              <w:top w:val="single" w:color="auto"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540" w:type="dxa"/>
            <w:vMerge w:val="continue"/>
            <w:tcBorders>
              <w:top w:val="single" w:color="auto"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可持续</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影响</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项目实施对人、自然、资源是否带来可持续影响</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完成绩效设定目标的得</w:t>
            </w:r>
            <w:r>
              <w:rPr>
                <w:rFonts w:ascii="仿宋_GB2312" w:hAnsi="宋体" w:eastAsia="仿宋_GB2312" w:cs="宋体"/>
                <w:kern w:val="0"/>
                <w:sz w:val="18"/>
                <w:szCs w:val="18"/>
              </w:rPr>
              <w:t>8</w:t>
            </w:r>
            <w:r>
              <w:rPr>
                <w:rFonts w:hint="eastAsia" w:ascii="仿宋_GB2312" w:hAnsi="宋体" w:eastAsia="仿宋_GB2312" w:cs="宋体"/>
                <w:kern w:val="0"/>
                <w:sz w:val="18"/>
                <w:szCs w:val="18"/>
              </w:rPr>
              <w:t>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1134" w:hRule="atLeast"/>
          <w:jc w:val="center"/>
        </w:trPr>
        <w:tc>
          <w:tcPr>
            <w:tcW w:w="702" w:type="dxa"/>
            <w:vMerge w:val="continue"/>
            <w:tcBorders>
              <w:top w:val="single" w:color="auto"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540" w:type="dxa"/>
            <w:vMerge w:val="continue"/>
            <w:tcBorders>
              <w:top w:val="single" w:color="auto"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服务</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对象</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满意度</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服务对象满意率</w:t>
            </w:r>
            <w:r>
              <w:rPr>
                <w:rFonts w:ascii="仿宋_GB2312" w:hAnsi="宋体" w:eastAsia="仿宋_GB2312" w:cs="宋体"/>
                <w:kern w:val="0"/>
                <w:sz w:val="18"/>
                <w:szCs w:val="18"/>
              </w:rPr>
              <w:t>=</w:t>
            </w:r>
            <w:r>
              <w:rPr>
                <w:rFonts w:hint="eastAsia" w:ascii="仿宋_GB2312" w:hAnsi="宋体" w:eastAsia="仿宋_GB2312" w:cs="宋体"/>
                <w:kern w:val="0"/>
                <w:sz w:val="18"/>
                <w:szCs w:val="18"/>
              </w:rPr>
              <w:t>项目区被调查人数中表示满意的人数</w:t>
            </w:r>
            <w:r>
              <w:rPr>
                <w:rFonts w:ascii="仿宋_GB2312" w:hAnsi="宋体" w:eastAsia="仿宋_GB2312" w:cs="宋体"/>
                <w:kern w:val="0"/>
                <w:sz w:val="18"/>
                <w:szCs w:val="18"/>
              </w:rPr>
              <w:t>(</w:t>
            </w:r>
            <w:r>
              <w:rPr>
                <w:rFonts w:hint="eastAsia" w:ascii="仿宋_GB2312" w:hAnsi="宋体" w:eastAsia="仿宋_GB2312" w:cs="宋体"/>
                <w:kern w:val="0"/>
                <w:sz w:val="18"/>
                <w:szCs w:val="18"/>
              </w:rPr>
              <w:t>户数</w:t>
            </w:r>
            <w:r>
              <w:rPr>
                <w:rFonts w:ascii="仿宋_GB2312" w:hAnsi="宋体" w:eastAsia="仿宋_GB2312" w:cs="宋体"/>
                <w:kern w:val="0"/>
                <w:sz w:val="18"/>
                <w:szCs w:val="18"/>
              </w:rPr>
              <w:t xml:space="preserve">)/ </w:t>
            </w:r>
            <w:r>
              <w:rPr>
                <w:rFonts w:hint="eastAsia" w:ascii="仿宋_GB2312" w:hAnsi="宋体" w:eastAsia="仿宋_GB2312" w:cs="宋体"/>
                <w:kern w:val="0"/>
                <w:sz w:val="18"/>
                <w:szCs w:val="18"/>
              </w:rPr>
              <w:t>被调查人数</w:t>
            </w:r>
            <w:r>
              <w:rPr>
                <w:rFonts w:ascii="仿宋_GB2312" w:hAnsi="宋体" w:eastAsia="仿宋_GB2312" w:cs="宋体"/>
                <w:kern w:val="0"/>
                <w:sz w:val="18"/>
                <w:szCs w:val="18"/>
              </w:rPr>
              <w:t>(</w:t>
            </w:r>
            <w:r>
              <w:rPr>
                <w:rFonts w:hint="eastAsia" w:ascii="仿宋_GB2312" w:hAnsi="宋体" w:eastAsia="仿宋_GB2312" w:cs="宋体"/>
                <w:kern w:val="0"/>
                <w:sz w:val="18"/>
                <w:szCs w:val="18"/>
              </w:rPr>
              <w:t>户数</w:t>
            </w:r>
            <w:r>
              <w:rPr>
                <w:rFonts w:ascii="仿宋_GB2312" w:hAnsi="宋体" w:eastAsia="仿宋_GB2312" w:cs="宋体"/>
                <w:kern w:val="0"/>
                <w:sz w:val="18"/>
                <w:szCs w:val="18"/>
              </w:rPr>
              <w:t>)</w:t>
            </w:r>
            <w:r>
              <w:rPr>
                <w:rFonts w:hint="eastAsia" w:ascii="仿宋_GB2312" w:hAnsi="宋体" w:eastAsia="仿宋_GB2312" w:cs="宋体"/>
                <w:kern w:val="0"/>
                <w:sz w:val="18"/>
                <w:szCs w:val="18"/>
              </w:rPr>
              <w:t>×</w:t>
            </w:r>
            <w:r>
              <w:rPr>
                <w:rFonts w:ascii="仿宋_GB2312" w:hAnsi="宋体" w:eastAsia="仿宋_GB2312" w:cs="宋体"/>
                <w:kern w:val="0"/>
                <w:sz w:val="18"/>
                <w:szCs w:val="18"/>
              </w:rPr>
              <w:t>100%</w:t>
            </w:r>
          </w:p>
        </w:tc>
        <w:tc>
          <w:tcPr>
            <w:tcW w:w="2772" w:type="dxa"/>
            <w:tcBorders>
              <w:top w:val="nil"/>
              <w:left w:val="nil"/>
              <w:bottom w:val="single" w:color="000000" w:sz="4" w:space="0"/>
              <w:right w:val="nil"/>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满意率达</w:t>
            </w:r>
            <w:r>
              <w:rPr>
                <w:rFonts w:ascii="仿宋_GB2312" w:hAnsi="宋体" w:eastAsia="仿宋_GB2312" w:cs="宋体"/>
                <w:kern w:val="0"/>
                <w:sz w:val="18"/>
                <w:szCs w:val="18"/>
              </w:rPr>
              <w:t>90%</w:t>
            </w:r>
            <w:r>
              <w:rPr>
                <w:rFonts w:hint="eastAsia" w:ascii="仿宋_GB2312" w:hAnsi="宋体" w:eastAsia="仿宋_GB2312" w:cs="宋体"/>
                <w:kern w:val="0"/>
                <w:sz w:val="18"/>
                <w:szCs w:val="18"/>
              </w:rPr>
              <w:t>（含）以上的得</w:t>
            </w:r>
            <w:r>
              <w:rPr>
                <w:rFonts w:ascii="仿宋_GB2312" w:hAnsi="宋体" w:eastAsia="仿宋_GB2312" w:cs="宋体"/>
                <w:kern w:val="0"/>
                <w:sz w:val="18"/>
                <w:szCs w:val="18"/>
              </w:rPr>
              <w:t>8</w:t>
            </w:r>
            <w:r>
              <w:rPr>
                <w:rFonts w:hint="eastAsia" w:ascii="仿宋_GB2312" w:hAnsi="宋体" w:eastAsia="仿宋_GB2312" w:cs="宋体"/>
                <w:kern w:val="0"/>
                <w:sz w:val="18"/>
                <w:szCs w:val="18"/>
              </w:rPr>
              <w:t>分，</w:t>
            </w:r>
            <w:r>
              <w:rPr>
                <w:rFonts w:ascii="仿宋_GB2312" w:hAnsi="宋体" w:eastAsia="仿宋_GB2312" w:cs="宋体"/>
                <w:kern w:val="0"/>
                <w:sz w:val="18"/>
                <w:szCs w:val="18"/>
              </w:rPr>
              <w:t>80%</w:t>
            </w:r>
            <w:r>
              <w:rPr>
                <w:rFonts w:hint="eastAsia" w:ascii="仿宋_GB2312" w:hAnsi="宋体" w:eastAsia="仿宋_GB2312" w:cs="宋体"/>
                <w:kern w:val="0"/>
                <w:sz w:val="18"/>
                <w:szCs w:val="18"/>
              </w:rPr>
              <w:t>（含）</w:t>
            </w:r>
            <w:r>
              <w:rPr>
                <w:rFonts w:ascii="仿宋_GB2312" w:hAnsi="宋体" w:eastAsia="仿宋_GB2312" w:cs="宋体"/>
                <w:kern w:val="0"/>
                <w:sz w:val="18"/>
                <w:szCs w:val="18"/>
              </w:rPr>
              <w:t>-90%</w:t>
            </w:r>
            <w:r>
              <w:rPr>
                <w:rFonts w:hint="eastAsia" w:ascii="仿宋_GB2312" w:hAnsi="宋体" w:eastAsia="仿宋_GB2312" w:cs="宋体"/>
                <w:kern w:val="0"/>
                <w:sz w:val="18"/>
                <w:szCs w:val="18"/>
              </w:rPr>
              <w:t>得</w:t>
            </w:r>
            <w:r>
              <w:rPr>
                <w:rFonts w:ascii="仿宋_GB2312" w:hAnsi="宋体" w:eastAsia="仿宋_GB2312" w:cs="宋体"/>
                <w:kern w:val="0"/>
                <w:sz w:val="18"/>
                <w:szCs w:val="18"/>
              </w:rPr>
              <w:t>6</w:t>
            </w:r>
            <w:r>
              <w:rPr>
                <w:rFonts w:hint="eastAsia" w:ascii="仿宋_GB2312" w:hAnsi="宋体" w:eastAsia="仿宋_GB2312" w:cs="宋体"/>
                <w:kern w:val="0"/>
                <w:sz w:val="18"/>
                <w:szCs w:val="18"/>
              </w:rPr>
              <w:t>分，</w:t>
            </w:r>
            <w:r>
              <w:rPr>
                <w:rFonts w:ascii="仿宋_GB2312" w:hAnsi="宋体" w:eastAsia="仿宋_GB2312" w:cs="宋体"/>
                <w:kern w:val="0"/>
                <w:sz w:val="18"/>
                <w:szCs w:val="18"/>
              </w:rPr>
              <w:t>70%</w:t>
            </w:r>
            <w:r>
              <w:rPr>
                <w:rFonts w:hint="eastAsia" w:ascii="仿宋_GB2312" w:hAnsi="宋体" w:eastAsia="仿宋_GB2312" w:cs="宋体"/>
                <w:kern w:val="0"/>
                <w:sz w:val="18"/>
                <w:szCs w:val="18"/>
              </w:rPr>
              <w:t>（含）</w:t>
            </w:r>
            <w:r>
              <w:rPr>
                <w:rFonts w:ascii="仿宋_GB2312" w:hAnsi="宋体" w:eastAsia="仿宋_GB2312" w:cs="宋体"/>
                <w:kern w:val="0"/>
                <w:sz w:val="18"/>
                <w:szCs w:val="18"/>
              </w:rPr>
              <w:t>-80%</w:t>
            </w:r>
            <w:r>
              <w:rPr>
                <w:rFonts w:hint="eastAsia" w:ascii="仿宋_GB2312" w:hAnsi="宋体" w:eastAsia="仿宋_GB2312" w:cs="宋体"/>
                <w:kern w:val="0"/>
                <w:sz w:val="18"/>
                <w:szCs w:val="18"/>
              </w:rPr>
              <w:t>得</w:t>
            </w:r>
            <w:r>
              <w:rPr>
                <w:rFonts w:ascii="仿宋_GB2312" w:hAnsi="宋体" w:eastAsia="仿宋_GB2312" w:cs="宋体"/>
                <w:kern w:val="0"/>
                <w:sz w:val="18"/>
                <w:szCs w:val="18"/>
              </w:rPr>
              <w:t>4</w:t>
            </w:r>
            <w:r>
              <w:rPr>
                <w:rFonts w:hint="eastAsia" w:ascii="仿宋_GB2312" w:hAnsi="宋体" w:eastAsia="仿宋_GB2312" w:cs="宋体"/>
                <w:kern w:val="0"/>
                <w:sz w:val="18"/>
                <w:szCs w:val="18"/>
              </w:rPr>
              <w:t>分，</w:t>
            </w:r>
            <w:r>
              <w:rPr>
                <w:rFonts w:ascii="仿宋_GB2312" w:hAnsi="宋体" w:eastAsia="仿宋_GB2312" w:cs="宋体"/>
                <w:kern w:val="0"/>
                <w:sz w:val="18"/>
                <w:szCs w:val="18"/>
              </w:rPr>
              <w:t>60%</w:t>
            </w:r>
            <w:r>
              <w:rPr>
                <w:rFonts w:hint="eastAsia" w:ascii="仿宋_GB2312" w:hAnsi="宋体" w:eastAsia="仿宋_GB2312" w:cs="宋体"/>
                <w:kern w:val="0"/>
                <w:sz w:val="18"/>
                <w:szCs w:val="18"/>
              </w:rPr>
              <w:t>（含）</w:t>
            </w:r>
            <w:r>
              <w:rPr>
                <w:rFonts w:ascii="仿宋_GB2312" w:hAnsi="宋体" w:eastAsia="仿宋_GB2312" w:cs="宋体"/>
                <w:kern w:val="0"/>
                <w:sz w:val="18"/>
                <w:szCs w:val="18"/>
              </w:rPr>
              <w:t>-70%</w:t>
            </w:r>
            <w:r>
              <w:rPr>
                <w:rFonts w:hint="eastAsia" w:ascii="仿宋_GB2312" w:hAnsi="宋体" w:eastAsia="仿宋_GB2312" w:cs="宋体"/>
                <w:kern w:val="0"/>
                <w:sz w:val="18"/>
                <w:szCs w:val="18"/>
              </w:rPr>
              <w:t>得</w:t>
            </w:r>
            <w:r>
              <w:rPr>
                <w:rFonts w:ascii="仿宋_GB2312" w:hAnsi="宋体" w:eastAsia="仿宋_GB2312" w:cs="宋体"/>
                <w:kern w:val="0"/>
                <w:sz w:val="18"/>
                <w:szCs w:val="18"/>
              </w:rPr>
              <w:t>2</w:t>
            </w:r>
            <w:r>
              <w:rPr>
                <w:rFonts w:hint="eastAsia" w:ascii="仿宋_GB2312" w:hAnsi="宋体" w:eastAsia="仿宋_GB2312" w:cs="宋体"/>
                <w:kern w:val="0"/>
                <w:sz w:val="18"/>
                <w:szCs w:val="18"/>
              </w:rPr>
              <w:t>分，</w:t>
            </w:r>
            <w:r>
              <w:rPr>
                <w:rFonts w:ascii="仿宋_GB2312" w:hAnsi="宋体" w:eastAsia="仿宋_GB2312" w:cs="宋体"/>
                <w:kern w:val="0"/>
                <w:sz w:val="18"/>
                <w:szCs w:val="18"/>
              </w:rPr>
              <w:t>60%</w:t>
            </w:r>
            <w:r>
              <w:rPr>
                <w:rFonts w:hint="eastAsia" w:ascii="仿宋_GB2312" w:hAnsi="宋体" w:eastAsia="仿宋_GB2312" w:cs="宋体"/>
                <w:kern w:val="0"/>
                <w:sz w:val="18"/>
                <w:szCs w:val="18"/>
              </w:rPr>
              <w:t>以下不得分。</w:t>
            </w: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cs="宋体"/>
                <w:kern w:val="0"/>
                <w:sz w:val="24"/>
              </w:rPr>
            </w:pPr>
          </w:p>
        </w:tc>
      </w:tr>
      <w:tr>
        <w:tblPrEx>
          <w:tblCellMar>
            <w:top w:w="0" w:type="dxa"/>
            <w:left w:w="108" w:type="dxa"/>
            <w:bottom w:w="0" w:type="dxa"/>
            <w:right w:w="108" w:type="dxa"/>
          </w:tblCellMar>
        </w:tblPrEx>
        <w:trPr>
          <w:trHeight w:val="860" w:hRule="atLeast"/>
          <w:jc w:val="center"/>
        </w:trPr>
        <w:tc>
          <w:tcPr>
            <w:tcW w:w="702" w:type="dxa"/>
            <w:tcBorders>
              <w:top w:val="nil"/>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总分</w:t>
            </w:r>
          </w:p>
        </w:tc>
        <w:tc>
          <w:tcPr>
            <w:tcW w:w="54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r>
              <w:rPr>
                <w:rFonts w:ascii="仿宋_GB2312" w:hAnsi="宋体" w:eastAsia="仿宋_GB2312" w:cs="宋体"/>
                <w:b/>
                <w:bCs/>
                <w:kern w:val="0"/>
                <w:sz w:val="18"/>
                <w:szCs w:val="18"/>
              </w:rPr>
              <w:t>100</w:t>
            </w:r>
          </w:p>
        </w:tc>
        <w:tc>
          <w:tcPr>
            <w:tcW w:w="7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p>
        </w:tc>
        <w:tc>
          <w:tcPr>
            <w:tcW w:w="54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r>
              <w:rPr>
                <w:rFonts w:ascii="仿宋_GB2312" w:hAnsi="宋体" w:eastAsia="仿宋_GB2312" w:cs="宋体"/>
                <w:b/>
                <w:bCs/>
                <w:kern w:val="0"/>
                <w:sz w:val="18"/>
                <w:szCs w:val="18"/>
              </w:rPr>
              <w:t>100</w:t>
            </w: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r>
              <w:rPr>
                <w:rFonts w:ascii="仿宋_GB2312" w:hAnsi="宋体" w:eastAsia="仿宋_GB2312" w:cs="宋体"/>
                <w:b/>
                <w:bCs/>
                <w:kern w:val="0"/>
                <w:sz w:val="18"/>
                <w:szCs w:val="18"/>
              </w:rPr>
              <w:t>100</w:t>
            </w:r>
          </w:p>
        </w:tc>
        <w:tc>
          <w:tcPr>
            <w:tcW w:w="2407"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p>
        </w:tc>
        <w:tc>
          <w:tcPr>
            <w:tcW w:w="2772" w:type="dxa"/>
            <w:tcBorders>
              <w:top w:val="nil"/>
              <w:left w:val="nil"/>
              <w:bottom w:val="single" w:color="000000" w:sz="4" w:space="0"/>
              <w:right w:val="nil"/>
            </w:tcBorders>
            <w:vAlign w:val="center"/>
          </w:tcPr>
          <w:p>
            <w:pPr>
              <w:widowControl/>
              <w:spacing w:line="240" w:lineRule="exact"/>
              <w:jc w:val="center"/>
              <w:rPr>
                <w:rFonts w:ascii="仿宋_GB2312" w:hAnsi="宋体" w:eastAsia="仿宋_GB2312" w:cs="宋体"/>
                <w:b/>
                <w:bCs/>
                <w:kern w:val="0"/>
                <w:sz w:val="18"/>
                <w:szCs w:val="18"/>
              </w:rPr>
            </w:pP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cs="宋体"/>
                <w:b/>
                <w:bCs/>
                <w:kern w:val="0"/>
                <w:sz w:val="24"/>
              </w:rPr>
            </w:pPr>
          </w:p>
        </w:tc>
      </w:tr>
    </w:tbl>
    <w:p>
      <w:pPr>
        <w:adjustRightInd w:val="0"/>
        <w:snapToGrid w:val="0"/>
        <w:spacing w:beforeLines="50" w:line="200" w:lineRule="exact"/>
        <w:contextualSpacing/>
        <w:rPr>
          <w:rFonts w:ascii="仿宋_GB2312" w:eastAsia="仿宋_GB2312"/>
        </w:rPr>
      </w:pPr>
    </w:p>
    <w:p>
      <w:pPr>
        <w:adjustRightInd w:val="0"/>
        <w:snapToGrid w:val="0"/>
        <w:spacing w:beforeLines="50"/>
        <w:contextualSpacing/>
        <w:rPr>
          <w:rFonts w:ascii="仿宋_GB2312" w:eastAsia="仿宋_GB2312"/>
        </w:rPr>
      </w:pPr>
      <w:r>
        <w:rPr>
          <w:rFonts w:hint="eastAsia" w:ascii="仿宋_GB2312" w:eastAsia="仿宋_GB2312"/>
        </w:rPr>
        <w:t>备注：部门（单位）根据项目实际，在《项目支出绩效评价指标体系（参考样表）》上进一步完</w:t>
      </w:r>
    </w:p>
    <w:p>
      <w:pPr>
        <w:adjustRightInd w:val="0"/>
        <w:snapToGrid w:val="0"/>
        <w:spacing w:beforeLines="50"/>
        <w:ind w:firstLine="630" w:firstLineChars="300"/>
        <w:contextualSpacing/>
        <w:rPr>
          <w:rFonts w:eastAsia="仿宋_GB2312"/>
          <w:sz w:val="32"/>
        </w:rPr>
      </w:pPr>
      <w:r>
        <w:rPr>
          <w:rFonts w:hint="eastAsia" w:ascii="仿宋_GB2312" w:eastAsia="仿宋_GB2312"/>
        </w:rPr>
        <w:t>善、量化、细化个性指标，形成本项目的指标体系。</w:t>
      </w:r>
    </w:p>
    <w:p>
      <w:pPr>
        <w:adjustRightInd w:val="0"/>
        <w:snapToGrid w:val="0"/>
        <w:spacing w:line="200" w:lineRule="exact"/>
        <w:jc w:val="right"/>
        <w:rPr>
          <w:rFonts w:eastAsia="仿宋_GB2312"/>
          <w:sz w:val="32"/>
        </w:rPr>
      </w:pPr>
    </w:p>
    <w:p>
      <w:pPr>
        <w:adjustRightInd w:val="0"/>
        <w:snapToGrid w:val="0"/>
        <w:spacing w:line="200" w:lineRule="exact"/>
        <w:jc w:val="right"/>
        <w:rPr>
          <w:rFonts w:eastAsia="仿宋_GB2312"/>
          <w:sz w:val="32"/>
        </w:rPr>
      </w:pPr>
    </w:p>
    <w:p>
      <w:pPr>
        <w:adjustRightInd w:val="0"/>
        <w:snapToGrid w:val="0"/>
        <w:spacing w:line="200" w:lineRule="exact"/>
        <w:jc w:val="right"/>
        <w:rPr>
          <w:rFonts w:eastAsia="仿宋_GB2312"/>
          <w:sz w:val="32"/>
        </w:rPr>
      </w:pPr>
    </w:p>
    <w:p>
      <w:pPr>
        <w:adjustRightInd w:val="0"/>
        <w:snapToGrid w:val="0"/>
        <w:spacing w:line="200" w:lineRule="exact"/>
        <w:jc w:val="right"/>
        <w:rPr>
          <w:rFonts w:eastAsia="仿宋_GB2312"/>
          <w:sz w:val="32"/>
        </w:rPr>
      </w:pPr>
    </w:p>
    <w:p>
      <w:pPr>
        <w:adjustRightInd w:val="0"/>
        <w:snapToGrid w:val="0"/>
        <w:spacing w:line="200" w:lineRule="exact"/>
        <w:jc w:val="right"/>
        <w:rPr>
          <w:rFonts w:eastAsia="仿宋_GB2312"/>
          <w:sz w:val="32"/>
        </w:rPr>
      </w:pPr>
    </w:p>
    <w:p>
      <w:pPr>
        <w:adjustRightInd w:val="0"/>
        <w:snapToGrid w:val="0"/>
        <w:spacing w:line="200" w:lineRule="exact"/>
        <w:jc w:val="right"/>
        <w:rPr>
          <w:rFonts w:eastAsia="仿宋_GB2312"/>
          <w:sz w:val="32"/>
        </w:rPr>
      </w:pPr>
    </w:p>
    <w:p>
      <w:pPr>
        <w:adjustRightInd w:val="0"/>
        <w:snapToGrid w:val="0"/>
        <w:spacing w:line="200" w:lineRule="exact"/>
        <w:jc w:val="left"/>
        <w:rPr>
          <w:rFonts w:eastAsia="仿宋_GB2312"/>
          <w:sz w:val="32"/>
        </w:rPr>
      </w:pPr>
    </w:p>
    <w:p>
      <w:pPr>
        <w:adjustRightInd w:val="0"/>
        <w:snapToGrid w:val="0"/>
        <w:spacing w:line="200" w:lineRule="exact"/>
        <w:jc w:val="left"/>
        <w:rPr>
          <w:rFonts w:eastAsia="仿宋_GB2312"/>
          <w:sz w:val="32"/>
        </w:rPr>
      </w:pPr>
    </w:p>
    <w:p>
      <w:pPr>
        <w:adjustRightInd w:val="0"/>
        <w:snapToGrid w:val="0"/>
        <w:spacing w:line="200" w:lineRule="exact"/>
        <w:jc w:val="left"/>
        <w:rPr>
          <w:rFonts w:eastAsia="仿宋_GB2312"/>
          <w:sz w:val="32"/>
        </w:rPr>
      </w:pPr>
    </w:p>
    <w:p>
      <w:pPr>
        <w:adjustRightInd w:val="0"/>
        <w:snapToGrid w:val="0"/>
        <w:spacing w:line="200" w:lineRule="exact"/>
        <w:jc w:val="left"/>
        <w:rPr>
          <w:rFonts w:eastAsia="仿宋_GB2312"/>
          <w:sz w:val="32"/>
        </w:rPr>
      </w:pPr>
    </w:p>
    <w:p>
      <w:pPr>
        <w:adjustRightInd w:val="0"/>
        <w:snapToGrid w:val="0"/>
        <w:spacing w:line="200" w:lineRule="exact"/>
        <w:jc w:val="left"/>
        <w:rPr>
          <w:rFonts w:eastAsia="仿宋_GB2312"/>
          <w:sz w:val="32"/>
        </w:rPr>
      </w:pPr>
    </w:p>
    <w:p>
      <w:pPr>
        <w:adjustRightInd w:val="0"/>
        <w:snapToGrid w:val="0"/>
        <w:spacing w:line="200" w:lineRule="exact"/>
        <w:jc w:val="left"/>
        <w:rPr>
          <w:rFonts w:eastAsia="仿宋_GB2312"/>
          <w:sz w:val="32"/>
        </w:rPr>
      </w:pPr>
      <w:r>
        <w:rPr>
          <w:rFonts w:hint="eastAsia" w:eastAsia="仿宋_GB2312"/>
          <w:sz w:val="32"/>
        </w:rPr>
        <w:t>附件</w:t>
      </w:r>
      <w:r>
        <w:rPr>
          <w:rFonts w:eastAsia="仿宋_GB2312"/>
          <w:sz w:val="32"/>
        </w:rPr>
        <w:t>4</w:t>
      </w:r>
    </w:p>
    <w:tbl>
      <w:tblPr>
        <w:tblStyle w:val="6"/>
        <w:tblW w:w="4916" w:type="pct"/>
        <w:tblInd w:w="90" w:type="dxa"/>
        <w:tblLayout w:type="autofit"/>
        <w:tblCellMar>
          <w:top w:w="0" w:type="dxa"/>
          <w:left w:w="108" w:type="dxa"/>
          <w:bottom w:w="0" w:type="dxa"/>
          <w:right w:w="108" w:type="dxa"/>
        </w:tblCellMar>
      </w:tblPr>
      <w:tblGrid>
        <w:gridCol w:w="4338"/>
        <w:gridCol w:w="1692"/>
        <w:gridCol w:w="649"/>
        <w:gridCol w:w="1081"/>
        <w:gridCol w:w="1514"/>
      </w:tblGrid>
      <w:tr>
        <w:tblPrEx>
          <w:tblCellMar>
            <w:top w:w="0" w:type="dxa"/>
            <w:left w:w="108" w:type="dxa"/>
            <w:bottom w:w="0" w:type="dxa"/>
            <w:right w:w="108" w:type="dxa"/>
          </w:tblCellMar>
        </w:tblPrEx>
        <w:trPr>
          <w:trHeight w:val="933" w:hRule="atLeast"/>
        </w:trPr>
        <w:tc>
          <w:tcPr>
            <w:tcW w:w="1403" w:type="pct"/>
            <w:gridSpan w:val="2"/>
            <w:tcBorders>
              <w:top w:val="nil"/>
              <w:left w:val="nil"/>
              <w:bottom w:val="nil"/>
              <w:right w:val="nil"/>
            </w:tcBorders>
            <w:noWrap/>
            <w:vAlign w:val="center"/>
          </w:tcPr>
          <w:p>
            <w:pPr>
              <w:rPr>
                <w:rFonts w:ascii="宋体" w:cs="宋体"/>
                <w:b/>
                <w:bCs/>
                <w:color w:val="000000"/>
                <w:sz w:val="36"/>
                <w:szCs w:val="36"/>
              </w:rPr>
            </w:pPr>
            <w:r>
              <w:rPr>
                <w:rFonts w:ascii="宋体" w:hAnsi="宋体" w:cs="宋体"/>
                <w:b/>
                <w:bCs/>
                <w:color w:val="000000"/>
                <w:sz w:val="36"/>
                <w:szCs w:val="36"/>
              </w:rPr>
              <w:t>2020</w:t>
            </w:r>
            <w:r>
              <w:rPr>
                <w:rFonts w:hint="eastAsia" w:ascii="宋体" w:hAnsi="宋体" w:cs="宋体"/>
                <w:b/>
                <w:bCs/>
                <w:color w:val="000000"/>
                <w:sz w:val="36"/>
                <w:szCs w:val="36"/>
              </w:rPr>
              <w:t>年财政支出部门单位项目绩效表</w:t>
            </w:r>
          </w:p>
        </w:tc>
        <w:tc>
          <w:tcPr>
            <w:tcW w:w="584" w:type="pct"/>
            <w:tcBorders>
              <w:top w:val="nil"/>
              <w:left w:val="nil"/>
              <w:bottom w:val="nil"/>
              <w:right w:val="nil"/>
            </w:tcBorders>
            <w:noWrap/>
            <w:vAlign w:val="center"/>
          </w:tcPr>
          <w:p>
            <w:pPr>
              <w:jc w:val="center"/>
              <w:rPr>
                <w:rFonts w:ascii="宋体" w:cs="宋体"/>
                <w:b/>
                <w:bCs/>
                <w:color w:val="000000"/>
                <w:sz w:val="36"/>
                <w:szCs w:val="36"/>
              </w:rPr>
            </w:pPr>
          </w:p>
        </w:tc>
        <w:tc>
          <w:tcPr>
            <w:tcW w:w="2182" w:type="pct"/>
            <w:tcBorders>
              <w:top w:val="nil"/>
              <w:left w:val="nil"/>
              <w:bottom w:val="nil"/>
              <w:right w:val="nil"/>
            </w:tcBorders>
            <w:noWrap/>
            <w:vAlign w:val="center"/>
          </w:tcPr>
          <w:p>
            <w:pPr>
              <w:jc w:val="center"/>
              <w:rPr>
                <w:rFonts w:ascii="宋体" w:cs="宋体"/>
                <w:b/>
                <w:bCs/>
                <w:color w:val="000000"/>
                <w:sz w:val="36"/>
                <w:szCs w:val="36"/>
              </w:rPr>
            </w:pPr>
          </w:p>
        </w:tc>
        <w:tc>
          <w:tcPr>
            <w:tcW w:w="831" w:type="pct"/>
            <w:tcBorders>
              <w:top w:val="nil"/>
              <w:left w:val="nil"/>
              <w:bottom w:val="nil"/>
              <w:right w:val="nil"/>
            </w:tcBorders>
            <w:noWrap/>
            <w:vAlign w:val="center"/>
          </w:tcPr>
          <w:p>
            <w:pPr>
              <w:jc w:val="center"/>
              <w:rPr>
                <w:rFonts w:ascii="宋体" w:cs="宋体"/>
                <w:b/>
                <w:bCs/>
                <w:color w:val="000000"/>
                <w:sz w:val="20"/>
                <w:szCs w:val="20"/>
              </w:rPr>
            </w:pPr>
            <w:r>
              <w:rPr>
                <w:rFonts w:hint="eastAsia"/>
                <w:b/>
                <w:bCs/>
                <w:color w:val="000000"/>
                <w:sz w:val="20"/>
                <w:szCs w:val="20"/>
              </w:rPr>
              <w:t>单位：万元</w:t>
            </w:r>
          </w:p>
        </w:tc>
      </w:tr>
      <w:tr>
        <w:tblPrEx>
          <w:tblCellMar>
            <w:top w:w="0" w:type="dxa"/>
            <w:left w:w="108" w:type="dxa"/>
            <w:bottom w:w="0" w:type="dxa"/>
            <w:right w:w="108" w:type="dxa"/>
          </w:tblCellMar>
        </w:tblPrEx>
        <w:trPr>
          <w:trHeight w:val="360" w:hRule="atLeast"/>
        </w:trPr>
        <w:tc>
          <w:tcPr>
            <w:tcW w:w="1403" w:type="pct"/>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宋体" w:cs="宋体"/>
                <w:color w:val="000000"/>
                <w:sz w:val="22"/>
                <w:szCs w:val="22"/>
              </w:rPr>
            </w:pPr>
            <w:r>
              <w:rPr>
                <w:rFonts w:hint="eastAsia"/>
                <w:color w:val="000000"/>
                <w:sz w:val="22"/>
                <w:szCs w:val="22"/>
              </w:rPr>
              <w:t>主管部门及实施单位</w:t>
            </w:r>
          </w:p>
        </w:tc>
        <w:tc>
          <w:tcPr>
            <w:tcW w:w="584" w:type="pct"/>
            <w:tcBorders>
              <w:top w:val="single" w:color="auto" w:sz="4" w:space="0"/>
              <w:left w:val="nil"/>
              <w:bottom w:val="single" w:color="auto" w:sz="4" w:space="0"/>
              <w:right w:val="single" w:color="auto" w:sz="4" w:space="0"/>
            </w:tcBorders>
            <w:noWrap/>
            <w:vAlign w:val="center"/>
          </w:tcPr>
          <w:p>
            <w:pPr>
              <w:jc w:val="center"/>
              <w:rPr>
                <w:rFonts w:ascii="宋体" w:cs="宋体"/>
                <w:color w:val="000000"/>
                <w:sz w:val="22"/>
                <w:szCs w:val="22"/>
              </w:rPr>
            </w:pPr>
            <w:r>
              <w:rPr>
                <w:rFonts w:hint="eastAsia"/>
                <w:color w:val="000000"/>
                <w:sz w:val="22"/>
                <w:szCs w:val="22"/>
              </w:rPr>
              <w:t>序号</w:t>
            </w:r>
          </w:p>
        </w:tc>
        <w:tc>
          <w:tcPr>
            <w:tcW w:w="2182" w:type="pct"/>
            <w:tcBorders>
              <w:top w:val="single" w:color="auto" w:sz="4" w:space="0"/>
              <w:left w:val="nil"/>
              <w:bottom w:val="single" w:color="auto" w:sz="4" w:space="0"/>
              <w:right w:val="single" w:color="auto" w:sz="4" w:space="0"/>
            </w:tcBorders>
            <w:noWrap/>
            <w:vAlign w:val="center"/>
          </w:tcPr>
          <w:p>
            <w:pPr>
              <w:jc w:val="center"/>
              <w:rPr>
                <w:rFonts w:ascii="宋体" w:cs="宋体"/>
                <w:color w:val="000000"/>
                <w:sz w:val="22"/>
                <w:szCs w:val="22"/>
              </w:rPr>
            </w:pPr>
            <w:r>
              <w:rPr>
                <w:rFonts w:hint="eastAsia"/>
                <w:color w:val="000000"/>
                <w:sz w:val="22"/>
                <w:szCs w:val="22"/>
              </w:rPr>
              <w:t>项目内容</w:t>
            </w:r>
          </w:p>
        </w:tc>
        <w:tc>
          <w:tcPr>
            <w:tcW w:w="831" w:type="pct"/>
            <w:tcBorders>
              <w:top w:val="single" w:color="auto" w:sz="4" w:space="0"/>
              <w:left w:val="nil"/>
              <w:bottom w:val="single" w:color="auto" w:sz="4" w:space="0"/>
              <w:right w:val="single" w:color="auto" w:sz="4" w:space="0"/>
            </w:tcBorders>
            <w:noWrap/>
            <w:vAlign w:val="center"/>
          </w:tcPr>
          <w:p>
            <w:pPr>
              <w:jc w:val="center"/>
              <w:rPr>
                <w:rFonts w:ascii="宋体" w:cs="宋体"/>
                <w:color w:val="000000"/>
                <w:sz w:val="22"/>
                <w:szCs w:val="22"/>
              </w:rPr>
            </w:pPr>
            <w:r>
              <w:rPr>
                <w:rFonts w:hint="eastAsia"/>
                <w:color w:val="000000"/>
                <w:sz w:val="22"/>
                <w:szCs w:val="22"/>
              </w:rPr>
              <w:t>预算安排金额</w:t>
            </w:r>
          </w:p>
        </w:tc>
      </w:tr>
      <w:tr>
        <w:tblPrEx>
          <w:tblCellMar>
            <w:top w:w="0" w:type="dxa"/>
            <w:left w:w="108" w:type="dxa"/>
            <w:bottom w:w="0" w:type="dxa"/>
            <w:right w:w="108" w:type="dxa"/>
          </w:tblCellMar>
        </w:tblPrEx>
        <w:trPr>
          <w:trHeight w:val="360" w:hRule="atLeast"/>
        </w:trPr>
        <w:tc>
          <w:tcPr>
            <w:tcW w:w="1403" w:type="pct"/>
            <w:gridSpan w:val="2"/>
            <w:vMerge w:val="restart"/>
            <w:tcBorders>
              <w:top w:val="nil"/>
              <w:left w:val="single" w:color="auto" w:sz="4" w:space="0"/>
              <w:bottom w:val="single" w:color="000000" w:sz="4" w:space="0"/>
              <w:right w:val="single" w:color="auto" w:sz="4" w:space="0"/>
            </w:tcBorders>
            <w:vAlign w:val="center"/>
          </w:tcPr>
          <w:p>
            <w:pPr>
              <w:jc w:val="center"/>
              <w:rPr>
                <w:rFonts w:ascii="宋体" w:cs="宋体"/>
                <w:color w:val="000000"/>
                <w:sz w:val="22"/>
                <w:szCs w:val="22"/>
              </w:rPr>
            </w:pPr>
            <w:r>
              <w:rPr>
                <w:rFonts w:hint="eastAsia"/>
                <w:color w:val="000000"/>
                <w:sz w:val="22"/>
                <w:szCs w:val="22"/>
              </w:rPr>
              <w:t>教体局</w:t>
            </w:r>
          </w:p>
        </w:tc>
        <w:tc>
          <w:tcPr>
            <w:tcW w:w="584" w:type="pct"/>
            <w:tcBorders>
              <w:top w:val="nil"/>
              <w:left w:val="nil"/>
              <w:bottom w:val="single" w:color="auto" w:sz="4" w:space="0"/>
              <w:right w:val="single" w:color="auto" w:sz="4" w:space="0"/>
            </w:tcBorders>
            <w:vAlign w:val="center"/>
          </w:tcPr>
          <w:p>
            <w:pPr>
              <w:jc w:val="center"/>
              <w:rPr>
                <w:rFonts w:ascii="宋体" w:cs="宋体"/>
                <w:color w:val="000000"/>
                <w:sz w:val="22"/>
                <w:szCs w:val="22"/>
              </w:rPr>
            </w:pPr>
            <w:r>
              <w:rPr>
                <w:color w:val="000000"/>
                <w:sz w:val="22"/>
                <w:szCs w:val="22"/>
              </w:rPr>
              <w:t>1</w:t>
            </w:r>
          </w:p>
        </w:tc>
        <w:tc>
          <w:tcPr>
            <w:tcW w:w="2182" w:type="pct"/>
            <w:tcBorders>
              <w:top w:val="nil"/>
              <w:left w:val="nil"/>
              <w:bottom w:val="single" w:color="auto" w:sz="4" w:space="0"/>
              <w:right w:val="single" w:color="auto" w:sz="4" w:space="0"/>
            </w:tcBorders>
            <w:vAlign w:val="center"/>
          </w:tcPr>
          <w:p>
            <w:pPr>
              <w:jc w:val="center"/>
              <w:rPr>
                <w:rFonts w:ascii="宋体" w:cs="宋体"/>
                <w:color w:val="000000"/>
                <w:sz w:val="22"/>
                <w:szCs w:val="22"/>
              </w:rPr>
            </w:pPr>
            <w:r>
              <w:rPr>
                <w:rFonts w:hint="eastAsia"/>
                <w:color w:val="000000"/>
                <w:sz w:val="22"/>
                <w:szCs w:val="22"/>
              </w:rPr>
              <w:t>危房改造经费</w:t>
            </w:r>
          </w:p>
        </w:tc>
        <w:tc>
          <w:tcPr>
            <w:tcW w:w="831" w:type="pct"/>
            <w:tcBorders>
              <w:top w:val="nil"/>
              <w:left w:val="nil"/>
              <w:bottom w:val="single" w:color="auto" w:sz="4" w:space="0"/>
              <w:right w:val="single" w:color="auto" w:sz="4" w:space="0"/>
            </w:tcBorders>
            <w:noWrap/>
            <w:vAlign w:val="center"/>
          </w:tcPr>
          <w:p>
            <w:pPr>
              <w:jc w:val="center"/>
              <w:rPr>
                <w:rFonts w:ascii="宋体" w:cs="宋体"/>
                <w:color w:val="000000"/>
                <w:sz w:val="22"/>
                <w:szCs w:val="22"/>
              </w:rPr>
            </w:pPr>
            <w:r>
              <w:rPr>
                <w:color w:val="000000"/>
                <w:sz w:val="22"/>
                <w:szCs w:val="22"/>
              </w:rPr>
              <w:t>196</w:t>
            </w:r>
          </w:p>
        </w:tc>
      </w:tr>
      <w:tr>
        <w:tblPrEx>
          <w:tblCellMar>
            <w:top w:w="0" w:type="dxa"/>
            <w:left w:w="108" w:type="dxa"/>
            <w:bottom w:w="0" w:type="dxa"/>
            <w:right w:w="108" w:type="dxa"/>
          </w:tblCellMar>
        </w:tblPrEx>
        <w:trPr>
          <w:trHeight w:val="360" w:hRule="atLeast"/>
        </w:trPr>
        <w:tc>
          <w:tcPr>
            <w:tcW w:w="1403" w:type="pct"/>
            <w:gridSpan w:val="2"/>
            <w:vMerge w:val="continue"/>
            <w:tcBorders>
              <w:top w:val="nil"/>
              <w:left w:val="single" w:color="auto" w:sz="4" w:space="0"/>
              <w:bottom w:val="single" w:color="000000" w:sz="4" w:space="0"/>
              <w:right w:val="single" w:color="auto" w:sz="4" w:space="0"/>
            </w:tcBorders>
            <w:vAlign w:val="center"/>
          </w:tcPr>
          <w:p>
            <w:pPr>
              <w:rPr>
                <w:rFonts w:ascii="宋体" w:cs="宋体"/>
                <w:color w:val="000000"/>
                <w:sz w:val="22"/>
                <w:szCs w:val="22"/>
              </w:rPr>
            </w:pPr>
          </w:p>
        </w:tc>
        <w:tc>
          <w:tcPr>
            <w:tcW w:w="584" w:type="pct"/>
            <w:tcBorders>
              <w:top w:val="nil"/>
              <w:left w:val="nil"/>
              <w:bottom w:val="single" w:color="auto" w:sz="4" w:space="0"/>
              <w:right w:val="single" w:color="auto" w:sz="4" w:space="0"/>
            </w:tcBorders>
            <w:vAlign w:val="center"/>
          </w:tcPr>
          <w:p>
            <w:pPr>
              <w:jc w:val="center"/>
              <w:rPr>
                <w:rFonts w:ascii="宋体" w:cs="宋体"/>
                <w:color w:val="000000"/>
                <w:sz w:val="22"/>
                <w:szCs w:val="22"/>
              </w:rPr>
            </w:pPr>
            <w:r>
              <w:rPr>
                <w:color w:val="000000"/>
                <w:sz w:val="22"/>
                <w:szCs w:val="22"/>
              </w:rPr>
              <w:t>2</w:t>
            </w:r>
          </w:p>
        </w:tc>
        <w:tc>
          <w:tcPr>
            <w:tcW w:w="2182" w:type="pct"/>
            <w:tcBorders>
              <w:top w:val="nil"/>
              <w:left w:val="nil"/>
              <w:bottom w:val="single" w:color="auto" w:sz="4" w:space="0"/>
              <w:right w:val="single" w:color="auto" w:sz="4" w:space="0"/>
            </w:tcBorders>
            <w:vAlign w:val="center"/>
          </w:tcPr>
          <w:p>
            <w:pPr>
              <w:jc w:val="center"/>
              <w:rPr>
                <w:rFonts w:ascii="宋体" w:cs="宋体"/>
                <w:color w:val="000000"/>
                <w:sz w:val="22"/>
                <w:szCs w:val="22"/>
              </w:rPr>
            </w:pPr>
            <w:r>
              <w:rPr>
                <w:rFonts w:hint="eastAsia"/>
                <w:color w:val="000000"/>
                <w:sz w:val="22"/>
                <w:szCs w:val="22"/>
              </w:rPr>
              <w:t>校车配套经费</w:t>
            </w:r>
          </w:p>
        </w:tc>
        <w:tc>
          <w:tcPr>
            <w:tcW w:w="831" w:type="pct"/>
            <w:tcBorders>
              <w:top w:val="nil"/>
              <w:left w:val="nil"/>
              <w:bottom w:val="single" w:color="auto" w:sz="4" w:space="0"/>
              <w:right w:val="single" w:color="auto" w:sz="4" w:space="0"/>
            </w:tcBorders>
            <w:noWrap/>
            <w:vAlign w:val="center"/>
          </w:tcPr>
          <w:p>
            <w:pPr>
              <w:jc w:val="center"/>
              <w:rPr>
                <w:rFonts w:ascii="宋体" w:cs="宋体"/>
                <w:color w:val="000000"/>
                <w:sz w:val="22"/>
                <w:szCs w:val="22"/>
              </w:rPr>
            </w:pPr>
            <w:r>
              <w:rPr>
                <w:color w:val="000000"/>
                <w:sz w:val="22"/>
                <w:szCs w:val="22"/>
              </w:rPr>
              <w:t>180.5</w:t>
            </w:r>
          </w:p>
        </w:tc>
      </w:tr>
      <w:tr>
        <w:tblPrEx>
          <w:tblCellMar>
            <w:top w:w="0" w:type="dxa"/>
            <w:left w:w="108" w:type="dxa"/>
            <w:bottom w:w="0" w:type="dxa"/>
            <w:right w:w="108" w:type="dxa"/>
          </w:tblCellMar>
        </w:tblPrEx>
        <w:trPr>
          <w:trHeight w:val="360" w:hRule="atLeast"/>
        </w:trPr>
        <w:tc>
          <w:tcPr>
            <w:tcW w:w="1403" w:type="pct"/>
            <w:gridSpan w:val="2"/>
            <w:vMerge w:val="continue"/>
            <w:tcBorders>
              <w:top w:val="nil"/>
              <w:left w:val="single" w:color="auto" w:sz="4" w:space="0"/>
              <w:bottom w:val="single" w:color="000000" w:sz="4" w:space="0"/>
              <w:right w:val="single" w:color="auto" w:sz="4" w:space="0"/>
            </w:tcBorders>
            <w:vAlign w:val="center"/>
          </w:tcPr>
          <w:p>
            <w:pPr>
              <w:rPr>
                <w:rFonts w:ascii="宋体" w:cs="宋体"/>
                <w:color w:val="000000"/>
                <w:sz w:val="22"/>
                <w:szCs w:val="22"/>
              </w:rPr>
            </w:pPr>
          </w:p>
        </w:tc>
        <w:tc>
          <w:tcPr>
            <w:tcW w:w="584" w:type="pct"/>
            <w:tcBorders>
              <w:top w:val="nil"/>
              <w:left w:val="nil"/>
              <w:bottom w:val="single" w:color="auto" w:sz="4" w:space="0"/>
              <w:right w:val="single" w:color="auto" w:sz="4" w:space="0"/>
            </w:tcBorders>
            <w:vAlign w:val="center"/>
          </w:tcPr>
          <w:p>
            <w:pPr>
              <w:jc w:val="center"/>
              <w:rPr>
                <w:rFonts w:ascii="宋体" w:cs="宋体"/>
                <w:color w:val="000000"/>
                <w:sz w:val="22"/>
                <w:szCs w:val="22"/>
              </w:rPr>
            </w:pPr>
            <w:r>
              <w:rPr>
                <w:color w:val="000000"/>
                <w:sz w:val="22"/>
                <w:szCs w:val="22"/>
              </w:rPr>
              <w:t>3</w:t>
            </w:r>
          </w:p>
        </w:tc>
        <w:tc>
          <w:tcPr>
            <w:tcW w:w="2182" w:type="pct"/>
            <w:tcBorders>
              <w:top w:val="nil"/>
              <w:left w:val="nil"/>
              <w:bottom w:val="single" w:color="auto" w:sz="4" w:space="0"/>
              <w:right w:val="single" w:color="auto" w:sz="4" w:space="0"/>
            </w:tcBorders>
            <w:vAlign w:val="center"/>
          </w:tcPr>
          <w:p>
            <w:pPr>
              <w:jc w:val="center"/>
              <w:rPr>
                <w:rFonts w:ascii="宋体" w:cs="宋体"/>
                <w:color w:val="000000"/>
                <w:sz w:val="22"/>
                <w:szCs w:val="22"/>
              </w:rPr>
            </w:pPr>
            <w:r>
              <w:rPr>
                <w:rFonts w:hint="eastAsia"/>
                <w:color w:val="000000"/>
                <w:sz w:val="22"/>
                <w:szCs w:val="22"/>
              </w:rPr>
              <w:t>幼儿园补助</w:t>
            </w:r>
          </w:p>
        </w:tc>
        <w:tc>
          <w:tcPr>
            <w:tcW w:w="831" w:type="pct"/>
            <w:tcBorders>
              <w:top w:val="nil"/>
              <w:left w:val="nil"/>
              <w:bottom w:val="single" w:color="auto" w:sz="4" w:space="0"/>
              <w:right w:val="single" w:color="auto" w:sz="4" w:space="0"/>
            </w:tcBorders>
            <w:noWrap/>
            <w:vAlign w:val="center"/>
          </w:tcPr>
          <w:p>
            <w:pPr>
              <w:jc w:val="center"/>
              <w:rPr>
                <w:rFonts w:ascii="宋体" w:cs="宋体"/>
                <w:color w:val="000000"/>
                <w:sz w:val="22"/>
                <w:szCs w:val="22"/>
              </w:rPr>
            </w:pPr>
            <w:r>
              <w:rPr>
                <w:color w:val="000000"/>
                <w:sz w:val="22"/>
                <w:szCs w:val="22"/>
              </w:rPr>
              <w:t>44.1</w:t>
            </w:r>
          </w:p>
        </w:tc>
      </w:tr>
      <w:tr>
        <w:tblPrEx>
          <w:tblCellMar>
            <w:top w:w="0" w:type="dxa"/>
            <w:left w:w="108" w:type="dxa"/>
            <w:bottom w:w="0" w:type="dxa"/>
            <w:right w:w="108" w:type="dxa"/>
          </w:tblCellMar>
        </w:tblPrEx>
        <w:trPr>
          <w:trHeight w:val="360" w:hRule="atLeast"/>
        </w:trPr>
        <w:tc>
          <w:tcPr>
            <w:tcW w:w="1403" w:type="pct"/>
            <w:gridSpan w:val="2"/>
            <w:vMerge w:val="continue"/>
            <w:tcBorders>
              <w:top w:val="nil"/>
              <w:left w:val="single" w:color="auto" w:sz="4" w:space="0"/>
              <w:bottom w:val="single" w:color="000000" w:sz="4" w:space="0"/>
              <w:right w:val="single" w:color="auto" w:sz="4" w:space="0"/>
            </w:tcBorders>
            <w:vAlign w:val="center"/>
          </w:tcPr>
          <w:p>
            <w:pPr>
              <w:rPr>
                <w:rFonts w:ascii="宋体" w:cs="宋体"/>
                <w:color w:val="000000"/>
                <w:sz w:val="22"/>
                <w:szCs w:val="22"/>
              </w:rPr>
            </w:pPr>
          </w:p>
        </w:tc>
        <w:tc>
          <w:tcPr>
            <w:tcW w:w="584" w:type="pct"/>
            <w:tcBorders>
              <w:top w:val="nil"/>
              <w:left w:val="nil"/>
              <w:bottom w:val="single" w:color="auto" w:sz="4" w:space="0"/>
              <w:right w:val="single" w:color="auto" w:sz="4" w:space="0"/>
            </w:tcBorders>
            <w:vAlign w:val="center"/>
          </w:tcPr>
          <w:p>
            <w:pPr>
              <w:jc w:val="center"/>
              <w:rPr>
                <w:rFonts w:ascii="宋体" w:cs="宋体"/>
                <w:color w:val="000000"/>
                <w:sz w:val="22"/>
                <w:szCs w:val="22"/>
              </w:rPr>
            </w:pPr>
            <w:r>
              <w:rPr>
                <w:color w:val="000000"/>
                <w:sz w:val="22"/>
                <w:szCs w:val="22"/>
              </w:rPr>
              <w:t>4</w:t>
            </w:r>
          </w:p>
        </w:tc>
        <w:tc>
          <w:tcPr>
            <w:tcW w:w="2182" w:type="pct"/>
            <w:tcBorders>
              <w:top w:val="nil"/>
              <w:left w:val="nil"/>
              <w:bottom w:val="single" w:color="auto" w:sz="4" w:space="0"/>
              <w:right w:val="single" w:color="auto" w:sz="4" w:space="0"/>
            </w:tcBorders>
            <w:vAlign w:val="center"/>
          </w:tcPr>
          <w:p>
            <w:pPr>
              <w:jc w:val="center"/>
              <w:rPr>
                <w:rFonts w:ascii="宋体" w:cs="宋体"/>
                <w:color w:val="000000"/>
                <w:sz w:val="22"/>
                <w:szCs w:val="22"/>
              </w:rPr>
            </w:pPr>
            <w:r>
              <w:rPr>
                <w:rFonts w:hint="eastAsia"/>
                <w:color w:val="000000"/>
                <w:sz w:val="22"/>
                <w:szCs w:val="22"/>
              </w:rPr>
              <w:t>中职免学费配套</w:t>
            </w:r>
          </w:p>
        </w:tc>
        <w:tc>
          <w:tcPr>
            <w:tcW w:w="831" w:type="pct"/>
            <w:tcBorders>
              <w:top w:val="nil"/>
              <w:left w:val="nil"/>
              <w:bottom w:val="single" w:color="auto" w:sz="4" w:space="0"/>
              <w:right w:val="single" w:color="auto" w:sz="4" w:space="0"/>
            </w:tcBorders>
            <w:noWrap/>
            <w:vAlign w:val="center"/>
          </w:tcPr>
          <w:p>
            <w:pPr>
              <w:jc w:val="center"/>
              <w:rPr>
                <w:rFonts w:ascii="宋体" w:cs="宋体"/>
                <w:color w:val="000000"/>
                <w:sz w:val="22"/>
                <w:szCs w:val="22"/>
              </w:rPr>
            </w:pPr>
            <w:r>
              <w:rPr>
                <w:color w:val="000000"/>
                <w:sz w:val="22"/>
                <w:szCs w:val="22"/>
              </w:rPr>
              <w:t>210</w:t>
            </w:r>
          </w:p>
        </w:tc>
      </w:tr>
      <w:tr>
        <w:tblPrEx>
          <w:tblCellMar>
            <w:top w:w="0" w:type="dxa"/>
            <w:left w:w="108" w:type="dxa"/>
            <w:bottom w:w="0" w:type="dxa"/>
            <w:right w:w="108" w:type="dxa"/>
          </w:tblCellMar>
        </w:tblPrEx>
        <w:trPr>
          <w:trHeight w:val="360" w:hRule="atLeast"/>
        </w:trPr>
        <w:tc>
          <w:tcPr>
            <w:tcW w:w="1403" w:type="pct"/>
            <w:gridSpan w:val="2"/>
            <w:vMerge w:val="continue"/>
            <w:tcBorders>
              <w:top w:val="nil"/>
              <w:left w:val="single" w:color="auto" w:sz="4" w:space="0"/>
              <w:bottom w:val="single" w:color="000000" w:sz="4" w:space="0"/>
              <w:right w:val="single" w:color="auto" w:sz="4" w:space="0"/>
            </w:tcBorders>
            <w:vAlign w:val="center"/>
          </w:tcPr>
          <w:p>
            <w:pPr>
              <w:rPr>
                <w:rFonts w:ascii="宋体" w:cs="宋体"/>
                <w:color w:val="000000"/>
                <w:sz w:val="22"/>
                <w:szCs w:val="22"/>
              </w:rPr>
            </w:pPr>
          </w:p>
        </w:tc>
        <w:tc>
          <w:tcPr>
            <w:tcW w:w="584" w:type="pct"/>
            <w:tcBorders>
              <w:top w:val="nil"/>
              <w:left w:val="nil"/>
              <w:bottom w:val="single" w:color="auto" w:sz="4" w:space="0"/>
              <w:right w:val="single" w:color="auto" w:sz="4" w:space="0"/>
            </w:tcBorders>
            <w:vAlign w:val="center"/>
          </w:tcPr>
          <w:p>
            <w:pPr>
              <w:jc w:val="center"/>
              <w:rPr>
                <w:rFonts w:ascii="宋体" w:cs="宋体"/>
                <w:color w:val="000000"/>
                <w:sz w:val="22"/>
                <w:szCs w:val="22"/>
              </w:rPr>
            </w:pPr>
            <w:r>
              <w:rPr>
                <w:color w:val="000000"/>
                <w:sz w:val="22"/>
                <w:szCs w:val="22"/>
              </w:rPr>
              <w:t>5</w:t>
            </w:r>
          </w:p>
        </w:tc>
        <w:tc>
          <w:tcPr>
            <w:tcW w:w="2182" w:type="pct"/>
            <w:tcBorders>
              <w:top w:val="nil"/>
              <w:left w:val="nil"/>
              <w:bottom w:val="single" w:color="auto" w:sz="4" w:space="0"/>
              <w:right w:val="single" w:color="auto" w:sz="4" w:space="0"/>
            </w:tcBorders>
            <w:shd w:val="clear" w:color="000000" w:fill="FFFFFF"/>
            <w:vAlign w:val="center"/>
          </w:tcPr>
          <w:p>
            <w:pPr>
              <w:jc w:val="center"/>
              <w:rPr>
                <w:rFonts w:ascii="宋体" w:cs="宋体"/>
                <w:color w:val="000000"/>
                <w:sz w:val="22"/>
                <w:szCs w:val="22"/>
              </w:rPr>
            </w:pPr>
            <w:r>
              <w:rPr>
                <w:rFonts w:hint="eastAsia"/>
                <w:color w:val="000000"/>
                <w:sz w:val="22"/>
                <w:szCs w:val="22"/>
              </w:rPr>
              <w:t>义务教育专项经费</w:t>
            </w:r>
          </w:p>
        </w:tc>
        <w:tc>
          <w:tcPr>
            <w:tcW w:w="831" w:type="pct"/>
            <w:tcBorders>
              <w:top w:val="nil"/>
              <w:left w:val="nil"/>
              <w:bottom w:val="single" w:color="auto" w:sz="4" w:space="0"/>
              <w:right w:val="single" w:color="auto" w:sz="4" w:space="0"/>
            </w:tcBorders>
            <w:vAlign w:val="center"/>
          </w:tcPr>
          <w:p>
            <w:pPr>
              <w:jc w:val="center"/>
              <w:rPr>
                <w:rFonts w:ascii="宋体" w:cs="宋体"/>
                <w:color w:val="000000"/>
                <w:sz w:val="22"/>
                <w:szCs w:val="22"/>
              </w:rPr>
            </w:pPr>
            <w:r>
              <w:rPr>
                <w:color w:val="000000"/>
                <w:sz w:val="22"/>
                <w:szCs w:val="22"/>
              </w:rPr>
              <w:t>552</w:t>
            </w:r>
          </w:p>
        </w:tc>
      </w:tr>
      <w:tr>
        <w:tblPrEx>
          <w:tblCellMar>
            <w:top w:w="0" w:type="dxa"/>
            <w:left w:w="108" w:type="dxa"/>
            <w:bottom w:w="0" w:type="dxa"/>
            <w:right w:w="108" w:type="dxa"/>
          </w:tblCellMar>
        </w:tblPrEx>
        <w:trPr>
          <w:trHeight w:val="360" w:hRule="atLeast"/>
        </w:trPr>
        <w:tc>
          <w:tcPr>
            <w:tcW w:w="1403" w:type="pct"/>
            <w:gridSpan w:val="2"/>
            <w:vMerge w:val="continue"/>
            <w:tcBorders>
              <w:top w:val="nil"/>
              <w:left w:val="single" w:color="auto" w:sz="4" w:space="0"/>
              <w:bottom w:val="single" w:color="000000" w:sz="4" w:space="0"/>
              <w:right w:val="single" w:color="auto" w:sz="4" w:space="0"/>
            </w:tcBorders>
            <w:vAlign w:val="center"/>
          </w:tcPr>
          <w:p>
            <w:pPr>
              <w:rPr>
                <w:rFonts w:ascii="宋体" w:cs="宋体"/>
                <w:color w:val="000000"/>
                <w:sz w:val="22"/>
                <w:szCs w:val="22"/>
              </w:rPr>
            </w:pPr>
          </w:p>
        </w:tc>
        <w:tc>
          <w:tcPr>
            <w:tcW w:w="584" w:type="pct"/>
            <w:tcBorders>
              <w:top w:val="nil"/>
              <w:left w:val="nil"/>
              <w:bottom w:val="single" w:color="auto" w:sz="4" w:space="0"/>
              <w:right w:val="single" w:color="auto" w:sz="4" w:space="0"/>
            </w:tcBorders>
            <w:vAlign w:val="center"/>
          </w:tcPr>
          <w:p>
            <w:pPr>
              <w:jc w:val="center"/>
              <w:rPr>
                <w:rFonts w:ascii="宋体" w:cs="宋体"/>
                <w:color w:val="000000"/>
                <w:sz w:val="22"/>
                <w:szCs w:val="22"/>
              </w:rPr>
            </w:pPr>
            <w:r>
              <w:rPr>
                <w:color w:val="000000"/>
                <w:sz w:val="22"/>
                <w:szCs w:val="22"/>
              </w:rPr>
              <w:t>6</w:t>
            </w:r>
          </w:p>
        </w:tc>
        <w:tc>
          <w:tcPr>
            <w:tcW w:w="2182" w:type="pct"/>
            <w:tcBorders>
              <w:top w:val="nil"/>
              <w:left w:val="nil"/>
              <w:bottom w:val="single" w:color="auto" w:sz="4" w:space="0"/>
              <w:right w:val="single" w:color="auto" w:sz="4" w:space="0"/>
            </w:tcBorders>
            <w:shd w:val="clear" w:color="000000" w:fill="FFFFFF"/>
            <w:vAlign w:val="center"/>
          </w:tcPr>
          <w:p>
            <w:pPr>
              <w:jc w:val="center"/>
              <w:rPr>
                <w:rFonts w:ascii="宋体" w:cs="宋体"/>
                <w:color w:val="000000"/>
                <w:sz w:val="22"/>
                <w:szCs w:val="22"/>
              </w:rPr>
            </w:pPr>
            <w:r>
              <w:rPr>
                <w:rFonts w:hint="eastAsia"/>
                <w:color w:val="000000"/>
                <w:sz w:val="22"/>
                <w:szCs w:val="22"/>
              </w:rPr>
              <w:t>教师培训费</w:t>
            </w:r>
          </w:p>
        </w:tc>
        <w:tc>
          <w:tcPr>
            <w:tcW w:w="831" w:type="pct"/>
            <w:tcBorders>
              <w:top w:val="nil"/>
              <w:left w:val="nil"/>
              <w:bottom w:val="single" w:color="auto" w:sz="4" w:space="0"/>
              <w:right w:val="single" w:color="auto" w:sz="4" w:space="0"/>
            </w:tcBorders>
            <w:vAlign w:val="center"/>
          </w:tcPr>
          <w:p>
            <w:pPr>
              <w:jc w:val="center"/>
              <w:rPr>
                <w:rFonts w:ascii="宋体" w:cs="宋体"/>
                <w:color w:val="000000"/>
                <w:sz w:val="22"/>
                <w:szCs w:val="22"/>
              </w:rPr>
            </w:pPr>
            <w:r>
              <w:rPr>
                <w:color w:val="000000"/>
                <w:sz w:val="22"/>
                <w:szCs w:val="22"/>
              </w:rPr>
              <w:t>370</w:t>
            </w:r>
          </w:p>
        </w:tc>
      </w:tr>
      <w:tr>
        <w:tblPrEx>
          <w:tblCellMar>
            <w:top w:w="0" w:type="dxa"/>
            <w:left w:w="108" w:type="dxa"/>
            <w:bottom w:w="0" w:type="dxa"/>
            <w:right w:w="108" w:type="dxa"/>
          </w:tblCellMar>
        </w:tblPrEx>
        <w:trPr>
          <w:trHeight w:val="360" w:hRule="atLeast"/>
        </w:trPr>
        <w:tc>
          <w:tcPr>
            <w:tcW w:w="1403" w:type="pct"/>
            <w:gridSpan w:val="2"/>
            <w:vMerge w:val="continue"/>
            <w:tcBorders>
              <w:top w:val="nil"/>
              <w:left w:val="single" w:color="auto" w:sz="4" w:space="0"/>
              <w:bottom w:val="single" w:color="000000" w:sz="4" w:space="0"/>
              <w:right w:val="single" w:color="auto" w:sz="4" w:space="0"/>
            </w:tcBorders>
            <w:vAlign w:val="center"/>
          </w:tcPr>
          <w:p>
            <w:pPr>
              <w:rPr>
                <w:rFonts w:ascii="宋体" w:cs="宋体"/>
                <w:color w:val="000000"/>
                <w:sz w:val="22"/>
                <w:szCs w:val="22"/>
              </w:rPr>
            </w:pPr>
          </w:p>
        </w:tc>
        <w:tc>
          <w:tcPr>
            <w:tcW w:w="584" w:type="pct"/>
            <w:tcBorders>
              <w:top w:val="nil"/>
              <w:left w:val="nil"/>
              <w:bottom w:val="single" w:color="auto" w:sz="4" w:space="0"/>
              <w:right w:val="single" w:color="auto" w:sz="4" w:space="0"/>
            </w:tcBorders>
            <w:vAlign w:val="center"/>
          </w:tcPr>
          <w:p>
            <w:pPr>
              <w:jc w:val="center"/>
              <w:rPr>
                <w:rFonts w:ascii="宋体" w:cs="宋体"/>
                <w:color w:val="000000"/>
                <w:sz w:val="22"/>
                <w:szCs w:val="22"/>
              </w:rPr>
            </w:pPr>
            <w:r>
              <w:rPr>
                <w:color w:val="000000"/>
                <w:sz w:val="22"/>
                <w:szCs w:val="22"/>
              </w:rPr>
              <w:t>7</w:t>
            </w:r>
          </w:p>
        </w:tc>
        <w:tc>
          <w:tcPr>
            <w:tcW w:w="2182" w:type="pct"/>
            <w:tcBorders>
              <w:top w:val="nil"/>
              <w:left w:val="nil"/>
              <w:bottom w:val="single" w:color="auto" w:sz="4" w:space="0"/>
              <w:right w:val="single" w:color="auto" w:sz="4" w:space="0"/>
            </w:tcBorders>
            <w:shd w:val="clear" w:color="000000" w:fill="FFFFFF"/>
            <w:vAlign w:val="center"/>
          </w:tcPr>
          <w:p>
            <w:pPr>
              <w:jc w:val="center"/>
              <w:rPr>
                <w:rFonts w:ascii="宋体" w:cs="宋体"/>
                <w:color w:val="000000"/>
                <w:sz w:val="22"/>
                <w:szCs w:val="22"/>
              </w:rPr>
            </w:pPr>
            <w:r>
              <w:rPr>
                <w:rFonts w:hint="eastAsia"/>
                <w:color w:val="000000"/>
                <w:sz w:val="22"/>
                <w:szCs w:val="22"/>
              </w:rPr>
              <w:t>职专教育专项</w:t>
            </w:r>
          </w:p>
        </w:tc>
        <w:tc>
          <w:tcPr>
            <w:tcW w:w="831" w:type="pct"/>
            <w:tcBorders>
              <w:top w:val="nil"/>
              <w:left w:val="nil"/>
              <w:bottom w:val="single" w:color="auto" w:sz="4" w:space="0"/>
              <w:right w:val="single" w:color="auto" w:sz="4" w:space="0"/>
            </w:tcBorders>
            <w:vAlign w:val="center"/>
          </w:tcPr>
          <w:p>
            <w:pPr>
              <w:jc w:val="center"/>
              <w:rPr>
                <w:rFonts w:ascii="宋体" w:cs="宋体"/>
                <w:color w:val="000000"/>
                <w:sz w:val="22"/>
                <w:szCs w:val="22"/>
              </w:rPr>
            </w:pPr>
            <w:r>
              <w:rPr>
                <w:color w:val="000000"/>
                <w:sz w:val="22"/>
                <w:szCs w:val="22"/>
              </w:rPr>
              <w:t>70</w:t>
            </w:r>
          </w:p>
        </w:tc>
      </w:tr>
      <w:tr>
        <w:tblPrEx>
          <w:tblCellMar>
            <w:top w:w="0" w:type="dxa"/>
            <w:left w:w="108" w:type="dxa"/>
            <w:bottom w:w="0" w:type="dxa"/>
            <w:right w:w="108" w:type="dxa"/>
          </w:tblCellMar>
        </w:tblPrEx>
        <w:trPr>
          <w:trHeight w:val="360" w:hRule="atLeast"/>
        </w:trPr>
        <w:tc>
          <w:tcPr>
            <w:tcW w:w="1403" w:type="pct"/>
            <w:gridSpan w:val="2"/>
            <w:vMerge w:val="continue"/>
            <w:tcBorders>
              <w:top w:val="nil"/>
              <w:left w:val="single" w:color="auto" w:sz="4" w:space="0"/>
              <w:bottom w:val="single" w:color="000000" w:sz="4" w:space="0"/>
              <w:right w:val="single" w:color="auto" w:sz="4" w:space="0"/>
            </w:tcBorders>
            <w:vAlign w:val="center"/>
          </w:tcPr>
          <w:p>
            <w:pPr>
              <w:rPr>
                <w:rFonts w:ascii="宋体" w:cs="宋体"/>
                <w:color w:val="000000"/>
                <w:sz w:val="22"/>
                <w:szCs w:val="22"/>
              </w:rPr>
            </w:pPr>
          </w:p>
        </w:tc>
        <w:tc>
          <w:tcPr>
            <w:tcW w:w="584" w:type="pct"/>
            <w:tcBorders>
              <w:top w:val="nil"/>
              <w:left w:val="nil"/>
              <w:bottom w:val="single" w:color="auto" w:sz="4" w:space="0"/>
              <w:right w:val="single" w:color="auto" w:sz="4" w:space="0"/>
            </w:tcBorders>
            <w:vAlign w:val="center"/>
          </w:tcPr>
          <w:p>
            <w:pPr>
              <w:jc w:val="center"/>
              <w:rPr>
                <w:rFonts w:ascii="宋体" w:cs="宋体"/>
                <w:color w:val="000000"/>
                <w:sz w:val="22"/>
                <w:szCs w:val="22"/>
              </w:rPr>
            </w:pPr>
            <w:r>
              <w:rPr>
                <w:color w:val="000000"/>
                <w:sz w:val="22"/>
                <w:szCs w:val="22"/>
              </w:rPr>
              <w:t>8</w:t>
            </w:r>
          </w:p>
        </w:tc>
        <w:tc>
          <w:tcPr>
            <w:tcW w:w="2182" w:type="pct"/>
            <w:tcBorders>
              <w:top w:val="nil"/>
              <w:left w:val="nil"/>
              <w:bottom w:val="single" w:color="auto" w:sz="4" w:space="0"/>
              <w:right w:val="single" w:color="auto" w:sz="4" w:space="0"/>
            </w:tcBorders>
            <w:shd w:val="clear" w:color="000000" w:fill="FFFFFF"/>
            <w:vAlign w:val="center"/>
          </w:tcPr>
          <w:p>
            <w:pPr>
              <w:jc w:val="center"/>
              <w:rPr>
                <w:rFonts w:ascii="宋体" w:cs="宋体"/>
                <w:color w:val="000000"/>
                <w:sz w:val="22"/>
                <w:szCs w:val="22"/>
              </w:rPr>
            </w:pPr>
            <w:r>
              <w:rPr>
                <w:rFonts w:hint="eastAsia"/>
                <w:color w:val="000000"/>
                <w:sz w:val="22"/>
                <w:szCs w:val="22"/>
              </w:rPr>
              <w:t>特教专项</w:t>
            </w:r>
          </w:p>
        </w:tc>
        <w:tc>
          <w:tcPr>
            <w:tcW w:w="831" w:type="pct"/>
            <w:tcBorders>
              <w:top w:val="nil"/>
              <w:left w:val="nil"/>
              <w:bottom w:val="single" w:color="auto" w:sz="4" w:space="0"/>
              <w:right w:val="single" w:color="auto" w:sz="4" w:space="0"/>
            </w:tcBorders>
            <w:vAlign w:val="center"/>
          </w:tcPr>
          <w:p>
            <w:pPr>
              <w:jc w:val="center"/>
              <w:rPr>
                <w:rFonts w:ascii="宋体" w:cs="宋体"/>
                <w:color w:val="000000"/>
                <w:sz w:val="22"/>
                <w:szCs w:val="22"/>
              </w:rPr>
            </w:pPr>
            <w:r>
              <w:rPr>
                <w:color w:val="000000"/>
                <w:sz w:val="22"/>
                <w:szCs w:val="22"/>
              </w:rPr>
              <w:t>80</w:t>
            </w:r>
          </w:p>
        </w:tc>
      </w:tr>
      <w:tr>
        <w:tblPrEx>
          <w:tblCellMar>
            <w:top w:w="0" w:type="dxa"/>
            <w:left w:w="108" w:type="dxa"/>
            <w:bottom w:w="0" w:type="dxa"/>
            <w:right w:w="108" w:type="dxa"/>
          </w:tblCellMar>
        </w:tblPrEx>
        <w:trPr>
          <w:trHeight w:val="360" w:hRule="atLeast"/>
        </w:trPr>
        <w:tc>
          <w:tcPr>
            <w:tcW w:w="1403" w:type="pct"/>
            <w:gridSpan w:val="2"/>
            <w:vMerge w:val="continue"/>
            <w:tcBorders>
              <w:top w:val="nil"/>
              <w:left w:val="single" w:color="auto" w:sz="4" w:space="0"/>
              <w:bottom w:val="single" w:color="000000" w:sz="4" w:space="0"/>
              <w:right w:val="single" w:color="auto" w:sz="4" w:space="0"/>
            </w:tcBorders>
            <w:vAlign w:val="center"/>
          </w:tcPr>
          <w:p>
            <w:pPr>
              <w:rPr>
                <w:rFonts w:ascii="宋体" w:cs="宋体"/>
                <w:color w:val="000000"/>
                <w:sz w:val="22"/>
                <w:szCs w:val="22"/>
              </w:rPr>
            </w:pPr>
          </w:p>
        </w:tc>
        <w:tc>
          <w:tcPr>
            <w:tcW w:w="584" w:type="pct"/>
            <w:tcBorders>
              <w:top w:val="nil"/>
              <w:left w:val="nil"/>
              <w:bottom w:val="single" w:color="auto" w:sz="4" w:space="0"/>
              <w:right w:val="single" w:color="auto" w:sz="4" w:space="0"/>
            </w:tcBorders>
            <w:vAlign w:val="center"/>
          </w:tcPr>
          <w:p>
            <w:pPr>
              <w:jc w:val="center"/>
              <w:rPr>
                <w:rFonts w:ascii="宋体" w:cs="宋体"/>
                <w:color w:val="000000"/>
                <w:sz w:val="22"/>
                <w:szCs w:val="22"/>
              </w:rPr>
            </w:pPr>
            <w:r>
              <w:rPr>
                <w:color w:val="000000"/>
                <w:sz w:val="22"/>
                <w:szCs w:val="22"/>
              </w:rPr>
              <w:t>9</w:t>
            </w:r>
          </w:p>
        </w:tc>
        <w:tc>
          <w:tcPr>
            <w:tcW w:w="2182" w:type="pct"/>
            <w:tcBorders>
              <w:top w:val="nil"/>
              <w:left w:val="nil"/>
              <w:bottom w:val="single" w:color="auto" w:sz="4" w:space="0"/>
              <w:right w:val="single" w:color="auto" w:sz="4" w:space="0"/>
            </w:tcBorders>
            <w:shd w:val="clear" w:color="000000" w:fill="FFFFFF"/>
            <w:vAlign w:val="center"/>
          </w:tcPr>
          <w:p>
            <w:pPr>
              <w:jc w:val="center"/>
              <w:rPr>
                <w:rFonts w:ascii="宋体" w:cs="宋体"/>
                <w:color w:val="000000"/>
                <w:sz w:val="22"/>
                <w:szCs w:val="22"/>
              </w:rPr>
            </w:pPr>
            <w:r>
              <w:rPr>
                <w:rFonts w:hint="eastAsia"/>
                <w:color w:val="000000"/>
                <w:sz w:val="22"/>
                <w:szCs w:val="22"/>
              </w:rPr>
              <w:t>寄宿生补助</w:t>
            </w:r>
          </w:p>
        </w:tc>
        <w:tc>
          <w:tcPr>
            <w:tcW w:w="831" w:type="pct"/>
            <w:tcBorders>
              <w:top w:val="nil"/>
              <w:left w:val="nil"/>
              <w:bottom w:val="single" w:color="auto" w:sz="4" w:space="0"/>
              <w:right w:val="single" w:color="auto" w:sz="4" w:space="0"/>
            </w:tcBorders>
            <w:vAlign w:val="center"/>
          </w:tcPr>
          <w:p>
            <w:pPr>
              <w:jc w:val="center"/>
              <w:rPr>
                <w:rFonts w:ascii="宋体" w:cs="宋体"/>
                <w:color w:val="000000"/>
                <w:sz w:val="22"/>
                <w:szCs w:val="22"/>
              </w:rPr>
            </w:pPr>
            <w:r>
              <w:rPr>
                <w:color w:val="000000"/>
                <w:sz w:val="22"/>
                <w:szCs w:val="22"/>
              </w:rPr>
              <w:t>91</w:t>
            </w:r>
          </w:p>
        </w:tc>
      </w:tr>
      <w:tr>
        <w:tblPrEx>
          <w:tblCellMar>
            <w:top w:w="0" w:type="dxa"/>
            <w:left w:w="108" w:type="dxa"/>
            <w:bottom w:w="0" w:type="dxa"/>
            <w:right w:w="108" w:type="dxa"/>
          </w:tblCellMar>
        </w:tblPrEx>
        <w:trPr>
          <w:trHeight w:val="360" w:hRule="atLeast"/>
        </w:trPr>
        <w:tc>
          <w:tcPr>
            <w:tcW w:w="1403" w:type="pct"/>
            <w:gridSpan w:val="2"/>
            <w:vMerge w:val="continue"/>
            <w:tcBorders>
              <w:top w:val="nil"/>
              <w:left w:val="single" w:color="auto" w:sz="4" w:space="0"/>
              <w:bottom w:val="single" w:color="000000" w:sz="4" w:space="0"/>
              <w:right w:val="single" w:color="auto" w:sz="4" w:space="0"/>
            </w:tcBorders>
            <w:vAlign w:val="center"/>
          </w:tcPr>
          <w:p>
            <w:pPr>
              <w:rPr>
                <w:rFonts w:ascii="宋体" w:cs="宋体"/>
                <w:color w:val="000000"/>
                <w:sz w:val="22"/>
                <w:szCs w:val="22"/>
              </w:rPr>
            </w:pPr>
          </w:p>
        </w:tc>
        <w:tc>
          <w:tcPr>
            <w:tcW w:w="584" w:type="pct"/>
            <w:tcBorders>
              <w:top w:val="nil"/>
              <w:left w:val="nil"/>
              <w:bottom w:val="single" w:color="auto" w:sz="4" w:space="0"/>
              <w:right w:val="single" w:color="auto" w:sz="4" w:space="0"/>
            </w:tcBorders>
            <w:vAlign w:val="center"/>
          </w:tcPr>
          <w:p>
            <w:pPr>
              <w:jc w:val="center"/>
              <w:rPr>
                <w:rFonts w:ascii="宋体" w:cs="宋体"/>
                <w:color w:val="000000"/>
                <w:sz w:val="22"/>
                <w:szCs w:val="22"/>
              </w:rPr>
            </w:pPr>
            <w:r>
              <w:rPr>
                <w:color w:val="000000"/>
                <w:sz w:val="22"/>
                <w:szCs w:val="22"/>
              </w:rPr>
              <w:t>10</w:t>
            </w:r>
          </w:p>
        </w:tc>
        <w:tc>
          <w:tcPr>
            <w:tcW w:w="2182" w:type="pct"/>
            <w:tcBorders>
              <w:top w:val="nil"/>
              <w:left w:val="nil"/>
              <w:bottom w:val="single" w:color="auto" w:sz="4" w:space="0"/>
              <w:right w:val="single" w:color="auto" w:sz="4" w:space="0"/>
            </w:tcBorders>
            <w:shd w:val="clear" w:color="000000" w:fill="FFFFFF"/>
            <w:vAlign w:val="center"/>
          </w:tcPr>
          <w:p>
            <w:pPr>
              <w:jc w:val="center"/>
              <w:rPr>
                <w:rFonts w:ascii="宋体" w:cs="宋体"/>
                <w:color w:val="000000"/>
                <w:sz w:val="22"/>
                <w:szCs w:val="22"/>
              </w:rPr>
            </w:pPr>
            <w:r>
              <w:rPr>
                <w:rFonts w:hint="eastAsia"/>
                <w:color w:val="000000"/>
                <w:sz w:val="22"/>
                <w:szCs w:val="22"/>
              </w:rPr>
              <w:t>城南小学新建</w:t>
            </w:r>
          </w:p>
        </w:tc>
        <w:tc>
          <w:tcPr>
            <w:tcW w:w="831" w:type="pct"/>
            <w:tcBorders>
              <w:top w:val="nil"/>
              <w:left w:val="nil"/>
              <w:bottom w:val="single" w:color="auto" w:sz="4" w:space="0"/>
              <w:right w:val="single" w:color="auto" w:sz="4" w:space="0"/>
            </w:tcBorders>
            <w:vAlign w:val="center"/>
          </w:tcPr>
          <w:p>
            <w:pPr>
              <w:jc w:val="center"/>
              <w:rPr>
                <w:rFonts w:ascii="宋体" w:cs="宋体"/>
                <w:color w:val="000000"/>
                <w:sz w:val="22"/>
                <w:szCs w:val="22"/>
              </w:rPr>
            </w:pPr>
            <w:r>
              <w:rPr>
                <w:color w:val="000000"/>
                <w:sz w:val="22"/>
                <w:szCs w:val="22"/>
              </w:rPr>
              <w:t>2000</w:t>
            </w:r>
          </w:p>
        </w:tc>
      </w:tr>
      <w:tr>
        <w:tblPrEx>
          <w:tblCellMar>
            <w:top w:w="0" w:type="dxa"/>
            <w:left w:w="108" w:type="dxa"/>
            <w:bottom w:w="0" w:type="dxa"/>
            <w:right w:w="108" w:type="dxa"/>
          </w:tblCellMar>
        </w:tblPrEx>
        <w:trPr>
          <w:trHeight w:val="360" w:hRule="atLeast"/>
        </w:trPr>
        <w:tc>
          <w:tcPr>
            <w:tcW w:w="1403" w:type="pct"/>
            <w:gridSpan w:val="2"/>
            <w:vMerge w:val="continue"/>
            <w:tcBorders>
              <w:top w:val="nil"/>
              <w:left w:val="single" w:color="auto" w:sz="4" w:space="0"/>
              <w:bottom w:val="single" w:color="000000" w:sz="4" w:space="0"/>
              <w:right w:val="single" w:color="auto" w:sz="4" w:space="0"/>
            </w:tcBorders>
            <w:vAlign w:val="center"/>
          </w:tcPr>
          <w:p>
            <w:pPr>
              <w:rPr>
                <w:rFonts w:ascii="宋体" w:cs="宋体"/>
                <w:color w:val="000000"/>
                <w:sz w:val="22"/>
                <w:szCs w:val="22"/>
              </w:rPr>
            </w:pPr>
          </w:p>
        </w:tc>
        <w:tc>
          <w:tcPr>
            <w:tcW w:w="584" w:type="pct"/>
            <w:tcBorders>
              <w:top w:val="nil"/>
              <w:left w:val="nil"/>
              <w:bottom w:val="single" w:color="auto" w:sz="4" w:space="0"/>
              <w:right w:val="single" w:color="auto" w:sz="4" w:space="0"/>
            </w:tcBorders>
            <w:vAlign w:val="center"/>
          </w:tcPr>
          <w:p>
            <w:pPr>
              <w:jc w:val="center"/>
              <w:rPr>
                <w:rFonts w:ascii="宋体" w:cs="宋体"/>
                <w:color w:val="000000"/>
                <w:sz w:val="22"/>
                <w:szCs w:val="22"/>
              </w:rPr>
            </w:pPr>
            <w:r>
              <w:rPr>
                <w:color w:val="000000"/>
                <w:sz w:val="22"/>
                <w:szCs w:val="22"/>
              </w:rPr>
              <w:t>11</w:t>
            </w:r>
          </w:p>
        </w:tc>
        <w:tc>
          <w:tcPr>
            <w:tcW w:w="2182" w:type="pct"/>
            <w:tcBorders>
              <w:top w:val="nil"/>
              <w:left w:val="nil"/>
              <w:bottom w:val="single" w:color="auto" w:sz="4" w:space="0"/>
              <w:right w:val="single" w:color="auto" w:sz="4" w:space="0"/>
            </w:tcBorders>
            <w:shd w:val="clear" w:color="000000" w:fill="FFFFFF"/>
            <w:vAlign w:val="center"/>
          </w:tcPr>
          <w:p>
            <w:pPr>
              <w:jc w:val="center"/>
              <w:rPr>
                <w:rFonts w:ascii="宋体" w:cs="宋体"/>
                <w:color w:val="000000"/>
                <w:sz w:val="22"/>
                <w:szCs w:val="22"/>
              </w:rPr>
            </w:pPr>
            <w:r>
              <w:rPr>
                <w:rFonts w:hint="eastAsia"/>
                <w:color w:val="000000"/>
                <w:sz w:val="22"/>
                <w:szCs w:val="22"/>
              </w:rPr>
              <w:t>集英学校建设项目</w:t>
            </w:r>
          </w:p>
        </w:tc>
        <w:tc>
          <w:tcPr>
            <w:tcW w:w="831" w:type="pct"/>
            <w:tcBorders>
              <w:top w:val="nil"/>
              <w:left w:val="nil"/>
              <w:bottom w:val="single" w:color="auto" w:sz="4" w:space="0"/>
              <w:right w:val="single" w:color="auto" w:sz="4" w:space="0"/>
            </w:tcBorders>
            <w:vAlign w:val="center"/>
          </w:tcPr>
          <w:p>
            <w:pPr>
              <w:jc w:val="center"/>
              <w:rPr>
                <w:rFonts w:ascii="宋体" w:cs="宋体"/>
                <w:color w:val="000000"/>
                <w:sz w:val="22"/>
                <w:szCs w:val="22"/>
              </w:rPr>
            </w:pPr>
            <w:r>
              <w:rPr>
                <w:color w:val="000000"/>
                <w:sz w:val="22"/>
                <w:szCs w:val="22"/>
              </w:rPr>
              <w:t>1700</w:t>
            </w:r>
          </w:p>
        </w:tc>
      </w:tr>
      <w:tr>
        <w:tblPrEx>
          <w:tblCellMar>
            <w:top w:w="0" w:type="dxa"/>
            <w:left w:w="108" w:type="dxa"/>
            <w:bottom w:w="0" w:type="dxa"/>
            <w:right w:w="108" w:type="dxa"/>
          </w:tblCellMar>
        </w:tblPrEx>
        <w:trPr>
          <w:trHeight w:val="360" w:hRule="atLeast"/>
        </w:trPr>
        <w:tc>
          <w:tcPr>
            <w:tcW w:w="1403" w:type="pct"/>
            <w:gridSpan w:val="2"/>
            <w:vMerge w:val="continue"/>
            <w:tcBorders>
              <w:top w:val="nil"/>
              <w:left w:val="single" w:color="auto" w:sz="4" w:space="0"/>
              <w:bottom w:val="single" w:color="000000" w:sz="4" w:space="0"/>
              <w:right w:val="single" w:color="auto" w:sz="4" w:space="0"/>
            </w:tcBorders>
            <w:vAlign w:val="center"/>
          </w:tcPr>
          <w:p>
            <w:pPr>
              <w:rPr>
                <w:rFonts w:ascii="宋体" w:cs="宋体"/>
                <w:color w:val="000000"/>
                <w:sz w:val="22"/>
                <w:szCs w:val="22"/>
              </w:rPr>
            </w:pPr>
          </w:p>
        </w:tc>
        <w:tc>
          <w:tcPr>
            <w:tcW w:w="584" w:type="pct"/>
            <w:tcBorders>
              <w:top w:val="nil"/>
              <w:left w:val="nil"/>
              <w:bottom w:val="single" w:color="auto" w:sz="4" w:space="0"/>
              <w:right w:val="single" w:color="auto" w:sz="4" w:space="0"/>
            </w:tcBorders>
            <w:vAlign w:val="center"/>
          </w:tcPr>
          <w:p>
            <w:pPr>
              <w:jc w:val="center"/>
              <w:rPr>
                <w:rFonts w:ascii="宋体" w:cs="宋体"/>
                <w:color w:val="000000"/>
                <w:sz w:val="22"/>
                <w:szCs w:val="22"/>
              </w:rPr>
            </w:pPr>
            <w:r>
              <w:rPr>
                <w:color w:val="000000"/>
                <w:sz w:val="22"/>
                <w:szCs w:val="22"/>
              </w:rPr>
              <w:t>12</w:t>
            </w:r>
          </w:p>
        </w:tc>
        <w:tc>
          <w:tcPr>
            <w:tcW w:w="2182" w:type="pct"/>
            <w:tcBorders>
              <w:top w:val="nil"/>
              <w:left w:val="nil"/>
              <w:bottom w:val="single" w:color="auto" w:sz="4" w:space="0"/>
              <w:right w:val="single" w:color="auto" w:sz="4" w:space="0"/>
            </w:tcBorders>
            <w:shd w:val="clear" w:color="000000" w:fill="FFFFFF"/>
            <w:vAlign w:val="center"/>
          </w:tcPr>
          <w:p>
            <w:pPr>
              <w:jc w:val="center"/>
              <w:rPr>
                <w:rFonts w:ascii="宋体" w:cs="宋体"/>
                <w:color w:val="000000"/>
                <w:sz w:val="22"/>
                <w:szCs w:val="22"/>
              </w:rPr>
            </w:pPr>
            <w:r>
              <w:rPr>
                <w:rFonts w:hint="eastAsia"/>
                <w:color w:val="000000"/>
                <w:sz w:val="22"/>
                <w:szCs w:val="22"/>
              </w:rPr>
              <w:t>化解大班额</w:t>
            </w:r>
          </w:p>
        </w:tc>
        <w:tc>
          <w:tcPr>
            <w:tcW w:w="831" w:type="pct"/>
            <w:tcBorders>
              <w:top w:val="nil"/>
              <w:left w:val="nil"/>
              <w:bottom w:val="single" w:color="auto" w:sz="4" w:space="0"/>
              <w:right w:val="single" w:color="auto" w:sz="4" w:space="0"/>
            </w:tcBorders>
            <w:vAlign w:val="center"/>
          </w:tcPr>
          <w:p>
            <w:pPr>
              <w:jc w:val="center"/>
              <w:rPr>
                <w:rFonts w:ascii="宋体" w:cs="宋体"/>
                <w:color w:val="000000"/>
                <w:sz w:val="22"/>
                <w:szCs w:val="22"/>
              </w:rPr>
            </w:pPr>
            <w:r>
              <w:rPr>
                <w:color w:val="000000"/>
                <w:sz w:val="22"/>
                <w:szCs w:val="22"/>
              </w:rPr>
              <w:t>2000</w:t>
            </w:r>
          </w:p>
        </w:tc>
      </w:tr>
      <w:tr>
        <w:tblPrEx>
          <w:tblCellMar>
            <w:top w:w="0" w:type="dxa"/>
            <w:left w:w="108" w:type="dxa"/>
            <w:bottom w:w="0" w:type="dxa"/>
            <w:right w:w="108" w:type="dxa"/>
          </w:tblCellMar>
        </w:tblPrEx>
        <w:trPr>
          <w:trHeight w:val="360" w:hRule="atLeast"/>
        </w:trPr>
        <w:tc>
          <w:tcPr>
            <w:tcW w:w="1403" w:type="pct"/>
            <w:gridSpan w:val="2"/>
            <w:vMerge w:val="continue"/>
            <w:tcBorders>
              <w:top w:val="nil"/>
              <w:left w:val="single" w:color="auto" w:sz="4" w:space="0"/>
              <w:bottom w:val="single" w:color="000000" w:sz="4" w:space="0"/>
              <w:right w:val="single" w:color="auto" w:sz="4" w:space="0"/>
            </w:tcBorders>
            <w:vAlign w:val="center"/>
          </w:tcPr>
          <w:p>
            <w:pPr>
              <w:rPr>
                <w:rFonts w:ascii="宋体" w:cs="宋体"/>
                <w:color w:val="000000"/>
                <w:sz w:val="22"/>
                <w:szCs w:val="22"/>
              </w:rPr>
            </w:pPr>
          </w:p>
        </w:tc>
        <w:tc>
          <w:tcPr>
            <w:tcW w:w="584" w:type="pct"/>
            <w:tcBorders>
              <w:top w:val="nil"/>
              <w:left w:val="nil"/>
              <w:bottom w:val="single" w:color="auto" w:sz="4" w:space="0"/>
              <w:right w:val="single" w:color="auto" w:sz="4" w:space="0"/>
            </w:tcBorders>
            <w:vAlign w:val="center"/>
          </w:tcPr>
          <w:p>
            <w:pPr>
              <w:jc w:val="center"/>
              <w:rPr>
                <w:rFonts w:ascii="宋体" w:cs="宋体"/>
                <w:color w:val="000000"/>
                <w:sz w:val="22"/>
                <w:szCs w:val="22"/>
              </w:rPr>
            </w:pPr>
            <w:r>
              <w:rPr>
                <w:color w:val="000000"/>
                <w:sz w:val="22"/>
                <w:szCs w:val="22"/>
              </w:rPr>
              <w:t>13</w:t>
            </w:r>
          </w:p>
        </w:tc>
        <w:tc>
          <w:tcPr>
            <w:tcW w:w="2182" w:type="pct"/>
            <w:tcBorders>
              <w:top w:val="nil"/>
              <w:left w:val="nil"/>
              <w:bottom w:val="single" w:color="auto" w:sz="4" w:space="0"/>
              <w:right w:val="single" w:color="auto" w:sz="4" w:space="0"/>
            </w:tcBorders>
            <w:shd w:val="clear" w:color="000000" w:fill="FFFFFF"/>
            <w:vAlign w:val="center"/>
          </w:tcPr>
          <w:p>
            <w:pPr>
              <w:jc w:val="center"/>
              <w:rPr>
                <w:rFonts w:ascii="宋体" w:cs="宋体"/>
                <w:color w:val="000000"/>
                <w:sz w:val="22"/>
                <w:szCs w:val="22"/>
              </w:rPr>
            </w:pPr>
            <w:r>
              <w:rPr>
                <w:rFonts w:hint="eastAsia"/>
                <w:color w:val="000000"/>
                <w:sz w:val="22"/>
                <w:szCs w:val="22"/>
              </w:rPr>
              <w:t>山区教师岗位津贴</w:t>
            </w:r>
          </w:p>
        </w:tc>
        <w:tc>
          <w:tcPr>
            <w:tcW w:w="831" w:type="pct"/>
            <w:tcBorders>
              <w:top w:val="nil"/>
              <w:left w:val="nil"/>
              <w:bottom w:val="single" w:color="auto" w:sz="4" w:space="0"/>
              <w:right w:val="single" w:color="auto" w:sz="4" w:space="0"/>
            </w:tcBorders>
            <w:vAlign w:val="center"/>
          </w:tcPr>
          <w:p>
            <w:pPr>
              <w:jc w:val="center"/>
              <w:rPr>
                <w:rFonts w:ascii="宋体" w:cs="宋体"/>
                <w:color w:val="000000"/>
                <w:sz w:val="22"/>
                <w:szCs w:val="22"/>
              </w:rPr>
            </w:pPr>
            <w:r>
              <w:rPr>
                <w:color w:val="000000"/>
                <w:sz w:val="22"/>
                <w:szCs w:val="22"/>
              </w:rPr>
              <w:t>250</w:t>
            </w:r>
          </w:p>
        </w:tc>
      </w:tr>
      <w:tr>
        <w:tblPrEx>
          <w:tblCellMar>
            <w:top w:w="0" w:type="dxa"/>
            <w:left w:w="108" w:type="dxa"/>
            <w:bottom w:w="0" w:type="dxa"/>
            <w:right w:w="108" w:type="dxa"/>
          </w:tblCellMar>
        </w:tblPrEx>
        <w:trPr>
          <w:trHeight w:val="360" w:hRule="atLeast"/>
        </w:trPr>
        <w:tc>
          <w:tcPr>
            <w:tcW w:w="1403" w:type="pct"/>
            <w:gridSpan w:val="2"/>
            <w:tcBorders>
              <w:top w:val="nil"/>
              <w:left w:val="single" w:color="auto" w:sz="4" w:space="0"/>
              <w:bottom w:val="single" w:color="auto" w:sz="4" w:space="0"/>
              <w:right w:val="single" w:color="auto" w:sz="4" w:space="0"/>
            </w:tcBorders>
            <w:vAlign w:val="center"/>
          </w:tcPr>
          <w:p>
            <w:pPr>
              <w:jc w:val="center"/>
              <w:rPr>
                <w:rFonts w:ascii="宋体" w:cs="宋体"/>
                <w:color w:val="000000"/>
                <w:sz w:val="22"/>
                <w:szCs w:val="22"/>
              </w:rPr>
            </w:pPr>
            <w:r>
              <w:rPr>
                <w:rFonts w:hint="eastAsia"/>
                <w:color w:val="000000"/>
                <w:sz w:val="22"/>
                <w:szCs w:val="22"/>
              </w:rPr>
              <w:t>科技局</w:t>
            </w:r>
          </w:p>
        </w:tc>
        <w:tc>
          <w:tcPr>
            <w:tcW w:w="584" w:type="pct"/>
            <w:tcBorders>
              <w:top w:val="nil"/>
              <w:left w:val="nil"/>
              <w:bottom w:val="single" w:color="auto" w:sz="4" w:space="0"/>
              <w:right w:val="single" w:color="auto" w:sz="4" w:space="0"/>
            </w:tcBorders>
            <w:vAlign w:val="center"/>
          </w:tcPr>
          <w:p>
            <w:pPr>
              <w:jc w:val="center"/>
              <w:rPr>
                <w:rFonts w:ascii="宋体" w:cs="宋体"/>
                <w:color w:val="000000"/>
                <w:sz w:val="22"/>
                <w:szCs w:val="22"/>
              </w:rPr>
            </w:pPr>
            <w:r>
              <w:rPr>
                <w:color w:val="000000"/>
                <w:sz w:val="22"/>
                <w:szCs w:val="22"/>
              </w:rPr>
              <w:t>14</w:t>
            </w:r>
          </w:p>
        </w:tc>
        <w:tc>
          <w:tcPr>
            <w:tcW w:w="2182" w:type="pct"/>
            <w:tcBorders>
              <w:top w:val="nil"/>
              <w:left w:val="nil"/>
              <w:bottom w:val="single" w:color="auto" w:sz="4" w:space="0"/>
              <w:right w:val="single" w:color="auto" w:sz="4" w:space="0"/>
            </w:tcBorders>
            <w:vAlign w:val="center"/>
          </w:tcPr>
          <w:p>
            <w:pPr>
              <w:jc w:val="center"/>
              <w:rPr>
                <w:rFonts w:ascii="宋体" w:cs="宋体"/>
                <w:color w:val="000000"/>
                <w:sz w:val="22"/>
                <w:szCs w:val="22"/>
              </w:rPr>
            </w:pPr>
            <w:r>
              <w:rPr>
                <w:rFonts w:hint="eastAsia"/>
                <w:color w:val="000000"/>
                <w:sz w:val="22"/>
                <w:szCs w:val="22"/>
              </w:rPr>
              <w:t>科技创新服务平台建设项目</w:t>
            </w:r>
          </w:p>
        </w:tc>
        <w:tc>
          <w:tcPr>
            <w:tcW w:w="831" w:type="pct"/>
            <w:tcBorders>
              <w:top w:val="nil"/>
              <w:left w:val="nil"/>
              <w:bottom w:val="single" w:color="auto" w:sz="4" w:space="0"/>
              <w:right w:val="single" w:color="auto" w:sz="4" w:space="0"/>
            </w:tcBorders>
            <w:noWrap/>
            <w:vAlign w:val="center"/>
          </w:tcPr>
          <w:p>
            <w:pPr>
              <w:jc w:val="center"/>
              <w:rPr>
                <w:rFonts w:ascii="宋体" w:cs="宋体"/>
                <w:color w:val="000000"/>
                <w:sz w:val="22"/>
                <w:szCs w:val="22"/>
              </w:rPr>
            </w:pPr>
            <w:r>
              <w:rPr>
                <w:color w:val="000000"/>
                <w:sz w:val="22"/>
                <w:szCs w:val="22"/>
              </w:rPr>
              <w:t>60</w:t>
            </w:r>
          </w:p>
        </w:tc>
      </w:tr>
      <w:tr>
        <w:tblPrEx>
          <w:tblCellMar>
            <w:top w:w="0" w:type="dxa"/>
            <w:left w:w="108" w:type="dxa"/>
            <w:bottom w:w="0" w:type="dxa"/>
            <w:right w:w="108" w:type="dxa"/>
          </w:tblCellMar>
        </w:tblPrEx>
        <w:trPr>
          <w:trHeight w:val="360" w:hRule="atLeast"/>
        </w:trPr>
        <w:tc>
          <w:tcPr>
            <w:tcW w:w="1403" w:type="pct"/>
            <w:gridSpan w:val="2"/>
            <w:tcBorders>
              <w:top w:val="nil"/>
              <w:left w:val="single" w:color="auto" w:sz="4" w:space="0"/>
              <w:bottom w:val="single" w:color="auto" w:sz="4" w:space="0"/>
              <w:right w:val="single" w:color="auto" w:sz="4" w:space="0"/>
            </w:tcBorders>
            <w:vAlign w:val="center"/>
          </w:tcPr>
          <w:p>
            <w:pPr>
              <w:jc w:val="center"/>
              <w:rPr>
                <w:rFonts w:ascii="宋体" w:cs="宋体"/>
                <w:color w:val="000000"/>
                <w:sz w:val="22"/>
                <w:szCs w:val="22"/>
              </w:rPr>
            </w:pPr>
            <w:r>
              <w:rPr>
                <w:rFonts w:hint="eastAsia"/>
                <w:color w:val="000000"/>
                <w:sz w:val="22"/>
                <w:szCs w:val="22"/>
              </w:rPr>
              <w:t>住建局首创环保公司</w:t>
            </w:r>
          </w:p>
        </w:tc>
        <w:tc>
          <w:tcPr>
            <w:tcW w:w="584" w:type="pct"/>
            <w:tcBorders>
              <w:top w:val="nil"/>
              <w:left w:val="nil"/>
              <w:bottom w:val="single" w:color="auto" w:sz="4" w:space="0"/>
              <w:right w:val="single" w:color="auto" w:sz="4" w:space="0"/>
            </w:tcBorders>
            <w:vAlign w:val="center"/>
          </w:tcPr>
          <w:p>
            <w:pPr>
              <w:jc w:val="center"/>
              <w:rPr>
                <w:rFonts w:ascii="宋体" w:cs="宋体"/>
                <w:color w:val="000000"/>
                <w:sz w:val="22"/>
                <w:szCs w:val="22"/>
              </w:rPr>
            </w:pPr>
            <w:r>
              <w:rPr>
                <w:color w:val="000000"/>
                <w:sz w:val="22"/>
                <w:szCs w:val="22"/>
              </w:rPr>
              <w:t>15</w:t>
            </w:r>
          </w:p>
        </w:tc>
        <w:tc>
          <w:tcPr>
            <w:tcW w:w="2182" w:type="pct"/>
            <w:tcBorders>
              <w:top w:val="nil"/>
              <w:left w:val="nil"/>
              <w:bottom w:val="single" w:color="auto" w:sz="4" w:space="0"/>
              <w:right w:val="single" w:color="auto" w:sz="4" w:space="0"/>
            </w:tcBorders>
            <w:vAlign w:val="center"/>
          </w:tcPr>
          <w:p>
            <w:pPr>
              <w:jc w:val="center"/>
              <w:rPr>
                <w:rFonts w:ascii="宋体" w:cs="宋体"/>
                <w:color w:val="000000"/>
                <w:sz w:val="22"/>
                <w:szCs w:val="22"/>
              </w:rPr>
            </w:pPr>
            <w:r>
              <w:rPr>
                <w:rFonts w:hint="eastAsia"/>
                <w:color w:val="000000"/>
                <w:sz w:val="22"/>
                <w:szCs w:val="22"/>
              </w:rPr>
              <w:t>垃圾处理</w:t>
            </w:r>
          </w:p>
        </w:tc>
        <w:tc>
          <w:tcPr>
            <w:tcW w:w="831" w:type="pct"/>
            <w:tcBorders>
              <w:top w:val="nil"/>
              <w:left w:val="nil"/>
              <w:bottom w:val="single" w:color="auto" w:sz="4" w:space="0"/>
              <w:right w:val="single" w:color="auto" w:sz="4" w:space="0"/>
            </w:tcBorders>
            <w:noWrap/>
            <w:vAlign w:val="center"/>
          </w:tcPr>
          <w:p>
            <w:pPr>
              <w:jc w:val="center"/>
              <w:rPr>
                <w:rFonts w:ascii="宋体" w:cs="宋体"/>
                <w:color w:val="000000"/>
                <w:sz w:val="22"/>
                <w:szCs w:val="22"/>
              </w:rPr>
            </w:pPr>
            <w:r>
              <w:rPr>
                <w:color w:val="000000"/>
                <w:sz w:val="22"/>
                <w:szCs w:val="22"/>
              </w:rPr>
              <w:t>1400</w:t>
            </w:r>
          </w:p>
        </w:tc>
      </w:tr>
      <w:tr>
        <w:tblPrEx>
          <w:tblCellMar>
            <w:top w:w="0" w:type="dxa"/>
            <w:left w:w="108" w:type="dxa"/>
            <w:bottom w:w="0" w:type="dxa"/>
            <w:right w:w="108" w:type="dxa"/>
          </w:tblCellMar>
        </w:tblPrEx>
        <w:trPr>
          <w:trHeight w:val="360" w:hRule="atLeast"/>
        </w:trPr>
        <w:tc>
          <w:tcPr>
            <w:tcW w:w="1403" w:type="pct"/>
            <w:gridSpan w:val="2"/>
            <w:vMerge w:val="restart"/>
            <w:tcBorders>
              <w:top w:val="nil"/>
              <w:left w:val="single" w:color="auto" w:sz="4" w:space="0"/>
              <w:bottom w:val="single" w:color="000000" w:sz="4" w:space="0"/>
              <w:right w:val="single" w:color="auto" w:sz="4" w:space="0"/>
            </w:tcBorders>
            <w:vAlign w:val="center"/>
          </w:tcPr>
          <w:p>
            <w:pPr>
              <w:jc w:val="center"/>
              <w:rPr>
                <w:rFonts w:ascii="宋体" w:cs="宋体"/>
                <w:color w:val="000000"/>
                <w:sz w:val="22"/>
                <w:szCs w:val="22"/>
              </w:rPr>
            </w:pPr>
            <w:r>
              <w:rPr>
                <w:rFonts w:hint="eastAsia"/>
                <w:color w:val="000000"/>
                <w:sz w:val="22"/>
                <w:szCs w:val="22"/>
              </w:rPr>
              <w:t>交通局</w:t>
            </w:r>
          </w:p>
        </w:tc>
        <w:tc>
          <w:tcPr>
            <w:tcW w:w="584" w:type="pct"/>
            <w:tcBorders>
              <w:top w:val="nil"/>
              <w:left w:val="nil"/>
              <w:bottom w:val="single" w:color="auto" w:sz="4" w:space="0"/>
              <w:right w:val="single" w:color="auto" w:sz="4" w:space="0"/>
            </w:tcBorders>
            <w:vAlign w:val="center"/>
          </w:tcPr>
          <w:p>
            <w:pPr>
              <w:jc w:val="center"/>
              <w:rPr>
                <w:rFonts w:ascii="宋体" w:cs="宋体"/>
                <w:color w:val="000000"/>
                <w:sz w:val="22"/>
                <w:szCs w:val="22"/>
              </w:rPr>
            </w:pPr>
            <w:r>
              <w:rPr>
                <w:color w:val="000000"/>
                <w:sz w:val="22"/>
                <w:szCs w:val="22"/>
              </w:rPr>
              <w:t>16</w:t>
            </w:r>
          </w:p>
        </w:tc>
        <w:tc>
          <w:tcPr>
            <w:tcW w:w="2182" w:type="pct"/>
            <w:tcBorders>
              <w:top w:val="nil"/>
              <w:left w:val="nil"/>
              <w:bottom w:val="single" w:color="auto" w:sz="4" w:space="0"/>
              <w:right w:val="single" w:color="auto" w:sz="4" w:space="0"/>
            </w:tcBorders>
            <w:vAlign w:val="center"/>
          </w:tcPr>
          <w:p>
            <w:pPr>
              <w:jc w:val="center"/>
              <w:rPr>
                <w:rFonts w:ascii="宋体" w:cs="宋体"/>
                <w:color w:val="000000"/>
                <w:sz w:val="22"/>
                <w:szCs w:val="22"/>
              </w:rPr>
            </w:pPr>
            <w:r>
              <w:rPr>
                <w:rFonts w:hint="eastAsia"/>
                <w:color w:val="000000"/>
                <w:sz w:val="22"/>
                <w:szCs w:val="22"/>
              </w:rPr>
              <w:t>长丰北路拓改</w:t>
            </w:r>
          </w:p>
        </w:tc>
        <w:tc>
          <w:tcPr>
            <w:tcW w:w="831" w:type="pct"/>
            <w:tcBorders>
              <w:top w:val="nil"/>
              <w:left w:val="nil"/>
              <w:bottom w:val="single" w:color="auto" w:sz="4" w:space="0"/>
              <w:right w:val="single" w:color="auto" w:sz="4" w:space="0"/>
            </w:tcBorders>
            <w:noWrap/>
            <w:vAlign w:val="center"/>
          </w:tcPr>
          <w:p>
            <w:pPr>
              <w:jc w:val="center"/>
              <w:rPr>
                <w:rFonts w:ascii="宋体" w:cs="宋体"/>
                <w:color w:val="000000"/>
                <w:sz w:val="22"/>
                <w:szCs w:val="22"/>
              </w:rPr>
            </w:pPr>
            <w:r>
              <w:rPr>
                <w:color w:val="000000"/>
                <w:sz w:val="22"/>
                <w:szCs w:val="22"/>
              </w:rPr>
              <w:t>12000</w:t>
            </w:r>
          </w:p>
        </w:tc>
      </w:tr>
      <w:tr>
        <w:tblPrEx>
          <w:tblCellMar>
            <w:top w:w="0" w:type="dxa"/>
            <w:left w:w="108" w:type="dxa"/>
            <w:bottom w:w="0" w:type="dxa"/>
            <w:right w:w="108" w:type="dxa"/>
          </w:tblCellMar>
        </w:tblPrEx>
        <w:trPr>
          <w:trHeight w:val="360" w:hRule="atLeast"/>
        </w:trPr>
        <w:tc>
          <w:tcPr>
            <w:tcW w:w="1403" w:type="pct"/>
            <w:gridSpan w:val="2"/>
            <w:vMerge w:val="continue"/>
            <w:tcBorders>
              <w:top w:val="nil"/>
              <w:left w:val="single" w:color="auto" w:sz="4" w:space="0"/>
              <w:bottom w:val="single" w:color="000000" w:sz="4" w:space="0"/>
              <w:right w:val="single" w:color="auto" w:sz="4" w:space="0"/>
            </w:tcBorders>
            <w:vAlign w:val="center"/>
          </w:tcPr>
          <w:p>
            <w:pPr>
              <w:rPr>
                <w:rFonts w:ascii="宋体" w:cs="宋体"/>
                <w:color w:val="000000"/>
                <w:sz w:val="22"/>
                <w:szCs w:val="22"/>
              </w:rPr>
            </w:pPr>
          </w:p>
        </w:tc>
        <w:tc>
          <w:tcPr>
            <w:tcW w:w="584" w:type="pct"/>
            <w:tcBorders>
              <w:top w:val="nil"/>
              <w:left w:val="nil"/>
              <w:bottom w:val="single" w:color="auto" w:sz="4" w:space="0"/>
              <w:right w:val="single" w:color="auto" w:sz="4" w:space="0"/>
            </w:tcBorders>
            <w:vAlign w:val="center"/>
          </w:tcPr>
          <w:p>
            <w:pPr>
              <w:jc w:val="center"/>
              <w:rPr>
                <w:rFonts w:ascii="宋体" w:cs="宋体"/>
                <w:color w:val="000000"/>
                <w:sz w:val="22"/>
                <w:szCs w:val="22"/>
              </w:rPr>
            </w:pPr>
            <w:r>
              <w:rPr>
                <w:color w:val="000000"/>
                <w:sz w:val="22"/>
                <w:szCs w:val="22"/>
              </w:rPr>
              <w:t>17</w:t>
            </w:r>
          </w:p>
        </w:tc>
        <w:tc>
          <w:tcPr>
            <w:tcW w:w="2182" w:type="pct"/>
            <w:tcBorders>
              <w:top w:val="nil"/>
              <w:left w:val="nil"/>
              <w:bottom w:val="single" w:color="auto" w:sz="4" w:space="0"/>
              <w:right w:val="single" w:color="auto" w:sz="4" w:space="0"/>
            </w:tcBorders>
            <w:vAlign w:val="center"/>
          </w:tcPr>
          <w:p>
            <w:pPr>
              <w:jc w:val="center"/>
              <w:rPr>
                <w:rFonts w:ascii="宋体" w:cs="宋体"/>
                <w:color w:val="000000"/>
                <w:sz w:val="22"/>
                <w:szCs w:val="22"/>
              </w:rPr>
            </w:pPr>
            <w:r>
              <w:rPr>
                <w:rFonts w:hint="eastAsia"/>
                <w:color w:val="000000"/>
                <w:sz w:val="22"/>
                <w:szCs w:val="22"/>
              </w:rPr>
              <w:t>滨水东路南延</w:t>
            </w:r>
          </w:p>
        </w:tc>
        <w:tc>
          <w:tcPr>
            <w:tcW w:w="831" w:type="pct"/>
            <w:tcBorders>
              <w:top w:val="nil"/>
              <w:left w:val="nil"/>
              <w:bottom w:val="single" w:color="auto" w:sz="4" w:space="0"/>
              <w:right w:val="single" w:color="auto" w:sz="4" w:space="0"/>
            </w:tcBorders>
            <w:noWrap/>
            <w:vAlign w:val="center"/>
          </w:tcPr>
          <w:p>
            <w:pPr>
              <w:jc w:val="center"/>
              <w:rPr>
                <w:rFonts w:ascii="宋体" w:cs="宋体"/>
                <w:color w:val="000000"/>
                <w:sz w:val="22"/>
                <w:szCs w:val="22"/>
              </w:rPr>
            </w:pPr>
            <w:r>
              <w:rPr>
                <w:color w:val="000000"/>
                <w:sz w:val="22"/>
                <w:szCs w:val="22"/>
              </w:rPr>
              <w:t>10000</w:t>
            </w:r>
          </w:p>
        </w:tc>
      </w:tr>
      <w:tr>
        <w:tblPrEx>
          <w:tblCellMar>
            <w:top w:w="0" w:type="dxa"/>
            <w:left w:w="108" w:type="dxa"/>
            <w:bottom w:w="0" w:type="dxa"/>
            <w:right w:w="108" w:type="dxa"/>
          </w:tblCellMar>
        </w:tblPrEx>
        <w:trPr>
          <w:trHeight w:val="360" w:hRule="atLeast"/>
        </w:trPr>
        <w:tc>
          <w:tcPr>
            <w:tcW w:w="1403" w:type="pct"/>
            <w:gridSpan w:val="2"/>
            <w:vMerge w:val="continue"/>
            <w:tcBorders>
              <w:top w:val="nil"/>
              <w:left w:val="single" w:color="auto" w:sz="4" w:space="0"/>
              <w:bottom w:val="single" w:color="000000" w:sz="4" w:space="0"/>
              <w:right w:val="single" w:color="auto" w:sz="4" w:space="0"/>
            </w:tcBorders>
            <w:vAlign w:val="center"/>
          </w:tcPr>
          <w:p>
            <w:pPr>
              <w:rPr>
                <w:rFonts w:ascii="宋体" w:cs="宋体"/>
                <w:color w:val="000000"/>
                <w:sz w:val="22"/>
                <w:szCs w:val="22"/>
              </w:rPr>
            </w:pPr>
          </w:p>
        </w:tc>
        <w:tc>
          <w:tcPr>
            <w:tcW w:w="584" w:type="pct"/>
            <w:tcBorders>
              <w:top w:val="nil"/>
              <w:left w:val="nil"/>
              <w:bottom w:val="single" w:color="auto" w:sz="4" w:space="0"/>
              <w:right w:val="single" w:color="auto" w:sz="4" w:space="0"/>
            </w:tcBorders>
            <w:vAlign w:val="center"/>
          </w:tcPr>
          <w:p>
            <w:pPr>
              <w:jc w:val="center"/>
              <w:rPr>
                <w:rFonts w:ascii="宋体" w:cs="宋体"/>
                <w:color w:val="000000"/>
                <w:sz w:val="22"/>
                <w:szCs w:val="22"/>
              </w:rPr>
            </w:pPr>
            <w:r>
              <w:rPr>
                <w:color w:val="000000"/>
                <w:sz w:val="22"/>
                <w:szCs w:val="22"/>
              </w:rPr>
              <w:t>18</w:t>
            </w:r>
          </w:p>
        </w:tc>
        <w:tc>
          <w:tcPr>
            <w:tcW w:w="2182" w:type="pct"/>
            <w:tcBorders>
              <w:top w:val="nil"/>
              <w:left w:val="nil"/>
              <w:bottom w:val="single" w:color="auto" w:sz="4" w:space="0"/>
              <w:right w:val="single" w:color="auto" w:sz="4" w:space="0"/>
            </w:tcBorders>
            <w:vAlign w:val="center"/>
          </w:tcPr>
          <w:p>
            <w:pPr>
              <w:jc w:val="center"/>
              <w:rPr>
                <w:rFonts w:ascii="宋体" w:cs="宋体"/>
                <w:color w:val="000000"/>
                <w:sz w:val="22"/>
                <w:szCs w:val="22"/>
              </w:rPr>
            </w:pPr>
            <w:r>
              <w:rPr>
                <w:rFonts w:hint="eastAsia"/>
                <w:color w:val="000000"/>
                <w:sz w:val="22"/>
                <w:szCs w:val="22"/>
              </w:rPr>
              <w:t>农村公路建设</w:t>
            </w:r>
          </w:p>
        </w:tc>
        <w:tc>
          <w:tcPr>
            <w:tcW w:w="831" w:type="pct"/>
            <w:tcBorders>
              <w:top w:val="nil"/>
              <w:left w:val="nil"/>
              <w:bottom w:val="single" w:color="auto" w:sz="4" w:space="0"/>
              <w:right w:val="single" w:color="auto" w:sz="4" w:space="0"/>
            </w:tcBorders>
            <w:noWrap/>
            <w:vAlign w:val="center"/>
          </w:tcPr>
          <w:p>
            <w:pPr>
              <w:jc w:val="center"/>
              <w:rPr>
                <w:rFonts w:ascii="宋体" w:cs="宋体"/>
                <w:color w:val="000000"/>
                <w:sz w:val="22"/>
                <w:szCs w:val="22"/>
              </w:rPr>
            </w:pPr>
            <w:r>
              <w:rPr>
                <w:color w:val="000000"/>
                <w:sz w:val="22"/>
                <w:szCs w:val="22"/>
              </w:rPr>
              <w:t>7900</w:t>
            </w:r>
          </w:p>
        </w:tc>
      </w:tr>
      <w:tr>
        <w:tblPrEx>
          <w:tblCellMar>
            <w:top w:w="0" w:type="dxa"/>
            <w:left w:w="108" w:type="dxa"/>
            <w:bottom w:w="0" w:type="dxa"/>
            <w:right w:w="108" w:type="dxa"/>
          </w:tblCellMar>
        </w:tblPrEx>
        <w:trPr>
          <w:trHeight w:val="360" w:hRule="atLeast"/>
        </w:trPr>
        <w:tc>
          <w:tcPr>
            <w:tcW w:w="1403" w:type="pct"/>
            <w:gridSpan w:val="2"/>
            <w:vMerge w:val="continue"/>
            <w:tcBorders>
              <w:top w:val="nil"/>
              <w:left w:val="single" w:color="auto" w:sz="4" w:space="0"/>
              <w:bottom w:val="single" w:color="000000" w:sz="4" w:space="0"/>
              <w:right w:val="single" w:color="auto" w:sz="4" w:space="0"/>
            </w:tcBorders>
            <w:vAlign w:val="center"/>
          </w:tcPr>
          <w:p>
            <w:pPr>
              <w:rPr>
                <w:rFonts w:ascii="宋体" w:cs="宋体"/>
                <w:color w:val="000000"/>
                <w:sz w:val="22"/>
                <w:szCs w:val="22"/>
              </w:rPr>
            </w:pPr>
          </w:p>
        </w:tc>
        <w:tc>
          <w:tcPr>
            <w:tcW w:w="584" w:type="pct"/>
            <w:tcBorders>
              <w:top w:val="nil"/>
              <w:left w:val="nil"/>
              <w:bottom w:val="single" w:color="auto" w:sz="4" w:space="0"/>
              <w:right w:val="single" w:color="auto" w:sz="4" w:space="0"/>
            </w:tcBorders>
            <w:vAlign w:val="center"/>
          </w:tcPr>
          <w:p>
            <w:pPr>
              <w:jc w:val="center"/>
              <w:rPr>
                <w:rFonts w:ascii="宋体" w:cs="宋体"/>
                <w:color w:val="000000"/>
                <w:sz w:val="22"/>
                <w:szCs w:val="22"/>
              </w:rPr>
            </w:pPr>
            <w:r>
              <w:rPr>
                <w:color w:val="000000"/>
                <w:sz w:val="22"/>
                <w:szCs w:val="22"/>
              </w:rPr>
              <w:t>19</w:t>
            </w:r>
          </w:p>
        </w:tc>
        <w:tc>
          <w:tcPr>
            <w:tcW w:w="2182" w:type="pct"/>
            <w:tcBorders>
              <w:top w:val="nil"/>
              <w:left w:val="nil"/>
              <w:bottom w:val="single" w:color="auto" w:sz="4" w:space="0"/>
              <w:right w:val="single" w:color="auto" w:sz="4" w:space="0"/>
            </w:tcBorders>
            <w:vAlign w:val="center"/>
          </w:tcPr>
          <w:p>
            <w:pPr>
              <w:jc w:val="center"/>
              <w:rPr>
                <w:rFonts w:ascii="宋体" w:cs="宋体"/>
                <w:color w:val="000000"/>
                <w:sz w:val="22"/>
                <w:szCs w:val="22"/>
              </w:rPr>
            </w:pPr>
            <w:r>
              <w:rPr>
                <w:rFonts w:hint="eastAsia"/>
                <w:color w:val="000000"/>
                <w:sz w:val="22"/>
                <w:szCs w:val="22"/>
              </w:rPr>
              <w:t>公路养护</w:t>
            </w:r>
          </w:p>
        </w:tc>
        <w:tc>
          <w:tcPr>
            <w:tcW w:w="831" w:type="pct"/>
            <w:tcBorders>
              <w:top w:val="nil"/>
              <w:left w:val="nil"/>
              <w:bottom w:val="single" w:color="auto" w:sz="4" w:space="0"/>
              <w:right w:val="single" w:color="auto" w:sz="4" w:space="0"/>
            </w:tcBorders>
            <w:noWrap/>
            <w:vAlign w:val="center"/>
          </w:tcPr>
          <w:p>
            <w:pPr>
              <w:jc w:val="center"/>
              <w:rPr>
                <w:rFonts w:ascii="宋体" w:cs="宋体"/>
                <w:color w:val="000000"/>
                <w:sz w:val="22"/>
                <w:szCs w:val="22"/>
              </w:rPr>
            </w:pPr>
            <w:r>
              <w:rPr>
                <w:color w:val="000000"/>
                <w:sz w:val="22"/>
                <w:szCs w:val="22"/>
              </w:rPr>
              <w:t>700</w:t>
            </w:r>
          </w:p>
        </w:tc>
      </w:tr>
      <w:tr>
        <w:tblPrEx>
          <w:tblCellMar>
            <w:top w:w="0" w:type="dxa"/>
            <w:left w:w="108" w:type="dxa"/>
            <w:bottom w:w="0" w:type="dxa"/>
            <w:right w:w="108" w:type="dxa"/>
          </w:tblCellMar>
        </w:tblPrEx>
        <w:trPr>
          <w:trHeight w:val="360" w:hRule="atLeast"/>
        </w:trPr>
        <w:tc>
          <w:tcPr>
            <w:tcW w:w="1403" w:type="pct"/>
            <w:gridSpan w:val="2"/>
            <w:tcBorders>
              <w:top w:val="nil"/>
              <w:left w:val="single" w:color="auto" w:sz="4" w:space="0"/>
              <w:bottom w:val="single" w:color="auto" w:sz="4" w:space="0"/>
              <w:right w:val="single" w:color="auto" w:sz="4" w:space="0"/>
            </w:tcBorders>
            <w:vAlign w:val="center"/>
          </w:tcPr>
          <w:p>
            <w:pPr>
              <w:jc w:val="center"/>
              <w:rPr>
                <w:rFonts w:ascii="宋体" w:cs="宋体"/>
                <w:color w:val="000000"/>
                <w:sz w:val="22"/>
                <w:szCs w:val="22"/>
              </w:rPr>
            </w:pPr>
            <w:r>
              <w:rPr>
                <w:rFonts w:hint="eastAsia"/>
                <w:color w:val="000000"/>
                <w:sz w:val="22"/>
                <w:szCs w:val="22"/>
              </w:rPr>
              <w:t>农业农村局机关</w:t>
            </w:r>
          </w:p>
        </w:tc>
        <w:tc>
          <w:tcPr>
            <w:tcW w:w="584" w:type="pct"/>
            <w:tcBorders>
              <w:top w:val="nil"/>
              <w:left w:val="nil"/>
              <w:bottom w:val="single" w:color="auto" w:sz="4" w:space="0"/>
              <w:right w:val="single" w:color="auto" w:sz="4" w:space="0"/>
            </w:tcBorders>
            <w:vAlign w:val="center"/>
          </w:tcPr>
          <w:p>
            <w:pPr>
              <w:jc w:val="center"/>
              <w:rPr>
                <w:rFonts w:ascii="宋体" w:cs="宋体"/>
                <w:color w:val="000000"/>
                <w:sz w:val="22"/>
                <w:szCs w:val="22"/>
              </w:rPr>
            </w:pPr>
            <w:r>
              <w:rPr>
                <w:color w:val="000000"/>
                <w:sz w:val="22"/>
                <w:szCs w:val="22"/>
              </w:rPr>
              <w:t>20</w:t>
            </w:r>
          </w:p>
        </w:tc>
        <w:tc>
          <w:tcPr>
            <w:tcW w:w="2182" w:type="pct"/>
            <w:tcBorders>
              <w:top w:val="nil"/>
              <w:left w:val="nil"/>
              <w:bottom w:val="single" w:color="auto" w:sz="4" w:space="0"/>
              <w:right w:val="single" w:color="auto" w:sz="4" w:space="0"/>
            </w:tcBorders>
            <w:vAlign w:val="center"/>
          </w:tcPr>
          <w:p>
            <w:pPr>
              <w:jc w:val="center"/>
              <w:rPr>
                <w:rFonts w:ascii="宋体" w:cs="宋体"/>
                <w:color w:val="000000"/>
                <w:sz w:val="22"/>
                <w:szCs w:val="22"/>
              </w:rPr>
            </w:pPr>
            <w:r>
              <w:rPr>
                <w:rFonts w:hint="eastAsia"/>
                <w:color w:val="000000"/>
                <w:sz w:val="22"/>
                <w:szCs w:val="22"/>
              </w:rPr>
              <w:t>农村环境整治</w:t>
            </w:r>
          </w:p>
        </w:tc>
        <w:tc>
          <w:tcPr>
            <w:tcW w:w="831" w:type="pct"/>
            <w:tcBorders>
              <w:top w:val="nil"/>
              <w:left w:val="nil"/>
              <w:bottom w:val="single" w:color="auto" w:sz="4" w:space="0"/>
              <w:right w:val="single" w:color="auto" w:sz="4" w:space="0"/>
            </w:tcBorders>
            <w:noWrap/>
            <w:vAlign w:val="center"/>
          </w:tcPr>
          <w:p>
            <w:pPr>
              <w:jc w:val="center"/>
              <w:rPr>
                <w:rFonts w:ascii="宋体" w:cs="宋体"/>
                <w:color w:val="000000"/>
                <w:sz w:val="22"/>
                <w:szCs w:val="22"/>
              </w:rPr>
            </w:pPr>
            <w:r>
              <w:rPr>
                <w:color w:val="000000"/>
                <w:sz w:val="22"/>
                <w:szCs w:val="22"/>
              </w:rPr>
              <w:t>1909</w:t>
            </w:r>
          </w:p>
        </w:tc>
      </w:tr>
      <w:tr>
        <w:tblPrEx>
          <w:tblCellMar>
            <w:top w:w="0" w:type="dxa"/>
            <w:left w:w="108" w:type="dxa"/>
            <w:bottom w:w="0" w:type="dxa"/>
            <w:right w:w="108" w:type="dxa"/>
          </w:tblCellMar>
        </w:tblPrEx>
        <w:trPr>
          <w:trHeight w:val="360" w:hRule="atLeast"/>
        </w:trPr>
        <w:tc>
          <w:tcPr>
            <w:tcW w:w="1403" w:type="pct"/>
            <w:gridSpan w:val="2"/>
            <w:tcBorders>
              <w:top w:val="nil"/>
              <w:left w:val="single" w:color="auto" w:sz="4" w:space="0"/>
              <w:bottom w:val="single" w:color="auto" w:sz="4" w:space="0"/>
              <w:right w:val="single" w:color="auto" w:sz="4" w:space="0"/>
            </w:tcBorders>
            <w:vAlign w:val="center"/>
          </w:tcPr>
          <w:p>
            <w:pPr>
              <w:jc w:val="center"/>
              <w:rPr>
                <w:rFonts w:ascii="宋体" w:cs="宋体"/>
                <w:color w:val="000000"/>
                <w:sz w:val="22"/>
                <w:szCs w:val="22"/>
              </w:rPr>
            </w:pPr>
            <w:r>
              <w:rPr>
                <w:rFonts w:hint="eastAsia"/>
                <w:color w:val="000000"/>
                <w:sz w:val="22"/>
                <w:szCs w:val="22"/>
              </w:rPr>
              <w:t>扶贫办</w:t>
            </w:r>
          </w:p>
        </w:tc>
        <w:tc>
          <w:tcPr>
            <w:tcW w:w="584" w:type="pct"/>
            <w:tcBorders>
              <w:top w:val="nil"/>
              <w:left w:val="nil"/>
              <w:bottom w:val="single" w:color="auto" w:sz="4" w:space="0"/>
              <w:right w:val="single" w:color="auto" w:sz="4" w:space="0"/>
            </w:tcBorders>
            <w:vAlign w:val="center"/>
          </w:tcPr>
          <w:p>
            <w:pPr>
              <w:jc w:val="center"/>
              <w:rPr>
                <w:rFonts w:ascii="宋体" w:cs="宋体"/>
                <w:color w:val="000000"/>
                <w:sz w:val="22"/>
                <w:szCs w:val="22"/>
              </w:rPr>
            </w:pPr>
            <w:r>
              <w:rPr>
                <w:color w:val="000000"/>
                <w:sz w:val="22"/>
                <w:szCs w:val="22"/>
              </w:rPr>
              <w:t>21</w:t>
            </w:r>
          </w:p>
        </w:tc>
        <w:tc>
          <w:tcPr>
            <w:tcW w:w="2182" w:type="pct"/>
            <w:tcBorders>
              <w:top w:val="nil"/>
              <w:left w:val="nil"/>
              <w:bottom w:val="single" w:color="auto" w:sz="4" w:space="0"/>
              <w:right w:val="single" w:color="auto" w:sz="4" w:space="0"/>
            </w:tcBorders>
            <w:vAlign w:val="center"/>
          </w:tcPr>
          <w:p>
            <w:pPr>
              <w:jc w:val="center"/>
              <w:rPr>
                <w:rFonts w:ascii="宋体" w:cs="宋体"/>
                <w:color w:val="000000"/>
                <w:sz w:val="22"/>
                <w:szCs w:val="22"/>
              </w:rPr>
            </w:pPr>
            <w:r>
              <w:rPr>
                <w:rFonts w:hint="eastAsia"/>
                <w:color w:val="000000"/>
                <w:sz w:val="22"/>
                <w:szCs w:val="22"/>
              </w:rPr>
              <w:t>精准扶贫</w:t>
            </w:r>
          </w:p>
        </w:tc>
        <w:tc>
          <w:tcPr>
            <w:tcW w:w="831" w:type="pct"/>
            <w:tcBorders>
              <w:top w:val="nil"/>
              <w:left w:val="nil"/>
              <w:bottom w:val="single" w:color="auto" w:sz="4" w:space="0"/>
              <w:right w:val="single" w:color="auto" w:sz="4" w:space="0"/>
            </w:tcBorders>
            <w:noWrap/>
            <w:vAlign w:val="center"/>
          </w:tcPr>
          <w:p>
            <w:pPr>
              <w:jc w:val="center"/>
              <w:rPr>
                <w:rFonts w:ascii="宋体" w:cs="宋体"/>
                <w:color w:val="000000"/>
                <w:sz w:val="22"/>
                <w:szCs w:val="22"/>
              </w:rPr>
            </w:pPr>
            <w:r>
              <w:rPr>
                <w:color w:val="000000"/>
                <w:sz w:val="22"/>
                <w:szCs w:val="22"/>
              </w:rPr>
              <w:t>3479</w:t>
            </w:r>
          </w:p>
        </w:tc>
      </w:tr>
      <w:tr>
        <w:tblPrEx>
          <w:tblCellMar>
            <w:top w:w="0" w:type="dxa"/>
            <w:left w:w="108" w:type="dxa"/>
            <w:bottom w:w="0" w:type="dxa"/>
            <w:right w:w="108" w:type="dxa"/>
          </w:tblCellMar>
        </w:tblPrEx>
        <w:trPr>
          <w:trHeight w:val="360" w:hRule="atLeast"/>
        </w:trPr>
        <w:tc>
          <w:tcPr>
            <w:tcW w:w="1403" w:type="pct"/>
            <w:gridSpan w:val="2"/>
            <w:tcBorders>
              <w:top w:val="nil"/>
              <w:left w:val="single" w:color="auto" w:sz="4" w:space="0"/>
              <w:bottom w:val="single" w:color="auto" w:sz="4" w:space="0"/>
              <w:right w:val="single" w:color="auto" w:sz="4" w:space="0"/>
            </w:tcBorders>
            <w:vAlign w:val="center"/>
          </w:tcPr>
          <w:p>
            <w:pPr>
              <w:jc w:val="center"/>
              <w:rPr>
                <w:rFonts w:ascii="宋体" w:cs="宋体"/>
                <w:color w:val="000000"/>
                <w:sz w:val="22"/>
                <w:szCs w:val="22"/>
              </w:rPr>
            </w:pPr>
            <w:r>
              <w:rPr>
                <w:rFonts w:hint="eastAsia"/>
                <w:color w:val="000000"/>
                <w:sz w:val="22"/>
                <w:szCs w:val="22"/>
              </w:rPr>
              <w:t>林业局机关</w:t>
            </w:r>
          </w:p>
        </w:tc>
        <w:tc>
          <w:tcPr>
            <w:tcW w:w="584" w:type="pct"/>
            <w:tcBorders>
              <w:top w:val="nil"/>
              <w:left w:val="nil"/>
              <w:bottom w:val="single" w:color="auto" w:sz="4" w:space="0"/>
              <w:right w:val="single" w:color="auto" w:sz="4" w:space="0"/>
            </w:tcBorders>
            <w:vAlign w:val="center"/>
          </w:tcPr>
          <w:p>
            <w:pPr>
              <w:jc w:val="center"/>
              <w:rPr>
                <w:rFonts w:ascii="宋体" w:cs="宋体"/>
                <w:color w:val="000000"/>
                <w:sz w:val="22"/>
                <w:szCs w:val="22"/>
              </w:rPr>
            </w:pPr>
            <w:r>
              <w:rPr>
                <w:color w:val="000000"/>
                <w:sz w:val="22"/>
                <w:szCs w:val="22"/>
              </w:rPr>
              <w:t>22</w:t>
            </w:r>
          </w:p>
        </w:tc>
        <w:tc>
          <w:tcPr>
            <w:tcW w:w="2182" w:type="pct"/>
            <w:tcBorders>
              <w:top w:val="nil"/>
              <w:left w:val="nil"/>
              <w:bottom w:val="single" w:color="auto" w:sz="4" w:space="0"/>
              <w:right w:val="single" w:color="auto" w:sz="4" w:space="0"/>
            </w:tcBorders>
            <w:vAlign w:val="center"/>
          </w:tcPr>
          <w:p>
            <w:pPr>
              <w:jc w:val="center"/>
              <w:rPr>
                <w:rFonts w:ascii="宋体" w:cs="宋体"/>
                <w:color w:val="000000"/>
                <w:sz w:val="22"/>
                <w:szCs w:val="22"/>
              </w:rPr>
            </w:pPr>
            <w:r>
              <w:rPr>
                <w:rFonts w:hint="eastAsia"/>
                <w:color w:val="000000"/>
                <w:sz w:val="22"/>
                <w:szCs w:val="22"/>
              </w:rPr>
              <w:t>森林防火</w:t>
            </w:r>
          </w:p>
        </w:tc>
        <w:tc>
          <w:tcPr>
            <w:tcW w:w="831" w:type="pct"/>
            <w:tcBorders>
              <w:top w:val="nil"/>
              <w:left w:val="nil"/>
              <w:bottom w:val="single" w:color="auto" w:sz="4" w:space="0"/>
              <w:right w:val="single" w:color="auto" w:sz="4" w:space="0"/>
            </w:tcBorders>
            <w:noWrap/>
            <w:vAlign w:val="center"/>
          </w:tcPr>
          <w:p>
            <w:pPr>
              <w:jc w:val="center"/>
              <w:rPr>
                <w:rFonts w:ascii="宋体" w:cs="宋体"/>
                <w:color w:val="000000"/>
                <w:sz w:val="22"/>
                <w:szCs w:val="22"/>
              </w:rPr>
            </w:pPr>
            <w:r>
              <w:rPr>
                <w:color w:val="000000"/>
                <w:sz w:val="22"/>
                <w:szCs w:val="22"/>
              </w:rPr>
              <w:t>35</w:t>
            </w:r>
          </w:p>
        </w:tc>
      </w:tr>
      <w:tr>
        <w:tblPrEx>
          <w:tblCellMar>
            <w:top w:w="0" w:type="dxa"/>
            <w:left w:w="108" w:type="dxa"/>
            <w:bottom w:w="0" w:type="dxa"/>
            <w:right w:w="108" w:type="dxa"/>
          </w:tblCellMar>
        </w:tblPrEx>
        <w:trPr>
          <w:trHeight w:val="360" w:hRule="atLeast"/>
        </w:trPr>
        <w:tc>
          <w:tcPr>
            <w:tcW w:w="1403" w:type="pct"/>
            <w:gridSpan w:val="2"/>
            <w:tcBorders>
              <w:top w:val="nil"/>
              <w:left w:val="single" w:color="auto" w:sz="4" w:space="0"/>
              <w:bottom w:val="single" w:color="auto" w:sz="4" w:space="0"/>
              <w:right w:val="single" w:color="auto" w:sz="4" w:space="0"/>
            </w:tcBorders>
            <w:vAlign w:val="center"/>
          </w:tcPr>
          <w:p>
            <w:pPr>
              <w:jc w:val="center"/>
              <w:rPr>
                <w:rFonts w:ascii="宋体" w:cs="宋体"/>
                <w:color w:val="000000"/>
                <w:sz w:val="22"/>
                <w:szCs w:val="22"/>
              </w:rPr>
            </w:pPr>
            <w:r>
              <w:rPr>
                <w:rFonts w:hint="eastAsia"/>
                <w:color w:val="000000"/>
                <w:sz w:val="22"/>
                <w:szCs w:val="22"/>
              </w:rPr>
              <w:t>渔政局</w:t>
            </w:r>
          </w:p>
        </w:tc>
        <w:tc>
          <w:tcPr>
            <w:tcW w:w="584" w:type="pct"/>
            <w:tcBorders>
              <w:top w:val="nil"/>
              <w:left w:val="nil"/>
              <w:bottom w:val="single" w:color="auto" w:sz="4" w:space="0"/>
              <w:right w:val="single" w:color="auto" w:sz="4" w:space="0"/>
            </w:tcBorders>
            <w:vAlign w:val="center"/>
          </w:tcPr>
          <w:p>
            <w:pPr>
              <w:jc w:val="center"/>
              <w:rPr>
                <w:rFonts w:ascii="宋体" w:cs="宋体"/>
                <w:color w:val="000000"/>
                <w:sz w:val="22"/>
                <w:szCs w:val="22"/>
              </w:rPr>
            </w:pPr>
            <w:r>
              <w:rPr>
                <w:color w:val="000000"/>
                <w:sz w:val="22"/>
                <w:szCs w:val="22"/>
              </w:rPr>
              <w:t>23</w:t>
            </w:r>
          </w:p>
        </w:tc>
        <w:tc>
          <w:tcPr>
            <w:tcW w:w="2182" w:type="pct"/>
            <w:tcBorders>
              <w:top w:val="nil"/>
              <w:left w:val="nil"/>
              <w:bottom w:val="single" w:color="auto" w:sz="4" w:space="0"/>
              <w:right w:val="single" w:color="auto" w:sz="4" w:space="0"/>
            </w:tcBorders>
            <w:vAlign w:val="center"/>
          </w:tcPr>
          <w:p>
            <w:pPr>
              <w:jc w:val="center"/>
              <w:rPr>
                <w:rFonts w:ascii="宋体" w:cs="宋体"/>
                <w:color w:val="000000"/>
                <w:sz w:val="22"/>
                <w:szCs w:val="22"/>
              </w:rPr>
            </w:pPr>
            <w:r>
              <w:rPr>
                <w:rFonts w:hint="eastAsia"/>
                <w:color w:val="000000"/>
                <w:sz w:val="22"/>
                <w:szCs w:val="22"/>
              </w:rPr>
              <w:t>打击非法捕捞</w:t>
            </w:r>
          </w:p>
        </w:tc>
        <w:tc>
          <w:tcPr>
            <w:tcW w:w="831" w:type="pct"/>
            <w:tcBorders>
              <w:top w:val="nil"/>
              <w:left w:val="nil"/>
              <w:bottom w:val="single" w:color="auto" w:sz="4" w:space="0"/>
              <w:right w:val="single" w:color="auto" w:sz="4" w:space="0"/>
            </w:tcBorders>
            <w:noWrap/>
            <w:vAlign w:val="center"/>
          </w:tcPr>
          <w:p>
            <w:pPr>
              <w:jc w:val="center"/>
              <w:rPr>
                <w:rFonts w:ascii="宋体" w:cs="宋体"/>
                <w:color w:val="000000"/>
                <w:sz w:val="22"/>
                <w:szCs w:val="22"/>
              </w:rPr>
            </w:pPr>
            <w:r>
              <w:rPr>
                <w:color w:val="000000"/>
                <w:sz w:val="22"/>
                <w:szCs w:val="22"/>
              </w:rPr>
              <w:t>109</w:t>
            </w:r>
          </w:p>
        </w:tc>
      </w:tr>
      <w:tr>
        <w:tblPrEx>
          <w:tblCellMar>
            <w:top w:w="0" w:type="dxa"/>
            <w:left w:w="108" w:type="dxa"/>
            <w:bottom w:w="0" w:type="dxa"/>
            <w:right w:w="108" w:type="dxa"/>
          </w:tblCellMar>
        </w:tblPrEx>
        <w:trPr>
          <w:trHeight w:val="360" w:hRule="atLeast"/>
        </w:trPr>
        <w:tc>
          <w:tcPr>
            <w:tcW w:w="1403" w:type="pct"/>
            <w:gridSpan w:val="2"/>
            <w:tcBorders>
              <w:top w:val="nil"/>
              <w:left w:val="single" w:color="auto" w:sz="4" w:space="0"/>
              <w:bottom w:val="nil"/>
              <w:right w:val="single" w:color="auto" w:sz="4" w:space="0"/>
            </w:tcBorders>
            <w:vAlign w:val="center"/>
          </w:tcPr>
          <w:p>
            <w:pPr>
              <w:jc w:val="center"/>
              <w:rPr>
                <w:rFonts w:ascii="宋体" w:cs="宋体"/>
                <w:color w:val="000000"/>
                <w:sz w:val="22"/>
                <w:szCs w:val="22"/>
              </w:rPr>
            </w:pPr>
            <w:r>
              <w:rPr>
                <w:rFonts w:hint="eastAsia"/>
                <w:color w:val="000000"/>
                <w:sz w:val="22"/>
                <w:szCs w:val="22"/>
              </w:rPr>
              <w:t>畜牧水产发展服务中心</w:t>
            </w:r>
          </w:p>
        </w:tc>
        <w:tc>
          <w:tcPr>
            <w:tcW w:w="584" w:type="pct"/>
            <w:tcBorders>
              <w:top w:val="nil"/>
              <w:left w:val="nil"/>
              <w:bottom w:val="single" w:color="auto" w:sz="4" w:space="0"/>
              <w:right w:val="single" w:color="auto" w:sz="4" w:space="0"/>
            </w:tcBorders>
            <w:vAlign w:val="center"/>
          </w:tcPr>
          <w:p>
            <w:pPr>
              <w:jc w:val="center"/>
              <w:rPr>
                <w:rFonts w:ascii="宋体" w:cs="宋体"/>
                <w:color w:val="000000"/>
                <w:sz w:val="22"/>
                <w:szCs w:val="22"/>
              </w:rPr>
            </w:pPr>
            <w:r>
              <w:rPr>
                <w:color w:val="000000"/>
                <w:sz w:val="22"/>
                <w:szCs w:val="22"/>
              </w:rPr>
              <w:t>24</w:t>
            </w:r>
          </w:p>
        </w:tc>
        <w:tc>
          <w:tcPr>
            <w:tcW w:w="2182" w:type="pct"/>
            <w:tcBorders>
              <w:top w:val="nil"/>
              <w:left w:val="nil"/>
              <w:bottom w:val="single" w:color="auto" w:sz="4" w:space="0"/>
              <w:right w:val="single" w:color="auto" w:sz="4" w:space="0"/>
            </w:tcBorders>
            <w:vAlign w:val="center"/>
          </w:tcPr>
          <w:p>
            <w:pPr>
              <w:jc w:val="center"/>
              <w:rPr>
                <w:rFonts w:ascii="宋体" w:cs="宋体"/>
                <w:color w:val="000000"/>
                <w:sz w:val="22"/>
                <w:szCs w:val="22"/>
              </w:rPr>
            </w:pPr>
            <w:r>
              <w:rPr>
                <w:rFonts w:hint="eastAsia"/>
                <w:color w:val="000000"/>
                <w:sz w:val="22"/>
                <w:szCs w:val="22"/>
              </w:rPr>
              <w:t>病死动物无害化处理运行及补助</w:t>
            </w:r>
          </w:p>
        </w:tc>
        <w:tc>
          <w:tcPr>
            <w:tcW w:w="831" w:type="pct"/>
            <w:tcBorders>
              <w:top w:val="nil"/>
              <w:left w:val="nil"/>
              <w:bottom w:val="single" w:color="auto" w:sz="4" w:space="0"/>
              <w:right w:val="single" w:color="auto" w:sz="4" w:space="0"/>
            </w:tcBorders>
            <w:noWrap/>
            <w:vAlign w:val="center"/>
          </w:tcPr>
          <w:p>
            <w:pPr>
              <w:jc w:val="center"/>
              <w:rPr>
                <w:rFonts w:ascii="宋体" w:cs="宋体"/>
                <w:color w:val="000000"/>
                <w:sz w:val="22"/>
                <w:szCs w:val="22"/>
              </w:rPr>
            </w:pPr>
            <w:r>
              <w:rPr>
                <w:color w:val="000000"/>
                <w:sz w:val="22"/>
                <w:szCs w:val="22"/>
              </w:rPr>
              <w:t>295</w:t>
            </w:r>
          </w:p>
        </w:tc>
      </w:tr>
      <w:tr>
        <w:tblPrEx>
          <w:tblCellMar>
            <w:top w:w="0" w:type="dxa"/>
            <w:left w:w="108" w:type="dxa"/>
            <w:bottom w:w="0" w:type="dxa"/>
            <w:right w:w="108" w:type="dxa"/>
          </w:tblCellMar>
        </w:tblPrEx>
        <w:trPr>
          <w:trHeight w:val="360" w:hRule="atLeast"/>
        </w:trPr>
        <w:tc>
          <w:tcPr>
            <w:tcW w:w="1403" w:type="pct"/>
            <w:gridSpan w:val="2"/>
            <w:tcBorders>
              <w:top w:val="nil"/>
              <w:left w:val="single" w:color="auto" w:sz="4" w:space="0"/>
              <w:bottom w:val="single" w:color="auto" w:sz="4" w:space="0"/>
              <w:right w:val="single" w:color="auto" w:sz="4" w:space="0"/>
            </w:tcBorders>
            <w:vAlign w:val="center"/>
          </w:tcPr>
          <w:p>
            <w:pPr>
              <w:jc w:val="center"/>
              <w:rPr>
                <w:rFonts w:ascii="宋体" w:cs="宋体"/>
                <w:color w:val="000000"/>
                <w:sz w:val="22"/>
                <w:szCs w:val="22"/>
              </w:rPr>
            </w:pPr>
            <w:r>
              <w:rPr>
                <w:rFonts w:hint="eastAsia"/>
                <w:color w:val="000000"/>
                <w:sz w:val="22"/>
                <w:szCs w:val="22"/>
              </w:rPr>
              <w:t>高新技术产业园</w:t>
            </w:r>
          </w:p>
        </w:tc>
        <w:tc>
          <w:tcPr>
            <w:tcW w:w="584" w:type="pct"/>
            <w:tcBorders>
              <w:top w:val="nil"/>
              <w:left w:val="nil"/>
              <w:bottom w:val="single" w:color="auto" w:sz="4" w:space="0"/>
              <w:right w:val="single" w:color="auto" w:sz="4" w:space="0"/>
            </w:tcBorders>
            <w:vAlign w:val="center"/>
          </w:tcPr>
          <w:p>
            <w:pPr>
              <w:jc w:val="center"/>
              <w:rPr>
                <w:rFonts w:ascii="宋体" w:cs="宋体"/>
                <w:color w:val="000000"/>
                <w:sz w:val="22"/>
                <w:szCs w:val="22"/>
              </w:rPr>
            </w:pPr>
            <w:r>
              <w:rPr>
                <w:color w:val="000000"/>
                <w:sz w:val="22"/>
                <w:szCs w:val="22"/>
              </w:rPr>
              <w:t>25</w:t>
            </w:r>
          </w:p>
        </w:tc>
        <w:tc>
          <w:tcPr>
            <w:tcW w:w="2182" w:type="pct"/>
            <w:tcBorders>
              <w:top w:val="nil"/>
              <w:left w:val="nil"/>
              <w:bottom w:val="single" w:color="auto" w:sz="4" w:space="0"/>
              <w:right w:val="single" w:color="auto" w:sz="4" w:space="0"/>
            </w:tcBorders>
            <w:vAlign w:val="center"/>
          </w:tcPr>
          <w:p>
            <w:pPr>
              <w:jc w:val="center"/>
              <w:rPr>
                <w:rFonts w:ascii="宋体" w:cs="宋体"/>
                <w:color w:val="000000"/>
                <w:sz w:val="22"/>
                <w:szCs w:val="22"/>
              </w:rPr>
            </w:pPr>
            <w:r>
              <w:rPr>
                <w:rFonts w:hint="eastAsia"/>
                <w:color w:val="000000"/>
                <w:sz w:val="22"/>
                <w:szCs w:val="22"/>
              </w:rPr>
              <w:t>污水处理厂污水处理费</w:t>
            </w:r>
          </w:p>
        </w:tc>
        <w:tc>
          <w:tcPr>
            <w:tcW w:w="831" w:type="pct"/>
            <w:tcBorders>
              <w:top w:val="nil"/>
              <w:left w:val="nil"/>
              <w:bottom w:val="single" w:color="auto" w:sz="4" w:space="0"/>
              <w:right w:val="single" w:color="auto" w:sz="4" w:space="0"/>
            </w:tcBorders>
            <w:noWrap/>
            <w:vAlign w:val="center"/>
          </w:tcPr>
          <w:p>
            <w:pPr>
              <w:jc w:val="center"/>
              <w:rPr>
                <w:rFonts w:ascii="宋体" w:cs="宋体"/>
                <w:color w:val="000000"/>
                <w:sz w:val="22"/>
                <w:szCs w:val="22"/>
              </w:rPr>
            </w:pPr>
            <w:r>
              <w:rPr>
                <w:color w:val="000000"/>
                <w:sz w:val="22"/>
                <w:szCs w:val="22"/>
              </w:rPr>
              <w:t>699</w:t>
            </w:r>
          </w:p>
        </w:tc>
      </w:tr>
      <w:tr>
        <w:tblPrEx>
          <w:tblCellMar>
            <w:top w:w="0" w:type="dxa"/>
            <w:left w:w="108" w:type="dxa"/>
            <w:bottom w:w="0" w:type="dxa"/>
            <w:right w:w="108" w:type="dxa"/>
          </w:tblCellMar>
        </w:tblPrEx>
        <w:trPr>
          <w:trHeight w:val="360" w:hRule="atLeast"/>
        </w:trPr>
        <w:tc>
          <w:tcPr>
            <w:tcW w:w="1403" w:type="pct"/>
            <w:gridSpan w:val="2"/>
            <w:tcBorders>
              <w:top w:val="nil"/>
              <w:left w:val="single" w:color="auto" w:sz="4" w:space="0"/>
              <w:bottom w:val="single" w:color="auto" w:sz="4" w:space="0"/>
              <w:right w:val="single" w:color="auto" w:sz="4" w:space="0"/>
            </w:tcBorders>
            <w:vAlign w:val="center"/>
          </w:tcPr>
          <w:p>
            <w:pPr>
              <w:jc w:val="center"/>
              <w:rPr>
                <w:rFonts w:ascii="宋体" w:cs="宋体"/>
                <w:color w:val="000000"/>
                <w:sz w:val="22"/>
                <w:szCs w:val="22"/>
              </w:rPr>
            </w:pPr>
            <w:r>
              <w:rPr>
                <w:rFonts w:hint="eastAsia"/>
                <w:color w:val="000000"/>
                <w:sz w:val="22"/>
                <w:szCs w:val="22"/>
              </w:rPr>
              <w:t>残联</w:t>
            </w:r>
          </w:p>
        </w:tc>
        <w:tc>
          <w:tcPr>
            <w:tcW w:w="584" w:type="pct"/>
            <w:tcBorders>
              <w:top w:val="nil"/>
              <w:left w:val="nil"/>
              <w:bottom w:val="single" w:color="auto" w:sz="4" w:space="0"/>
              <w:right w:val="single" w:color="auto" w:sz="4" w:space="0"/>
            </w:tcBorders>
            <w:vAlign w:val="center"/>
          </w:tcPr>
          <w:p>
            <w:pPr>
              <w:jc w:val="center"/>
              <w:rPr>
                <w:rFonts w:ascii="宋体" w:cs="宋体"/>
                <w:color w:val="000000"/>
                <w:sz w:val="22"/>
                <w:szCs w:val="22"/>
              </w:rPr>
            </w:pPr>
            <w:r>
              <w:rPr>
                <w:color w:val="000000"/>
                <w:sz w:val="22"/>
                <w:szCs w:val="22"/>
              </w:rPr>
              <w:t>26</w:t>
            </w:r>
          </w:p>
        </w:tc>
        <w:tc>
          <w:tcPr>
            <w:tcW w:w="2182" w:type="pct"/>
            <w:tcBorders>
              <w:top w:val="nil"/>
              <w:left w:val="nil"/>
              <w:bottom w:val="single" w:color="auto" w:sz="4" w:space="0"/>
              <w:right w:val="single" w:color="auto" w:sz="4" w:space="0"/>
            </w:tcBorders>
            <w:vAlign w:val="center"/>
          </w:tcPr>
          <w:p>
            <w:pPr>
              <w:jc w:val="center"/>
              <w:rPr>
                <w:rFonts w:ascii="宋体" w:cs="宋体"/>
                <w:color w:val="000000"/>
                <w:sz w:val="22"/>
                <w:szCs w:val="22"/>
              </w:rPr>
            </w:pPr>
            <w:r>
              <w:rPr>
                <w:rFonts w:hint="eastAsia"/>
                <w:color w:val="000000"/>
                <w:sz w:val="22"/>
                <w:szCs w:val="22"/>
              </w:rPr>
              <w:t>残疾人就业保障</w:t>
            </w:r>
          </w:p>
        </w:tc>
        <w:tc>
          <w:tcPr>
            <w:tcW w:w="831" w:type="pct"/>
            <w:tcBorders>
              <w:top w:val="nil"/>
              <w:left w:val="nil"/>
              <w:bottom w:val="single" w:color="auto" w:sz="4" w:space="0"/>
              <w:right w:val="single" w:color="auto" w:sz="4" w:space="0"/>
            </w:tcBorders>
            <w:noWrap/>
            <w:vAlign w:val="center"/>
          </w:tcPr>
          <w:p>
            <w:pPr>
              <w:jc w:val="center"/>
              <w:rPr>
                <w:rFonts w:ascii="宋体" w:cs="宋体"/>
                <w:color w:val="000000"/>
                <w:sz w:val="22"/>
                <w:szCs w:val="22"/>
              </w:rPr>
            </w:pPr>
            <w:r>
              <w:rPr>
                <w:color w:val="000000"/>
                <w:sz w:val="22"/>
                <w:szCs w:val="22"/>
              </w:rPr>
              <w:t>380</w:t>
            </w:r>
          </w:p>
        </w:tc>
      </w:tr>
      <w:tr>
        <w:tblPrEx>
          <w:tblCellMar>
            <w:top w:w="0" w:type="dxa"/>
            <w:left w:w="108" w:type="dxa"/>
            <w:bottom w:w="0" w:type="dxa"/>
            <w:right w:w="108" w:type="dxa"/>
          </w:tblCellMar>
        </w:tblPrEx>
        <w:trPr>
          <w:trHeight w:val="360" w:hRule="atLeast"/>
        </w:trPr>
        <w:tc>
          <w:tcPr>
            <w:tcW w:w="1403" w:type="pct"/>
            <w:gridSpan w:val="2"/>
            <w:vMerge w:val="restart"/>
            <w:tcBorders>
              <w:top w:val="nil"/>
              <w:left w:val="single" w:color="auto" w:sz="4" w:space="0"/>
              <w:bottom w:val="single" w:color="000000" w:sz="4" w:space="0"/>
              <w:right w:val="single" w:color="auto" w:sz="4" w:space="0"/>
            </w:tcBorders>
            <w:vAlign w:val="center"/>
          </w:tcPr>
          <w:p>
            <w:pPr>
              <w:jc w:val="center"/>
              <w:rPr>
                <w:rFonts w:ascii="宋体" w:cs="宋体"/>
                <w:color w:val="000000"/>
                <w:sz w:val="22"/>
                <w:szCs w:val="22"/>
              </w:rPr>
            </w:pPr>
            <w:r>
              <w:rPr>
                <w:rFonts w:hint="eastAsia"/>
                <w:color w:val="000000"/>
                <w:sz w:val="22"/>
                <w:szCs w:val="22"/>
              </w:rPr>
              <w:t>民政局机关</w:t>
            </w:r>
          </w:p>
        </w:tc>
        <w:tc>
          <w:tcPr>
            <w:tcW w:w="584" w:type="pct"/>
            <w:tcBorders>
              <w:top w:val="nil"/>
              <w:left w:val="nil"/>
              <w:bottom w:val="single" w:color="auto" w:sz="4" w:space="0"/>
              <w:right w:val="single" w:color="auto" w:sz="4" w:space="0"/>
            </w:tcBorders>
            <w:vAlign w:val="center"/>
          </w:tcPr>
          <w:p>
            <w:pPr>
              <w:jc w:val="center"/>
              <w:rPr>
                <w:rFonts w:ascii="宋体" w:cs="宋体"/>
                <w:color w:val="000000"/>
                <w:sz w:val="22"/>
                <w:szCs w:val="22"/>
              </w:rPr>
            </w:pPr>
            <w:r>
              <w:rPr>
                <w:color w:val="000000"/>
                <w:sz w:val="22"/>
                <w:szCs w:val="22"/>
              </w:rPr>
              <w:t>27</w:t>
            </w:r>
          </w:p>
        </w:tc>
        <w:tc>
          <w:tcPr>
            <w:tcW w:w="2182" w:type="pct"/>
            <w:tcBorders>
              <w:top w:val="nil"/>
              <w:left w:val="nil"/>
              <w:bottom w:val="single" w:color="auto" w:sz="4" w:space="0"/>
              <w:right w:val="single" w:color="auto" w:sz="4" w:space="0"/>
            </w:tcBorders>
            <w:vAlign w:val="center"/>
          </w:tcPr>
          <w:p>
            <w:pPr>
              <w:jc w:val="center"/>
              <w:rPr>
                <w:rFonts w:ascii="宋体" w:cs="宋体"/>
                <w:color w:val="000000"/>
                <w:sz w:val="22"/>
                <w:szCs w:val="22"/>
              </w:rPr>
            </w:pPr>
            <w:r>
              <w:rPr>
                <w:rFonts w:hint="eastAsia"/>
                <w:color w:val="000000"/>
                <w:sz w:val="22"/>
                <w:szCs w:val="22"/>
              </w:rPr>
              <w:t>养老服务补贴</w:t>
            </w:r>
          </w:p>
        </w:tc>
        <w:tc>
          <w:tcPr>
            <w:tcW w:w="831" w:type="pct"/>
            <w:tcBorders>
              <w:top w:val="nil"/>
              <w:left w:val="nil"/>
              <w:bottom w:val="single" w:color="auto" w:sz="4" w:space="0"/>
              <w:right w:val="single" w:color="auto" w:sz="4" w:space="0"/>
            </w:tcBorders>
            <w:noWrap/>
            <w:vAlign w:val="center"/>
          </w:tcPr>
          <w:p>
            <w:pPr>
              <w:jc w:val="center"/>
              <w:rPr>
                <w:rFonts w:ascii="宋体" w:cs="宋体"/>
                <w:color w:val="000000"/>
                <w:sz w:val="22"/>
                <w:szCs w:val="22"/>
              </w:rPr>
            </w:pPr>
            <w:r>
              <w:rPr>
                <w:color w:val="000000"/>
                <w:sz w:val="22"/>
                <w:szCs w:val="22"/>
              </w:rPr>
              <w:t>180</w:t>
            </w:r>
          </w:p>
        </w:tc>
      </w:tr>
      <w:tr>
        <w:tblPrEx>
          <w:tblCellMar>
            <w:top w:w="0" w:type="dxa"/>
            <w:left w:w="108" w:type="dxa"/>
            <w:bottom w:w="0" w:type="dxa"/>
            <w:right w:w="108" w:type="dxa"/>
          </w:tblCellMar>
        </w:tblPrEx>
        <w:trPr>
          <w:trHeight w:val="360" w:hRule="atLeast"/>
        </w:trPr>
        <w:tc>
          <w:tcPr>
            <w:tcW w:w="1403" w:type="pct"/>
            <w:gridSpan w:val="2"/>
            <w:vMerge w:val="continue"/>
            <w:tcBorders>
              <w:top w:val="nil"/>
              <w:left w:val="single" w:color="auto" w:sz="4" w:space="0"/>
              <w:bottom w:val="single" w:color="000000" w:sz="4" w:space="0"/>
              <w:right w:val="single" w:color="auto" w:sz="4" w:space="0"/>
            </w:tcBorders>
            <w:vAlign w:val="center"/>
          </w:tcPr>
          <w:p>
            <w:pPr>
              <w:rPr>
                <w:rFonts w:ascii="宋体" w:cs="宋体"/>
                <w:color w:val="000000"/>
                <w:sz w:val="22"/>
                <w:szCs w:val="22"/>
              </w:rPr>
            </w:pPr>
          </w:p>
        </w:tc>
        <w:tc>
          <w:tcPr>
            <w:tcW w:w="584" w:type="pct"/>
            <w:tcBorders>
              <w:top w:val="nil"/>
              <w:left w:val="nil"/>
              <w:bottom w:val="single" w:color="auto" w:sz="4" w:space="0"/>
              <w:right w:val="single" w:color="auto" w:sz="4" w:space="0"/>
            </w:tcBorders>
            <w:vAlign w:val="center"/>
          </w:tcPr>
          <w:p>
            <w:pPr>
              <w:jc w:val="center"/>
              <w:rPr>
                <w:rFonts w:ascii="宋体" w:cs="宋体"/>
                <w:color w:val="000000"/>
                <w:sz w:val="22"/>
                <w:szCs w:val="22"/>
              </w:rPr>
            </w:pPr>
            <w:r>
              <w:rPr>
                <w:color w:val="000000"/>
                <w:sz w:val="22"/>
                <w:szCs w:val="22"/>
              </w:rPr>
              <w:t>28</w:t>
            </w:r>
          </w:p>
        </w:tc>
        <w:tc>
          <w:tcPr>
            <w:tcW w:w="2182" w:type="pct"/>
            <w:tcBorders>
              <w:top w:val="nil"/>
              <w:left w:val="nil"/>
              <w:bottom w:val="single" w:color="auto" w:sz="4" w:space="0"/>
              <w:right w:val="single" w:color="auto" w:sz="4" w:space="0"/>
            </w:tcBorders>
            <w:vAlign w:val="center"/>
          </w:tcPr>
          <w:p>
            <w:pPr>
              <w:jc w:val="center"/>
              <w:rPr>
                <w:rFonts w:ascii="宋体" w:cs="宋体"/>
                <w:color w:val="000000"/>
                <w:sz w:val="22"/>
                <w:szCs w:val="22"/>
              </w:rPr>
            </w:pPr>
            <w:r>
              <w:rPr>
                <w:rFonts w:hint="eastAsia"/>
                <w:color w:val="000000"/>
                <w:sz w:val="22"/>
                <w:szCs w:val="22"/>
              </w:rPr>
              <w:t>残疾人两项补贴</w:t>
            </w:r>
          </w:p>
        </w:tc>
        <w:tc>
          <w:tcPr>
            <w:tcW w:w="831" w:type="pct"/>
            <w:tcBorders>
              <w:top w:val="nil"/>
              <w:left w:val="nil"/>
              <w:bottom w:val="single" w:color="auto" w:sz="4" w:space="0"/>
              <w:right w:val="single" w:color="auto" w:sz="4" w:space="0"/>
            </w:tcBorders>
            <w:noWrap/>
            <w:vAlign w:val="center"/>
          </w:tcPr>
          <w:p>
            <w:pPr>
              <w:jc w:val="center"/>
              <w:rPr>
                <w:rFonts w:ascii="宋体" w:cs="宋体"/>
                <w:color w:val="000000"/>
                <w:sz w:val="22"/>
                <w:szCs w:val="22"/>
              </w:rPr>
            </w:pPr>
            <w:r>
              <w:rPr>
                <w:color w:val="000000"/>
                <w:sz w:val="22"/>
                <w:szCs w:val="22"/>
              </w:rPr>
              <w:t>560</w:t>
            </w:r>
          </w:p>
        </w:tc>
      </w:tr>
      <w:tr>
        <w:tblPrEx>
          <w:tblCellMar>
            <w:top w:w="0" w:type="dxa"/>
            <w:left w:w="108" w:type="dxa"/>
            <w:bottom w:w="0" w:type="dxa"/>
            <w:right w:w="108" w:type="dxa"/>
          </w:tblCellMar>
        </w:tblPrEx>
        <w:trPr>
          <w:trHeight w:val="360" w:hRule="atLeast"/>
        </w:trPr>
        <w:tc>
          <w:tcPr>
            <w:tcW w:w="1403" w:type="pct"/>
            <w:gridSpan w:val="2"/>
            <w:vMerge w:val="continue"/>
            <w:tcBorders>
              <w:top w:val="nil"/>
              <w:left w:val="single" w:color="auto" w:sz="4" w:space="0"/>
              <w:bottom w:val="single" w:color="000000" w:sz="4" w:space="0"/>
              <w:right w:val="single" w:color="auto" w:sz="4" w:space="0"/>
            </w:tcBorders>
            <w:vAlign w:val="center"/>
          </w:tcPr>
          <w:p>
            <w:pPr>
              <w:rPr>
                <w:rFonts w:ascii="宋体" w:cs="宋体"/>
                <w:color w:val="000000"/>
                <w:sz w:val="22"/>
                <w:szCs w:val="22"/>
              </w:rPr>
            </w:pPr>
          </w:p>
        </w:tc>
        <w:tc>
          <w:tcPr>
            <w:tcW w:w="584" w:type="pct"/>
            <w:tcBorders>
              <w:top w:val="nil"/>
              <w:left w:val="nil"/>
              <w:bottom w:val="single" w:color="auto" w:sz="4" w:space="0"/>
              <w:right w:val="single" w:color="auto" w:sz="4" w:space="0"/>
            </w:tcBorders>
            <w:vAlign w:val="center"/>
          </w:tcPr>
          <w:p>
            <w:pPr>
              <w:jc w:val="center"/>
              <w:rPr>
                <w:rFonts w:ascii="宋体" w:cs="宋体"/>
                <w:color w:val="000000"/>
                <w:sz w:val="22"/>
                <w:szCs w:val="22"/>
              </w:rPr>
            </w:pPr>
            <w:r>
              <w:rPr>
                <w:color w:val="000000"/>
                <w:sz w:val="22"/>
                <w:szCs w:val="22"/>
              </w:rPr>
              <w:t>29</w:t>
            </w:r>
          </w:p>
        </w:tc>
        <w:tc>
          <w:tcPr>
            <w:tcW w:w="2182" w:type="pct"/>
            <w:tcBorders>
              <w:top w:val="nil"/>
              <w:left w:val="nil"/>
              <w:bottom w:val="single" w:color="auto" w:sz="4" w:space="0"/>
              <w:right w:val="single" w:color="auto" w:sz="4" w:space="0"/>
            </w:tcBorders>
            <w:vAlign w:val="center"/>
          </w:tcPr>
          <w:p>
            <w:pPr>
              <w:jc w:val="center"/>
              <w:rPr>
                <w:rFonts w:ascii="宋体" w:cs="宋体"/>
                <w:color w:val="000000"/>
                <w:sz w:val="22"/>
                <w:szCs w:val="22"/>
              </w:rPr>
            </w:pPr>
            <w:r>
              <w:rPr>
                <w:rFonts w:hint="eastAsia"/>
                <w:color w:val="000000"/>
                <w:sz w:val="22"/>
                <w:szCs w:val="22"/>
              </w:rPr>
              <w:t>殡葬设施建设</w:t>
            </w:r>
          </w:p>
        </w:tc>
        <w:tc>
          <w:tcPr>
            <w:tcW w:w="831" w:type="pct"/>
            <w:tcBorders>
              <w:top w:val="nil"/>
              <w:left w:val="nil"/>
              <w:bottom w:val="single" w:color="auto" w:sz="4" w:space="0"/>
              <w:right w:val="single" w:color="auto" w:sz="4" w:space="0"/>
            </w:tcBorders>
            <w:noWrap/>
            <w:vAlign w:val="center"/>
          </w:tcPr>
          <w:p>
            <w:pPr>
              <w:jc w:val="center"/>
              <w:rPr>
                <w:rFonts w:ascii="宋体" w:cs="宋体"/>
                <w:color w:val="000000"/>
                <w:sz w:val="22"/>
                <w:szCs w:val="22"/>
              </w:rPr>
            </w:pPr>
            <w:r>
              <w:rPr>
                <w:color w:val="000000"/>
                <w:sz w:val="22"/>
                <w:szCs w:val="22"/>
              </w:rPr>
              <w:t>9800</w:t>
            </w:r>
          </w:p>
        </w:tc>
      </w:tr>
      <w:tr>
        <w:tblPrEx>
          <w:tblCellMar>
            <w:top w:w="0" w:type="dxa"/>
            <w:left w:w="108" w:type="dxa"/>
            <w:bottom w:w="0" w:type="dxa"/>
            <w:right w:w="108" w:type="dxa"/>
          </w:tblCellMar>
        </w:tblPrEx>
        <w:trPr>
          <w:trHeight w:val="360" w:hRule="atLeast"/>
        </w:trPr>
        <w:tc>
          <w:tcPr>
            <w:tcW w:w="1403" w:type="pct"/>
            <w:gridSpan w:val="2"/>
            <w:vMerge w:val="continue"/>
            <w:tcBorders>
              <w:top w:val="nil"/>
              <w:left w:val="single" w:color="auto" w:sz="4" w:space="0"/>
              <w:bottom w:val="single" w:color="000000" w:sz="4" w:space="0"/>
              <w:right w:val="single" w:color="auto" w:sz="4" w:space="0"/>
            </w:tcBorders>
            <w:vAlign w:val="center"/>
          </w:tcPr>
          <w:p>
            <w:pPr>
              <w:rPr>
                <w:rFonts w:ascii="宋体" w:cs="宋体"/>
                <w:color w:val="000000"/>
                <w:sz w:val="22"/>
                <w:szCs w:val="22"/>
              </w:rPr>
            </w:pPr>
          </w:p>
        </w:tc>
        <w:tc>
          <w:tcPr>
            <w:tcW w:w="584" w:type="pct"/>
            <w:tcBorders>
              <w:top w:val="nil"/>
              <w:left w:val="nil"/>
              <w:bottom w:val="single" w:color="auto" w:sz="4" w:space="0"/>
              <w:right w:val="single" w:color="auto" w:sz="4" w:space="0"/>
            </w:tcBorders>
            <w:vAlign w:val="center"/>
          </w:tcPr>
          <w:p>
            <w:pPr>
              <w:jc w:val="center"/>
              <w:rPr>
                <w:rFonts w:ascii="宋体" w:cs="宋体"/>
                <w:color w:val="000000"/>
                <w:sz w:val="22"/>
                <w:szCs w:val="22"/>
              </w:rPr>
            </w:pPr>
            <w:r>
              <w:rPr>
                <w:color w:val="000000"/>
                <w:sz w:val="22"/>
                <w:szCs w:val="22"/>
              </w:rPr>
              <w:t>30</w:t>
            </w:r>
          </w:p>
        </w:tc>
        <w:tc>
          <w:tcPr>
            <w:tcW w:w="2182" w:type="pct"/>
            <w:tcBorders>
              <w:top w:val="nil"/>
              <w:left w:val="nil"/>
              <w:bottom w:val="single" w:color="auto" w:sz="4" w:space="0"/>
              <w:right w:val="single" w:color="auto" w:sz="4" w:space="0"/>
            </w:tcBorders>
            <w:shd w:val="clear" w:color="000000" w:fill="FFFFFF"/>
            <w:vAlign w:val="center"/>
          </w:tcPr>
          <w:p>
            <w:pPr>
              <w:jc w:val="center"/>
              <w:rPr>
                <w:rFonts w:ascii="宋体" w:cs="宋体"/>
                <w:color w:val="000000"/>
                <w:sz w:val="22"/>
                <w:szCs w:val="22"/>
              </w:rPr>
            </w:pPr>
            <w:r>
              <w:rPr>
                <w:rFonts w:hint="eastAsia"/>
                <w:color w:val="000000"/>
                <w:sz w:val="22"/>
                <w:szCs w:val="22"/>
              </w:rPr>
              <w:t>城市低保</w:t>
            </w:r>
          </w:p>
        </w:tc>
        <w:tc>
          <w:tcPr>
            <w:tcW w:w="831" w:type="pct"/>
            <w:tcBorders>
              <w:top w:val="nil"/>
              <w:left w:val="nil"/>
              <w:bottom w:val="single" w:color="auto" w:sz="4" w:space="0"/>
              <w:right w:val="single" w:color="auto" w:sz="4" w:space="0"/>
            </w:tcBorders>
            <w:vAlign w:val="center"/>
          </w:tcPr>
          <w:p>
            <w:pPr>
              <w:jc w:val="center"/>
              <w:rPr>
                <w:rFonts w:ascii="宋体" w:cs="宋体"/>
                <w:color w:val="000000"/>
                <w:sz w:val="22"/>
                <w:szCs w:val="22"/>
              </w:rPr>
            </w:pPr>
            <w:r>
              <w:rPr>
                <w:color w:val="000000"/>
                <w:sz w:val="22"/>
                <w:szCs w:val="22"/>
              </w:rPr>
              <w:t>199</w:t>
            </w:r>
          </w:p>
        </w:tc>
      </w:tr>
      <w:tr>
        <w:tblPrEx>
          <w:tblCellMar>
            <w:top w:w="0" w:type="dxa"/>
            <w:left w:w="108" w:type="dxa"/>
            <w:bottom w:w="0" w:type="dxa"/>
            <w:right w:w="108" w:type="dxa"/>
          </w:tblCellMar>
        </w:tblPrEx>
        <w:trPr>
          <w:trHeight w:val="360" w:hRule="atLeast"/>
        </w:trPr>
        <w:tc>
          <w:tcPr>
            <w:tcW w:w="1403" w:type="pct"/>
            <w:gridSpan w:val="2"/>
            <w:vMerge w:val="restart"/>
            <w:tcBorders>
              <w:top w:val="nil"/>
              <w:left w:val="single" w:color="auto" w:sz="4" w:space="0"/>
              <w:bottom w:val="nil"/>
              <w:right w:val="single" w:color="auto" w:sz="4" w:space="0"/>
            </w:tcBorders>
            <w:vAlign w:val="center"/>
          </w:tcPr>
          <w:p>
            <w:pPr>
              <w:jc w:val="center"/>
              <w:rPr>
                <w:rFonts w:ascii="宋体" w:cs="宋体"/>
                <w:color w:val="000000"/>
                <w:sz w:val="22"/>
                <w:szCs w:val="22"/>
              </w:rPr>
            </w:pPr>
            <w:r>
              <w:rPr>
                <w:rFonts w:hint="eastAsia"/>
                <w:color w:val="000000"/>
                <w:sz w:val="22"/>
                <w:szCs w:val="22"/>
              </w:rPr>
              <w:t>卫生健康局机关</w:t>
            </w:r>
          </w:p>
        </w:tc>
        <w:tc>
          <w:tcPr>
            <w:tcW w:w="584" w:type="pct"/>
            <w:tcBorders>
              <w:top w:val="nil"/>
              <w:left w:val="nil"/>
              <w:bottom w:val="single" w:color="auto" w:sz="4" w:space="0"/>
              <w:right w:val="single" w:color="auto" w:sz="4" w:space="0"/>
            </w:tcBorders>
            <w:vAlign w:val="center"/>
          </w:tcPr>
          <w:p>
            <w:pPr>
              <w:jc w:val="center"/>
              <w:rPr>
                <w:rFonts w:ascii="宋体" w:cs="宋体"/>
                <w:color w:val="000000"/>
                <w:sz w:val="22"/>
                <w:szCs w:val="22"/>
              </w:rPr>
            </w:pPr>
            <w:r>
              <w:rPr>
                <w:color w:val="000000"/>
                <w:sz w:val="22"/>
                <w:szCs w:val="22"/>
              </w:rPr>
              <w:t>31</w:t>
            </w:r>
          </w:p>
        </w:tc>
        <w:tc>
          <w:tcPr>
            <w:tcW w:w="2182" w:type="pct"/>
            <w:tcBorders>
              <w:top w:val="nil"/>
              <w:left w:val="nil"/>
              <w:bottom w:val="single" w:color="auto" w:sz="4" w:space="0"/>
              <w:right w:val="single" w:color="auto" w:sz="4" w:space="0"/>
            </w:tcBorders>
            <w:vAlign w:val="center"/>
          </w:tcPr>
          <w:p>
            <w:pPr>
              <w:jc w:val="center"/>
              <w:rPr>
                <w:rFonts w:ascii="宋体" w:cs="宋体"/>
                <w:color w:val="000000"/>
                <w:sz w:val="22"/>
                <w:szCs w:val="22"/>
              </w:rPr>
            </w:pPr>
            <w:r>
              <w:rPr>
                <w:rFonts w:hint="eastAsia"/>
                <w:color w:val="000000"/>
                <w:sz w:val="22"/>
                <w:szCs w:val="22"/>
              </w:rPr>
              <w:t>基本卫生均等化服务配套经费</w:t>
            </w:r>
          </w:p>
        </w:tc>
        <w:tc>
          <w:tcPr>
            <w:tcW w:w="831" w:type="pct"/>
            <w:tcBorders>
              <w:top w:val="nil"/>
              <w:left w:val="nil"/>
              <w:bottom w:val="single" w:color="auto" w:sz="4" w:space="0"/>
              <w:right w:val="single" w:color="auto" w:sz="4" w:space="0"/>
            </w:tcBorders>
            <w:noWrap/>
            <w:vAlign w:val="center"/>
          </w:tcPr>
          <w:p>
            <w:pPr>
              <w:jc w:val="center"/>
              <w:rPr>
                <w:rFonts w:ascii="宋体" w:cs="宋体"/>
                <w:color w:val="000000"/>
                <w:sz w:val="22"/>
                <w:szCs w:val="22"/>
              </w:rPr>
            </w:pPr>
            <w:r>
              <w:rPr>
                <w:color w:val="000000"/>
                <w:sz w:val="22"/>
                <w:szCs w:val="22"/>
              </w:rPr>
              <w:t>571.7</w:t>
            </w:r>
          </w:p>
        </w:tc>
      </w:tr>
      <w:tr>
        <w:tblPrEx>
          <w:tblCellMar>
            <w:top w:w="0" w:type="dxa"/>
            <w:left w:w="108" w:type="dxa"/>
            <w:bottom w:w="0" w:type="dxa"/>
            <w:right w:w="108" w:type="dxa"/>
          </w:tblCellMar>
        </w:tblPrEx>
        <w:trPr>
          <w:trHeight w:val="360" w:hRule="atLeast"/>
        </w:trPr>
        <w:tc>
          <w:tcPr>
            <w:tcW w:w="1403" w:type="pct"/>
            <w:gridSpan w:val="2"/>
            <w:vMerge w:val="continue"/>
            <w:tcBorders>
              <w:top w:val="nil"/>
              <w:left w:val="single" w:color="auto" w:sz="4" w:space="0"/>
              <w:bottom w:val="nil"/>
              <w:right w:val="single" w:color="auto" w:sz="4" w:space="0"/>
            </w:tcBorders>
            <w:vAlign w:val="center"/>
          </w:tcPr>
          <w:p>
            <w:pPr>
              <w:rPr>
                <w:rFonts w:ascii="宋体" w:cs="宋体"/>
                <w:color w:val="000000"/>
                <w:sz w:val="22"/>
                <w:szCs w:val="22"/>
              </w:rPr>
            </w:pPr>
          </w:p>
        </w:tc>
        <w:tc>
          <w:tcPr>
            <w:tcW w:w="584" w:type="pct"/>
            <w:tcBorders>
              <w:top w:val="nil"/>
              <w:left w:val="nil"/>
              <w:bottom w:val="single" w:color="auto" w:sz="4" w:space="0"/>
              <w:right w:val="single" w:color="auto" w:sz="4" w:space="0"/>
            </w:tcBorders>
            <w:vAlign w:val="center"/>
          </w:tcPr>
          <w:p>
            <w:pPr>
              <w:jc w:val="center"/>
              <w:rPr>
                <w:rFonts w:ascii="宋体" w:cs="宋体"/>
                <w:color w:val="000000"/>
                <w:sz w:val="22"/>
                <w:szCs w:val="22"/>
              </w:rPr>
            </w:pPr>
            <w:r>
              <w:rPr>
                <w:color w:val="000000"/>
                <w:sz w:val="22"/>
                <w:szCs w:val="22"/>
              </w:rPr>
              <w:t>32</w:t>
            </w:r>
          </w:p>
        </w:tc>
        <w:tc>
          <w:tcPr>
            <w:tcW w:w="2182" w:type="pct"/>
            <w:tcBorders>
              <w:top w:val="nil"/>
              <w:left w:val="nil"/>
              <w:bottom w:val="single" w:color="auto" w:sz="4" w:space="0"/>
              <w:right w:val="single" w:color="auto" w:sz="4" w:space="0"/>
            </w:tcBorders>
            <w:vAlign w:val="center"/>
          </w:tcPr>
          <w:p>
            <w:pPr>
              <w:jc w:val="center"/>
              <w:rPr>
                <w:rFonts w:ascii="宋体" w:cs="宋体"/>
                <w:color w:val="000000"/>
                <w:sz w:val="22"/>
                <w:szCs w:val="22"/>
              </w:rPr>
            </w:pPr>
            <w:r>
              <w:rPr>
                <w:rFonts w:hint="eastAsia"/>
                <w:color w:val="000000"/>
                <w:sz w:val="22"/>
                <w:szCs w:val="22"/>
              </w:rPr>
              <w:t>城镇独生子女家庭奖励</w:t>
            </w:r>
          </w:p>
        </w:tc>
        <w:tc>
          <w:tcPr>
            <w:tcW w:w="831" w:type="pct"/>
            <w:tcBorders>
              <w:top w:val="nil"/>
              <w:left w:val="nil"/>
              <w:bottom w:val="single" w:color="auto" w:sz="4" w:space="0"/>
              <w:right w:val="single" w:color="auto" w:sz="4" w:space="0"/>
            </w:tcBorders>
            <w:noWrap/>
            <w:vAlign w:val="center"/>
          </w:tcPr>
          <w:p>
            <w:pPr>
              <w:jc w:val="center"/>
              <w:rPr>
                <w:rFonts w:ascii="宋体" w:cs="宋体"/>
                <w:color w:val="000000"/>
                <w:sz w:val="22"/>
                <w:szCs w:val="22"/>
              </w:rPr>
            </w:pPr>
            <w:r>
              <w:rPr>
                <w:color w:val="000000"/>
                <w:sz w:val="22"/>
                <w:szCs w:val="22"/>
              </w:rPr>
              <w:t>406</w:t>
            </w:r>
          </w:p>
        </w:tc>
      </w:tr>
      <w:tr>
        <w:tblPrEx>
          <w:tblCellMar>
            <w:top w:w="0" w:type="dxa"/>
            <w:left w:w="108" w:type="dxa"/>
            <w:bottom w:w="0" w:type="dxa"/>
            <w:right w:w="108" w:type="dxa"/>
          </w:tblCellMar>
        </w:tblPrEx>
        <w:trPr>
          <w:trHeight w:val="360" w:hRule="atLeast"/>
        </w:trPr>
        <w:tc>
          <w:tcPr>
            <w:tcW w:w="1403" w:type="pct"/>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cs="宋体"/>
                <w:color w:val="000000"/>
                <w:sz w:val="22"/>
                <w:szCs w:val="22"/>
              </w:rPr>
            </w:pPr>
            <w:r>
              <w:rPr>
                <w:rFonts w:hint="eastAsia"/>
                <w:color w:val="000000"/>
                <w:sz w:val="22"/>
                <w:szCs w:val="22"/>
              </w:rPr>
              <w:t>商粮局</w:t>
            </w:r>
          </w:p>
        </w:tc>
        <w:tc>
          <w:tcPr>
            <w:tcW w:w="584" w:type="pct"/>
            <w:tcBorders>
              <w:top w:val="nil"/>
              <w:left w:val="nil"/>
              <w:bottom w:val="single" w:color="auto" w:sz="4" w:space="0"/>
              <w:right w:val="single" w:color="auto" w:sz="4" w:space="0"/>
            </w:tcBorders>
            <w:vAlign w:val="center"/>
          </w:tcPr>
          <w:p>
            <w:pPr>
              <w:jc w:val="center"/>
              <w:rPr>
                <w:rFonts w:ascii="宋体" w:cs="宋体"/>
                <w:color w:val="000000"/>
                <w:sz w:val="22"/>
                <w:szCs w:val="22"/>
              </w:rPr>
            </w:pPr>
            <w:r>
              <w:rPr>
                <w:color w:val="000000"/>
                <w:sz w:val="22"/>
                <w:szCs w:val="22"/>
              </w:rPr>
              <w:t>33</w:t>
            </w:r>
          </w:p>
        </w:tc>
        <w:tc>
          <w:tcPr>
            <w:tcW w:w="2182" w:type="pct"/>
            <w:tcBorders>
              <w:top w:val="nil"/>
              <w:left w:val="nil"/>
              <w:bottom w:val="single" w:color="auto" w:sz="4" w:space="0"/>
              <w:right w:val="single" w:color="auto" w:sz="4" w:space="0"/>
            </w:tcBorders>
            <w:vAlign w:val="center"/>
          </w:tcPr>
          <w:p>
            <w:pPr>
              <w:jc w:val="center"/>
              <w:rPr>
                <w:rFonts w:ascii="宋体" w:cs="宋体"/>
                <w:color w:val="000000"/>
                <w:sz w:val="22"/>
                <w:szCs w:val="22"/>
              </w:rPr>
            </w:pPr>
            <w:r>
              <w:rPr>
                <w:rFonts w:hint="eastAsia"/>
                <w:color w:val="000000"/>
                <w:sz w:val="22"/>
                <w:szCs w:val="22"/>
              </w:rPr>
              <w:t>县级粮食储备经费</w:t>
            </w:r>
          </w:p>
        </w:tc>
        <w:tc>
          <w:tcPr>
            <w:tcW w:w="831" w:type="pct"/>
            <w:tcBorders>
              <w:top w:val="nil"/>
              <w:left w:val="nil"/>
              <w:bottom w:val="single" w:color="auto" w:sz="4" w:space="0"/>
              <w:right w:val="single" w:color="auto" w:sz="4" w:space="0"/>
            </w:tcBorders>
            <w:noWrap/>
            <w:vAlign w:val="center"/>
          </w:tcPr>
          <w:p>
            <w:pPr>
              <w:jc w:val="center"/>
              <w:rPr>
                <w:rFonts w:ascii="宋体" w:cs="宋体"/>
                <w:color w:val="000000"/>
                <w:sz w:val="22"/>
                <w:szCs w:val="22"/>
              </w:rPr>
            </w:pPr>
            <w:r>
              <w:rPr>
                <w:color w:val="000000"/>
                <w:sz w:val="22"/>
                <w:szCs w:val="22"/>
              </w:rPr>
              <w:t>170</w:t>
            </w:r>
          </w:p>
        </w:tc>
      </w:tr>
      <w:tr>
        <w:tblPrEx>
          <w:tblCellMar>
            <w:top w:w="0" w:type="dxa"/>
            <w:left w:w="108" w:type="dxa"/>
            <w:bottom w:w="0" w:type="dxa"/>
            <w:right w:w="108" w:type="dxa"/>
          </w:tblCellMar>
        </w:tblPrEx>
        <w:trPr>
          <w:gridBefore w:val="1"/>
          <w:wBefore w:w="7" w:type="dxa"/>
          <w:trHeight w:val="360" w:hRule="atLeast"/>
        </w:trPr>
        <w:tc>
          <w:tcPr>
            <w:tcW w:w="1403" w:type="pct"/>
            <w:tcBorders>
              <w:top w:val="nil"/>
              <w:left w:val="single" w:color="auto" w:sz="4" w:space="0"/>
              <w:bottom w:val="nil"/>
              <w:right w:val="single" w:color="auto" w:sz="4" w:space="0"/>
            </w:tcBorders>
            <w:vAlign w:val="center"/>
          </w:tcPr>
          <w:p>
            <w:pPr>
              <w:jc w:val="center"/>
              <w:rPr>
                <w:rFonts w:ascii="宋体" w:cs="宋体"/>
                <w:color w:val="000000"/>
                <w:sz w:val="22"/>
                <w:szCs w:val="22"/>
              </w:rPr>
            </w:pPr>
            <w:r>
              <w:rPr>
                <w:rFonts w:hint="eastAsia"/>
                <w:color w:val="000000"/>
                <w:sz w:val="22"/>
                <w:szCs w:val="22"/>
              </w:rPr>
              <w:t>组织部</w:t>
            </w:r>
          </w:p>
        </w:tc>
        <w:tc>
          <w:tcPr>
            <w:tcW w:w="584" w:type="pct"/>
            <w:tcBorders>
              <w:top w:val="nil"/>
              <w:left w:val="nil"/>
              <w:bottom w:val="single" w:color="auto" w:sz="4" w:space="0"/>
              <w:right w:val="single" w:color="auto" w:sz="4" w:space="0"/>
            </w:tcBorders>
            <w:vAlign w:val="center"/>
          </w:tcPr>
          <w:p>
            <w:pPr>
              <w:jc w:val="center"/>
              <w:rPr>
                <w:rFonts w:ascii="宋体" w:cs="宋体"/>
                <w:color w:val="000000"/>
                <w:sz w:val="22"/>
                <w:szCs w:val="22"/>
              </w:rPr>
            </w:pPr>
            <w:r>
              <w:rPr>
                <w:color w:val="000000"/>
                <w:sz w:val="22"/>
                <w:szCs w:val="22"/>
              </w:rPr>
              <w:t>34</w:t>
            </w:r>
          </w:p>
        </w:tc>
        <w:tc>
          <w:tcPr>
            <w:tcW w:w="2182" w:type="pct"/>
            <w:tcBorders>
              <w:top w:val="nil"/>
              <w:left w:val="nil"/>
              <w:bottom w:val="single" w:color="auto" w:sz="4" w:space="0"/>
              <w:right w:val="single" w:color="auto" w:sz="4" w:space="0"/>
            </w:tcBorders>
            <w:vAlign w:val="center"/>
          </w:tcPr>
          <w:p>
            <w:pPr>
              <w:jc w:val="center"/>
              <w:rPr>
                <w:rFonts w:ascii="宋体" w:cs="宋体"/>
                <w:color w:val="000000"/>
                <w:sz w:val="22"/>
                <w:szCs w:val="22"/>
              </w:rPr>
            </w:pPr>
            <w:r>
              <w:rPr>
                <w:rFonts w:hint="eastAsia"/>
                <w:color w:val="000000"/>
                <w:sz w:val="22"/>
                <w:szCs w:val="22"/>
              </w:rPr>
              <w:t>党员培训</w:t>
            </w:r>
          </w:p>
        </w:tc>
        <w:tc>
          <w:tcPr>
            <w:tcW w:w="831" w:type="pct"/>
            <w:tcBorders>
              <w:top w:val="nil"/>
              <w:left w:val="nil"/>
              <w:bottom w:val="single" w:color="auto" w:sz="4" w:space="0"/>
              <w:right w:val="single" w:color="auto" w:sz="4" w:space="0"/>
            </w:tcBorders>
            <w:noWrap/>
            <w:vAlign w:val="center"/>
          </w:tcPr>
          <w:p>
            <w:pPr>
              <w:jc w:val="center"/>
              <w:rPr>
                <w:rFonts w:ascii="宋体" w:cs="宋体"/>
                <w:color w:val="000000"/>
                <w:sz w:val="22"/>
                <w:szCs w:val="22"/>
              </w:rPr>
            </w:pPr>
            <w:r>
              <w:rPr>
                <w:color w:val="000000"/>
                <w:sz w:val="22"/>
                <w:szCs w:val="22"/>
              </w:rPr>
              <w:t>75</w:t>
            </w:r>
          </w:p>
        </w:tc>
      </w:tr>
      <w:tr>
        <w:tblPrEx>
          <w:tblCellMar>
            <w:top w:w="0" w:type="dxa"/>
            <w:left w:w="108" w:type="dxa"/>
            <w:bottom w:w="0" w:type="dxa"/>
            <w:right w:w="108" w:type="dxa"/>
          </w:tblCellMar>
        </w:tblPrEx>
        <w:trPr>
          <w:gridBefore w:val="1"/>
          <w:wBefore w:w="7" w:type="dxa"/>
          <w:trHeight w:val="360" w:hRule="atLeast"/>
        </w:trPr>
        <w:tc>
          <w:tcPr>
            <w:tcW w:w="1403" w:type="pct"/>
            <w:tcBorders>
              <w:top w:val="single" w:color="auto" w:sz="4" w:space="0"/>
              <w:left w:val="single" w:color="auto" w:sz="4" w:space="0"/>
              <w:bottom w:val="nil"/>
              <w:right w:val="single" w:color="auto" w:sz="4" w:space="0"/>
            </w:tcBorders>
            <w:vAlign w:val="center"/>
          </w:tcPr>
          <w:p>
            <w:pPr>
              <w:jc w:val="center"/>
              <w:rPr>
                <w:rFonts w:ascii="宋体" w:cs="宋体"/>
                <w:color w:val="000000"/>
                <w:sz w:val="22"/>
                <w:szCs w:val="22"/>
              </w:rPr>
            </w:pPr>
            <w:r>
              <w:rPr>
                <w:rFonts w:hint="eastAsia"/>
                <w:color w:val="000000"/>
                <w:sz w:val="22"/>
                <w:szCs w:val="22"/>
              </w:rPr>
              <w:t>宣传部</w:t>
            </w:r>
          </w:p>
        </w:tc>
        <w:tc>
          <w:tcPr>
            <w:tcW w:w="584" w:type="pct"/>
            <w:tcBorders>
              <w:top w:val="nil"/>
              <w:left w:val="nil"/>
              <w:bottom w:val="single" w:color="auto" w:sz="4" w:space="0"/>
              <w:right w:val="single" w:color="auto" w:sz="4" w:space="0"/>
            </w:tcBorders>
            <w:vAlign w:val="center"/>
          </w:tcPr>
          <w:p>
            <w:pPr>
              <w:jc w:val="center"/>
              <w:rPr>
                <w:rFonts w:ascii="宋体" w:cs="宋体"/>
                <w:color w:val="000000"/>
                <w:sz w:val="22"/>
                <w:szCs w:val="22"/>
              </w:rPr>
            </w:pPr>
            <w:r>
              <w:rPr>
                <w:color w:val="000000"/>
                <w:sz w:val="22"/>
                <w:szCs w:val="22"/>
              </w:rPr>
              <w:t>35</w:t>
            </w:r>
          </w:p>
        </w:tc>
        <w:tc>
          <w:tcPr>
            <w:tcW w:w="2182" w:type="pct"/>
            <w:tcBorders>
              <w:top w:val="nil"/>
              <w:left w:val="nil"/>
              <w:bottom w:val="single" w:color="auto" w:sz="4" w:space="0"/>
              <w:right w:val="single" w:color="auto" w:sz="4" w:space="0"/>
            </w:tcBorders>
            <w:vAlign w:val="center"/>
          </w:tcPr>
          <w:p>
            <w:pPr>
              <w:jc w:val="center"/>
              <w:rPr>
                <w:rFonts w:ascii="宋体" w:cs="宋体"/>
                <w:color w:val="000000"/>
                <w:sz w:val="22"/>
                <w:szCs w:val="22"/>
              </w:rPr>
            </w:pPr>
            <w:r>
              <w:rPr>
                <w:rFonts w:hint="eastAsia"/>
                <w:color w:val="000000"/>
                <w:sz w:val="22"/>
                <w:szCs w:val="22"/>
              </w:rPr>
              <w:t>文明创建</w:t>
            </w:r>
          </w:p>
        </w:tc>
        <w:tc>
          <w:tcPr>
            <w:tcW w:w="831" w:type="pct"/>
            <w:tcBorders>
              <w:top w:val="nil"/>
              <w:left w:val="nil"/>
              <w:bottom w:val="single" w:color="auto" w:sz="4" w:space="0"/>
              <w:right w:val="single" w:color="auto" w:sz="4" w:space="0"/>
            </w:tcBorders>
            <w:noWrap/>
            <w:vAlign w:val="center"/>
          </w:tcPr>
          <w:p>
            <w:pPr>
              <w:jc w:val="center"/>
              <w:rPr>
                <w:rFonts w:ascii="宋体" w:cs="宋体"/>
                <w:color w:val="000000"/>
                <w:sz w:val="22"/>
                <w:szCs w:val="22"/>
              </w:rPr>
            </w:pPr>
            <w:r>
              <w:rPr>
                <w:color w:val="000000"/>
                <w:sz w:val="22"/>
                <w:szCs w:val="22"/>
              </w:rPr>
              <w:t>30</w:t>
            </w:r>
          </w:p>
        </w:tc>
      </w:tr>
      <w:tr>
        <w:tblPrEx>
          <w:tblCellMar>
            <w:top w:w="0" w:type="dxa"/>
            <w:left w:w="108" w:type="dxa"/>
            <w:bottom w:w="0" w:type="dxa"/>
            <w:right w:w="108" w:type="dxa"/>
          </w:tblCellMar>
        </w:tblPrEx>
        <w:trPr>
          <w:gridBefore w:val="1"/>
          <w:wBefore w:w="7" w:type="dxa"/>
          <w:trHeight w:val="360" w:hRule="atLeast"/>
        </w:trPr>
        <w:tc>
          <w:tcPr>
            <w:tcW w:w="1403" w:type="pct"/>
            <w:tcBorders>
              <w:top w:val="single" w:color="auto" w:sz="4" w:space="0"/>
              <w:left w:val="single" w:color="auto" w:sz="4" w:space="0"/>
              <w:bottom w:val="nil"/>
              <w:right w:val="single" w:color="auto" w:sz="4" w:space="0"/>
            </w:tcBorders>
            <w:vAlign w:val="center"/>
          </w:tcPr>
          <w:p>
            <w:pPr>
              <w:jc w:val="center"/>
              <w:rPr>
                <w:rFonts w:ascii="宋体" w:cs="宋体"/>
                <w:color w:val="000000"/>
                <w:sz w:val="22"/>
                <w:szCs w:val="22"/>
              </w:rPr>
            </w:pPr>
            <w:r>
              <w:rPr>
                <w:rFonts w:hint="eastAsia"/>
                <w:color w:val="000000"/>
                <w:sz w:val="22"/>
                <w:szCs w:val="22"/>
              </w:rPr>
              <w:t>党校</w:t>
            </w:r>
          </w:p>
        </w:tc>
        <w:tc>
          <w:tcPr>
            <w:tcW w:w="584" w:type="pct"/>
            <w:tcBorders>
              <w:top w:val="nil"/>
              <w:left w:val="nil"/>
              <w:bottom w:val="single" w:color="auto" w:sz="4" w:space="0"/>
              <w:right w:val="single" w:color="auto" w:sz="4" w:space="0"/>
            </w:tcBorders>
            <w:vAlign w:val="center"/>
          </w:tcPr>
          <w:p>
            <w:pPr>
              <w:jc w:val="center"/>
              <w:rPr>
                <w:rFonts w:ascii="宋体" w:cs="宋体"/>
                <w:color w:val="000000"/>
                <w:sz w:val="22"/>
                <w:szCs w:val="22"/>
              </w:rPr>
            </w:pPr>
            <w:r>
              <w:rPr>
                <w:color w:val="000000"/>
                <w:sz w:val="22"/>
                <w:szCs w:val="22"/>
              </w:rPr>
              <w:t>36</w:t>
            </w:r>
          </w:p>
        </w:tc>
        <w:tc>
          <w:tcPr>
            <w:tcW w:w="2182" w:type="pct"/>
            <w:tcBorders>
              <w:top w:val="nil"/>
              <w:left w:val="nil"/>
              <w:bottom w:val="single" w:color="auto" w:sz="4" w:space="0"/>
              <w:right w:val="single" w:color="auto" w:sz="4" w:space="0"/>
            </w:tcBorders>
            <w:vAlign w:val="center"/>
          </w:tcPr>
          <w:p>
            <w:pPr>
              <w:jc w:val="center"/>
              <w:rPr>
                <w:rFonts w:ascii="宋体" w:cs="宋体"/>
                <w:color w:val="000000"/>
                <w:sz w:val="22"/>
                <w:szCs w:val="22"/>
              </w:rPr>
            </w:pPr>
            <w:r>
              <w:rPr>
                <w:rFonts w:hint="eastAsia"/>
                <w:color w:val="000000"/>
                <w:sz w:val="22"/>
                <w:szCs w:val="22"/>
              </w:rPr>
              <w:t>主体培训</w:t>
            </w:r>
          </w:p>
        </w:tc>
        <w:tc>
          <w:tcPr>
            <w:tcW w:w="831" w:type="pct"/>
            <w:tcBorders>
              <w:top w:val="nil"/>
              <w:left w:val="nil"/>
              <w:bottom w:val="single" w:color="auto" w:sz="4" w:space="0"/>
              <w:right w:val="single" w:color="auto" w:sz="4" w:space="0"/>
            </w:tcBorders>
            <w:noWrap/>
            <w:vAlign w:val="center"/>
          </w:tcPr>
          <w:p>
            <w:pPr>
              <w:jc w:val="center"/>
              <w:rPr>
                <w:rFonts w:ascii="宋体" w:cs="宋体"/>
                <w:color w:val="000000"/>
                <w:sz w:val="22"/>
                <w:szCs w:val="22"/>
              </w:rPr>
            </w:pPr>
            <w:r>
              <w:rPr>
                <w:color w:val="000000"/>
                <w:sz w:val="22"/>
                <w:szCs w:val="22"/>
              </w:rPr>
              <w:t>89</w:t>
            </w:r>
          </w:p>
        </w:tc>
      </w:tr>
      <w:tr>
        <w:tblPrEx>
          <w:tblCellMar>
            <w:top w:w="0" w:type="dxa"/>
            <w:left w:w="108" w:type="dxa"/>
            <w:bottom w:w="0" w:type="dxa"/>
            <w:right w:w="108" w:type="dxa"/>
          </w:tblCellMar>
        </w:tblPrEx>
        <w:trPr>
          <w:gridBefore w:val="1"/>
          <w:wBefore w:w="7" w:type="dxa"/>
          <w:trHeight w:val="360" w:hRule="atLeast"/>
        </w:trPr>
        <w:tc>
          <w:tcPr>
            <w:tcW w:w="1403" w:type="pct"/>
            <w:tcBorders>
              <w:top w:val="single" w:color="auto" w:sz="4" w:space="0"/>
              <w:left w:val="single" w:color="auto" w:sz="4" w:space="0"/>
              <w:bottom w:val="nil"/>
              <w:right w:val="single" w:color="auto" w:sz="4" w:space="0"/>
            </w:tcBorders>
            <w:vAlign w:val="center"/>
          </w:tcPr>
          <w:p>
            <w:pPr>
              <w:jc w:val="center"/>
              <w:rPr>
                <w:rFonts w:ascii="宋体" w:cs="宋体"/>
                <w:color w:val="000000"/>
                <w:sz w:val="22"/>
                <w:szCs w:val="22"/>
              </w:rPr>
            </w:pPr>
            <w:r>
              <w:rPr>
                <w:rFonts w:hint="eastAsia"/>
                <w:color w:val="000000"/>
                <w:sz w:val="22"/>
                <w:szCs w:val="22"/>
              </w:rPr>
              <w:t>政务中心</w:t>
            </w:r>
          </w:p>
        </w:tc>
        <w:tc>
          <w:tcPr>
            <w:tcW w:w="584" w:type="pct"/>
            <w:tcBorders>
              <w:top w:val="nil"/>
              <w:left w:val="nil"/>
              <w:bottom w:val="single" w:color="auto" w:sz="4" w:space="0"/>
              <w:right w:val="single" w:color="auto" w:sz="4" w:space="0"/>
            </w:tcBorders>
            <w:vAlign w:val="center"/>
          </w:tcPr>
          <w:p>
            <w:pPr>
              <w:jc w:val="center"/>
              <w:rPr>
                <w:rFonts w:ascii="宋体" w:cs="宋体"/>
                <w:color w:val="000000"/>
                <w:sz w:val="22"/>
                <w:szCs w:val="22"/>
              </w:rPr>
            </w:pPr>
            <w:r>
              <w:rPr>
                <w:color w:val="000000"/>
                <w:sz w:val="22"/>
                <w:szCs w:val="22"/>
              </w:rPr>
              <w:t>37</w:t>
            </w:r>
          </w:p>
        </w:tc>
        <w:tc>
          <w:tcPr>
            <w:tcW w:w="2182" w:type="pct"/>
            <w:tcBorders>
              <w:top w:val="nil"/>
              <w:left w:val="nil"/>
              <w:bottom w:val="single" w:color="auto" w:sz="4" w:space="0"/>
              <w:right w:val="single" w:color="auto" w:sz="4" w:space="0"/>
            </w:tcBorders>
            <w:vAlign w:val="center"/>
          </w:tcPr>
          <w:p>
            <w:pPr>
              <w:jc w:val="center"/>
              <w:rPr>
                <w:rFonts w:ascii="宋体" w:cs="宋体"/>
                <w:color w:val="000000"/>
                <w:sz w:val="22"/>
                <w:szCs w:val="22"/>
              </w:rPr>
            </w:pPr>
            <w:r>
              <w:rPr>
                <w:rFonts w:hint="eastAsia"/>
                <w:color w:val="000000"/>
                <w:sz w:val="22"/>
                <w:szCs w:val="22"/>
              </w:rPr>
              <w:t>电子政务专项</w:t>
            </w:r>
          </w:p>
        </w:tc>
        <w:tc>
          <w:tcPr>
            <w:tcW w:w="831" w:type="pct"/>
            <w:tcBorders>
              <w:top w:val="nil"/>
              <w:left w:val="nil"/>
              <w:bottom w:val="single" w:color="auto" w:sz="4" w:space="0"/>
              <w:right w:val="single" w:color="auto" w:sz="4" w:space="0"/>
            </w:tcBorders>
            <w:noWrap/>
            <w:vAlign w:val="center"/>
          </w:tcPr>
          <w:p>
            <w:pPr>
              <w:jc w:val="center"/>
              <w:rPr>
                <w:rFonts w:ascii="宋体" w:cs="宋体"/>
                <w:color w:val="000000"/>
                <w:sz w:val="22"/>
                <w:szCs w:val="22"/>
              </w:rPr>
            </w:pPr>
            <w:r>
              <w:rPr>
                <w:color w:val="000000"/>
                <w:sz w:val="22"/>
                <w:szCs w:val="22"/>
              </w:rPr>
              <w:t>240</w:t>
            </w:r>
          </w:p>
        </w:tc>
      </w:tr>
      <w:tr>
        <w:tblPrEx>
          <w:tblCellMar>
            <w:top w:w="0" w:type="dxa"/>
            <w:left w:w="108" w:type="dxa"/>
            <w:bottom w:w="0" w:type="dxa"/>
            <w:right w:w="108" w:type="dxa"/>
          </w:tblCellMar>
        </w:tblPrEx>
        <w:trPr>
          <w:gridBefore w:val="1"/>
          <w:wBefore w:w="7" w:type="dxa"/>
          <w:trHeight w:val="360" w:hRule="atLeast"/>
        </w:trPr>
        <w:tc>
          <w:tcPr>
            <w:tcW w:w="1403" w:type="pct"/>
            <w:tcBorders>
              <w:top w:val="single" w:color="auto" w:sz="4" w:space="0"/>
              <w:left w:val="single" w:color="auto" w:sz="4" w:space="0"/>
              <w:bottom w:val="nil"/>
              <w:right w:val="single" w:color="auto" w:sz="4" w:space="0"/>
            </w:tcBorders>
            <w:vAlign w:val="center"/>
          </w:tcPr>
          <w:p>
            <w:pPr>
              <w:jc w:val="center"/>
              <w:rPr>
                <w:rFonts w:ascii="宋体" w:cs="宋体"/>
                <w:color w:val="000000"/>
                <w:sz w:val="22"/>
                <w:szCs w:val="22"/>
              </w:rPr>
            </w:pPr>
            <w:r>
              <w:rPr>
                <w:rFonts w:hint="eastAsia"/>
                <w:color w:val="000000"/>
                <w:sz w:val="22"/>
                <w:szCs w:val="22"/>
              </w:rPr>
              <w:t>应急管理局</w:t>
            </w:r>
          </w:p>
        </w:tc>
        <w:tc>
          <w:tcPr>
            <w:tcW w:w="584" w:type="pct"/>
            <w:tcBorders>
              <w:top w:val="nil"/>
              <w:left w:val="nil"/>
              <w:bottom w:val="single" w:color="auto" w:sz="4" w:space="0"/>
              <w:right w:val="single" w:color="auto" w:sz="4" w:space="0"/>
            </w:tcBorders>
            <w:vAlign w:val="center"/>
          </w:tcPr>
          <w:p>
            <w:pPr>
              <w:jc w:val="center"/>
              <w:rPr>
                <w:rFonts w:ascii="宋体" w:cs="宋体"/>
                <w:color w:val="000000"/>
                <w:sz w:val="22"/>
                <w:szCs w:val="22"/>
              </w:rPr>
            </w:pPr>
            <w:r>
              <w:rPr>
                <w:color w:val="000000"/>
                <w:sz w:val="22"/>
                <w:szCs w:val="22"/>
              </w:rPr>
              <w:t>38</w:t>
            </w:r>
          </w:p>
        </w:tc>
        <w:tc>
          <w:tcPr>
            <w:tcW w:w="2182" w:type="pct"/>
            <w:tcBorders>
              <w:top w:val="nil"/>
              <w:left w:val="nil"/>
              <w:bottom w:val="single" w:color="auto" w:sz="4" w:space="0"/>
              <w:right w:val="single" w:color="auto" w:sz="4" w:space="0"/>
            </w:tcBorders>
            <w:vAlign w:val="center"/>
          </w:tcPr>
          <w:p>
            <w:pPr>
              <w:jc w:val="center"/>
              <w:rPr>
                <w:rFonts w:ascii="宋体" w:cs="宋体"/>
                <w:color w:val="000000"/>
                <w:sz w:val="22"/>
                <w:szCs w:val="22"/>
              </w:rPr>
            </w:pPr>
            <w:r>
              <w:rPr>
                <w:rFonts w:hint="eastAsia"/>
                <w:color w:val="000000"/>
                <w:sz w:val="22"/>
                <w:szCs w:val="22"/>
              </w:rPr>
              <w:t>打非执法</w:t>
            </w:r>
          </w:p>
        </w:tc>
        <w:tc>
          <w:tcPr>
            <w:tcW w:w="831" w:type="pct"/>
            <w:tcBorders>
              <w:top w:val="nil"/>
              <w:left w:val="nil"/>
              <w:bottom w:val="single" w:color="auto" w:sz="4" w:space="0"/>
              <w:right w:val="single" w:color="auto" w:sz="4" w:space="0"/>
            </w:tcBorders>
            <w:noWrap/>
            <w:vAlign w:val="center"/>
          </w:tcPr>
          <w:p>
            <w:pPr>
              <w:jc w:val="center"/>
              <w:rPr>
                <w:rFonts w:ascii="宋体" w:cs="宋体"/>
                <w:color w:val="000000"/>
                <w:sz w:val="22"/>
                <w:szCs w:val="22"/>
              </w:rPr>
            </w:pPr>
            <w:r>
              <w:rPr>
                <w:color w:val="000000"/>
                <w:sz w:val="22"/>
                <w:szCs w:val="22"/>
              </w:rPr>
              <w:t>52</w:t>
            </w:r>
          </w:p>
        </w:tc>
      </w:tr>
      <w:tr>
        <w:tblPrEx>
          <w:tblCellMar>
            <w:top w:w="0" w:type="dxa"/>
            <w:left w:w="108" w:type="dxa"/>
            <w:bottom w:w="0" w:type="dxa"/>
            <w:right w:w="108" w:type="dxa"/>
          </w:tblCellMar>
        </w:tblPrEx>
        <w:trPr>
          <w:gridBefore w:val="1"/>
          <w:wBefore w:w="7" w:type="dxa"/>
          <w:trHeight w:val="360" w:hRule="atLeast"/>
        </w:trPr>
        <w:tc>
          <w:tcPr>
            <w:tcW w:w="1403" w:type="pct"/>
            <w:tcBorders>
              <w:top w:val="single" w:color="auto" w:sz="4" w:space="0"/>
              <w:left w:val="single" w:color="auto" w:sz="4" w:space="0"/>
              <w:bottom w:val="nil"/>
              <w:right w:val="single" w:color="auto" w:sz="4" w:space="0"/>
            </w:tcBorders>
            <w:vAlign w:val="center"/>
          </w:tcPr>
          <w:p>
            <w:pPr>
              <w:jc w:val="center"/>
              <w:rPr>
                <w:rFonts w:ascii="宋体" w:cs="宋体"/>
                <w:color w:val="000000"/>
                <w:sz w:val="22"/>
                <w:szCs w:val="22"/>
              </w:rPr>
            </w:pPr>
            <w:r>
              <w:rPr>
                <w:rFonts w:hint="eastAsia"/>
                <w:color w:val="000000"/>
                <w:sz w:val="22"/>
                <w:szCs w:val="22"/>
              </w:rPr>
              <w:t>退役军人事务局</w:t>
            </w:r>
          </w:p>
        </w:tc>
        <w:tc>
          <w:tcPr>
            <w:tcW w:w="584" w:type="pct"/>
            <w:tcBorders>
              <w:top w:val="nil"/>
              <w:left w:val="nil"/>
              <w:bottom w:val="single" w:color="auto" w:sz="4" w:space="0"/>
              <w:right w:val="single" w:color="auto" w:sz="4" w:space="0"/>
            </w:tcBorders>
            <w:vAlign w:val="center"/>
          </w:tcPr>
          <w:p>
            <w:pPr>
              <w:jc w:val="center"/>
              <w:rPr>
                <w:rFonts w:ascii="宋体" w:cs="宋体"/>
                <w:color w:val="000000"/>
                <w:sz w:val="22"/>
                <w:szCs w:val="22"/>
              </w:rPr>
            </w:pPr>
            <w:r>
              <w:rPr>
                <w:color w:val="000000"/>
                <w:sz w:val="22"/>
                <w:szCs w:val="22"/>
              </w:rPr>
              <w:t>39</w:t>
            </w:r>
          </w:p>
        </w:tc>
        <w:tc>
          <w:tcPr>
            <w:tcW w:w="2182" w:type="pct"/>
            <w:tcBorders>
              <w:top w:val="nil"/>
              <w:left w:val="nil"/>
              <w:bottom w:val="single" w:color="auto" w:sz="4" w:space="0"/>
              <w:right w:val="single" w:color="auto" w:sz="4" w:space="0"/>
            </w:tcBorders>
            <w:vAlign w:val="center"/>
          </w:tcPr>
          <w:p>
            <w:pPr>
              <w:jc w:val="center"/>
              <w:rPr>
                <w:rFonts w:ascii="宋体" w:cs="宋体"/>
                <w:color w:val="000000"/>
                <w:sz w:val="22"/>
                <w:szCs w:val="22"/>
              </w:rPr>
            </w:pPr>
            <w:r>
              <w:rPr>
                <w:rFonts w:hint="eastAsia"/>
                <w:color w:val="000000"/>
                <w:sz w:val="22"/>
                <w:szCs w:val="22"/>
              </w:rPr>
              <w:t>义务兵优待金</w:t>
            </w:r>
          </w:p>
        </w:tc>
        <w:tc>
          <w:tcPr>
            <w:tcW w:w="831" w:type="pct"/>
            <w:tcBorders>
              <w:top w:val="nil"/>
              <w:left w:val="nil"/>
              <w:bottom w:val="single" w:color="auto" w:sz="4" w:space="0"/>
              <w:right w:val="single" w:color="auto" w:sz="4" w:space="0"/>
            </w:tcBorders>
            <w:noWrap/>
            <w:vAlign w:val="center"/>
          </w:tcPr>
          <w:p>
            <w:pPr>
              <w:jc w:val="center"/>
              <w:rPr>
                <w:rFonts w:ascii="宋体" w:cs="宋体"/>
                <w:color w:val="000000"/>
                <w:sz w:val="22"/>
                <w:szCs w:val="22"/>
              </w:rPr>
            </w:pPr>
            <w:r>
              <w:rPr>
                <w:color w:val="000000"/>
                <w:sz w:val="22"/>
                <w:szCs w:val="22"/>
              </w:rPr>
              <w:t>157</w:t>
            </w:r>
          </w:p>
        </w:tc>
      </w:tr>
      <w:tr>
        <w:tblPrEx>
          <w:tblCellMar>
            <w:top w:w="0" w:type="dxa"/>
            <w:left w:w="108" w:type="dxa"/>
            <w:bottom w:w="0" w:type="dxa"/>
            <w:right w:w="108" w:type="dxa"/>
          </w:tblCellMar>
        </w:tblPrEx>
        <w:trPr>
          <w:gridBefore w:val="1"/>
          <w:wBefore w:w="7" w:type="dxa"/>
          <w:trHeight w:val="360" w:hRule="atLeast"/>
        </w:trPr>
        <w:tc>
          <w:tcPr>
            <w:tcW w:w="1403" w:type="pct"/>
            <w:tcBorders>
              <w:top w:val="single" w:color="auto" w:sz="4" w:space="0"/>
              <w:left w:val="single" w:color="auto" w:sz="4" w:space="0"/>
              <w:bottom w:val="nil"/>
              <w:right w:val="single" w:color="auto" w:sz="4" w:space="0"/>
            </w:tcBorders>
            <w:vAlign w:val="center"/>
          </w:tcPr>
          <w:p>
            <w:pPr>
              <w:jc w:val="center"/>
              <w:rPr>
                <w:rFonts w:ascii="宋体" w:cs="宋体"/>
                <w:color w:val="000000"/>
                <w:sz w:val="22"/>
                <w:szCs w:val="22"/>
              </w:rPr>
            </w:pPr>
            <w:r>
              <w:rPr>
                <w:rFonts w:hint="eastAsia"/>
                <w:color w:val="000000"/>
                <w:sz w:val="22"/>
                <w:szCs w:val="22"/>
              </w:rPr>
              <w:t>县纪委</w:t>
            </w:r>
          </w:p>
        </w:tc>
        <w:tc>
          <w:tcPr>
            <w:tcW w:w="584" w:type="pct"/>
            <w:tcBorders>
              <w:top w:val="nil"/>
              <w:left w:val="nil"/>
              <w:bottom w:val="single" w:color="auto" w:sz="4" w:space="0"/>
              <w:right w:val="single" w:color="auto" w:sz="4" w:space="0"/>
            </w:tcBorders>
            <w:vAlign w:val="center"/>
          </w:tcPr>
          <w:p>
            <w:pPr>
              <w:jc w:val="center"/>
              <w:rPr>
                <w:rFonts w:ascii="宋体" w:cs="宋体"/>
                <w:color w:val="000000"/>
                <w:sz w:val="22"/>
                <w:szCs w:val="22"/>
              </w:rPr>
            </w:pPr>
            <w:r>
              <w:rPr>
                <w:color w:val="000000"/>
                <w:sz w:val="22"/>
                <w:szCs w:val="22"/>
              </w:rPr>
              <w:t>40</w:t>
            </w:r>
          </w:p>
        </w:tc>
        <w:tc>
          <w:tcPr>
            <w:tcW w:w="2182" w:type="pct"/>
            <w:tcBorders>
              <w:top w:val="nil"/>
              <w:left w:val="nil"/>
              <w:bottom w:val="single" w:color="auto" w:sz="4" w:space="0"/>
              <w:right w:val="single" w:color="auto" w:sz="4" w:space="0"/>
            </w:tcBorders>
            <w:vAlign w:val="center"/>
          </w:tcPr>
          <w:p>
            <w:pPr>
              <w:jc w:val="center"/>
              <w:rPr>
                <w:rFonts w:ascii="宋体" w:cs="宋体"/>
                <w:color w:val="000000"/>
                <w:sz w:val="22"/>
                <w:szCs w:val="22"/>
              </w:rPr>
            </w:pPr>
            <w:r>
              <w:rPr>
                <w:rFonts w:hint="eastAsia"/>
                <w:color w:val="000000"/>
                <w:sz w:val="22"/>
                <w:szCs w:val="22"/>
              </w:rPr>
              <w:t>办案经费</w:t>
            </w:r>
          </w:p>
        </w:tc>
        <w:tc>
          <w:tcPr>
            <w:tcW w:w="831" w:type="pct"/>
            <w:tcBorders>
              <w:top w:val="nil"/>
              <w:left w:val="nil"/>
              <w:bottom w:val="single" w:color="auto" w:sz="4" w:space="0"/>
              <w:right w:val="single" w:color="auto" w:sz="4" w:space="0"/>
            </w:tcBorders>
            <w:noWrap/>
            <w:vAlign w:val="center"/>
          </w:tcPr>
          <w:p>
            <w:pPr>
              <w:jc w:val="center"/>
              <w:rPr>
                <w:rFonts w:ascii="宋体" w:cs="宋体"/>
                <w:color w:val="000000"/>
                <w:sz w:val="22"/>
                <w:szCs w:val="22"/>
              </w:rPr>
            </w:pPr>
            <w:r>
              <w:rPr>
                <w:color w:val="000000"/>
                <w:sz w:val="22"/>
                <w:szCs w:val="22"/>
              </w:rPr>
              <w:t>270</w:t>
            </w:r>
          </w:p>
        </w:tc>
      </w:tr>
      <w:tr>
        <w:tblPrEx>
          <w:tblCellMar>
            <w:top w:w="0" w:type="dxa"/>
            <w:left w:w="108" w:type="dxa"/>
            <w:bottom w:w="0" w:type="dxa"/>
            <w:right w:w="108" w:type="dxa"/>
          </w:tblCellMar>
        </w:tblPrEx>
        <w:trPr>
          <w:gridBefore w:val="1"/>
          <w:wBefore w:w="7" w:type="dxa"/>
          <w:trHeight w:val="360" w:hRule="atLeast"/>
        </w:trPr>
        <w:tc>
          <w:tcPr>
            <w:tcW w:w="1403" w:type="pct"/>
            <w:tcBorders>
              <w:top w:val="single" w:color="auto" w:sz="4" w:space="0"/>
              <w:left w:val="single" w:color="auto" w:sz="4" w:space="0"/>
              <w:bottom w:val="nil"/>
              <w:right w:val="single" w:color="auto" w:sz="4" w:space="0"/>
            </w:tcBorders>
            <w:vAlign w:val="center"/>
          </w:tcPr>
          <w:p>
            <w:pPr>
              <w:jc w:val="center"/>
              <w:rPr>
                <w:rFonts w:ascii="宋体" w:cs="宋体"/>
                <w:color w:val="000000"/>
                <w:sz w:val="22"/>
                <w:szCs w:val="22"/>
              </w:rPr>
            </w:pPr>
            <w:r>
              <w:rPr>
                <w:rFonts w:hint="eastAsia"/>
                <w:color w:val="000000"/>
                <w:sz w:val="22"/>
                <w:szCs w:val="22"/>
              </w:rPr>
              <w:t>政法委</w:t>
            </w:r>
          </w:p>
        </w:tc>
        <w:tc>
          <w:tcPr>
            <w:tcW w:w="584" w:type="pct"/>
            <w:tcBorders>
              <w:top w:val="nil"/>
              <w:left w:val="nil"/>
              <w:bottom w:val="single" w:color="auto" w:sz="4" w:space="0"/>
              <w:right w:val="single" w:color="auto" w:sz="4" w:space="0"/>
            </w:tcBorders>
            <w:vAlign w:val="center"/>
          </w:tcPr>
          <w:p>
            <w:pPr>
              <w:jc w:val="center"/>
              <w:rPr>
                <w:rFonts w:ascii="宋体" w:cs="宋体"/>
                <w:color w:val="000000"/>
                <w:sz w:val="22"/>
                <w:szCs w:val="22"/>
              </w:rPr>
            </w:pPr>
            <w:r>
              <w:rPr>
                <w:color w:val="000000"/>
                <w:sz w:val="22"/>
                <w:szCs w:val="22"/>
              </w:rPr>
              <w:t>41</w:t>
            </w:r>
          </w:p>
        </w:tc>
        <w:tc>
          <w:tcPr>
            <w:tcW w:w="2182" w:type="pct"/>
            <w:tcBorders>
              <w:top w:val="nil"/>
              <w:left w:val="nil"/>
              <w:bottom w:val="single" w:color="auto" w:sz="4" w:space="0"/>
              <w:right w:val="single" w:color="auto" w:sz="4" w:space="0"/>
            </w:tcBorders>
            <w:vAlign w:val="center"/>
          </w:tcPr>
          <w:p>
            <w:pPr>
              <w:jc w:val="center"/>
              <w:rPr>
                <w:rFonts w:ascii="宋体" w:cs="宋体"/>
                <w:color w:val="000000"/>
                <w:sz w:val="22"/>
                <w:szCs w:val="22"/>
              </w:rPr>
            </w:pPr>
            <w:r>
              <w:rPr>
                <w:rFonts w:hint="eastAsia"/>
                <w:color w:val="000000"/>
                <w:sz w:val="22"/>
                <w:szCs w:val="22"/>
              </w:rPr>
              <w:t>保平安经费</w:t>
            </w:r>
          </w:p>
        </w:tc>
        <w:tc>
          <w:tcPr>
            <w:tcW w:w="831" w:type="pct"/>
            <w:tcBorders>
              <w:top w:val="nil"/>
              <w:left w:val="nil"/>
              <w:bottom w:val="single" w:color="auto" w:sz="4" w:space="0"/>
              <w:right w:val="single" w:color="auto" w:sz="4" w:space="0"/>
            </w:tcBorders>
            <w:noWrap/>
            <w:vAlign w:val="center"/>
          </w:tcPr>
          <w:p>
            <w:pPr>
              <w:jc w:val="center"/>
              <w:rPr>
                <w:rFonts w:ascii="宋体" w:cs="宋体"/>
                <w:color w:val="000000"/>
                <w:sz w:val="22"/>
                <w:szCs w:val="22"/>
              </w:rPr>
            </w:pPr>
            <w:r>
              <w:rPr>
                <w:color w:val="000000"/>
                <w:sz w:val="22"/>
                <w:szCs w:val="22"/>
              </w:rPr>
              <w:t>754</w:t>
            </w:r>
          </w:p>
        </w:tc>
      </w:tr>
      <w:tr>
        <w:tblPrEx>
          <w:tblCellMar>
            <w:top w:w="0" w:type="dxa"/>
            <w:left w:w="108" w:type="dxa"/>
            <w:bottom w:w="0" w:type="dxa"/>
            <w:right w:w="108" w:type="dxa"/>
          </w:tblCellMar>
        </w:tblPrEx>
        <w:trPr>
          <w:gridBefore w:val="1"/>
          <w:wBefore w:w="7" w:type="dxa"/>
          <w:trHeight w:val="360" w:hRule="atLeast"/>
        </w:trPr>
        <w:tc>
          <w:tcPr>
            <w:tcW w:w="1403" w:type="pct"/>
            <w:tcBorders>
              <w:top w:val="single" w:color="auto" w:sz="4" w:space="0"/>
              <w:left w:val="single" w:color="auto" w:sz="4" w:space="0"/>
              <w:bottom w:val="nil"/>
              <w:right w:val="single" w:color="auto" w:sz="4" w:space="0"/>
            </w:tcBorders>
            <w:vAlign w:val="center"/>
          </w:tcPr>
          <w:p>
            <w:pPr>
              <w:jc w:val="center"/>
              <w:rPr>
                <w:rFonts w:ascii="宋体" w:cs="宋体"/>
                <w:color w:val="000000"/>
                <w:sz w:val="22"/>
                <w:szCs w:val="22"/>
              </w:rPr>
            </w:pPr>
            <w:r>
              <w:rPr>
                <w:rFonts w:hint="eastAsia"/>
                <w:color w:val="000000"/>
                <w:sz w:val="22"/>
                <w:szCs w:val="22"/>
              </w:rPr>
              <w:t>铁山水资源保护局</w:t>
            </w:r>
          </w:p>
        </w:tc>
        <w:tc>
          <w:tcPr>
            <w:tcW w:w="584" w:type="pct"/>
            <w:tcBorders>
              <w:top w:val="nil"/>
              <w:left w:val="nil"/>
              <w:bottom w:val="single" w:color="auto" w:sz="4" w:space="0"/>
              <w:right w:val="single" w:color="auto" w:sz="4" w:space="0"/>
            </w:tcBorders>
            <w:vAlign w:val="center"/>
          </w:tcPr>
          <w:p>
            <w:pPr>
              <w:jc w:val="center"/>
              <w:rPr>
                <w:rFonts w:ascii="宋体" w:cs="宋体"/>
                <w:color w:val="000000"/>
                <w:sz w:val="22"/>
                <w:szCs w:val="22"/>
              </w:rPr>
            </w:pPr>
            <w:r>
              <w:rPr>
                <w:color w:val="000000"/>
                <w:sz w:val="22"/>
                <w:szCs w:val="22"/>
              </w:rPr>
              <w:t>42</w:t>
            </w:r>
          </w:p>
        </w:tc>
        <w:tc>
          <w:tcPr>
            <w:tcW w:w="2182" w:type="pct"/>
            <w:tcBorders>
              <w:top w:val="nil"/>
              <w:left w:val="nil"/>
              <w:bottom w:val="single" w:color="auto" w:sz="4" w:space="0"/>
              <w:right w:val="single" w:color="auto" w:sz="4" w:space="0"/>
            </w:tcBorders>
            <w:vAlign w:val="center"/>
          </w:tcPr>
          <w:p>
            <w:pPr>
              <w:jc w:val="center"/>
              <w:rPr>
                <w:rFonts w:ascii="宋体" w:cs="宋体"/>
                <w:color w:val="000000"/>
                <w:sz w:val="22"/>
                <w:szCs w:val="22"/>
              </w:rPr>
            </w:pPr>
            <w:r>
              <w:rPr>
                <w:rFonts w:hint="eastAsia"/>
                <w:color w:val="000000"/>
                <w:sz w:val="22"/>
                <w:szCs w:val="22"/>
              </w:rPr>
              <w:t>两保专项</w:t>
            </w:r>
          </w:p>
        </w:tc>
        <w:tc>
          <w:tcPr>
            <w:tcW w:w="831" w:type="pct"/>
            <w:tcBorders>
              <w:top w:val="nil"/>
              <w:left w:val="nil"/>
              <w:bottom w:val="single" w:color="auto" w:sz="4" w:space="0"/>
              <w:right w:val="single" w:color="auto" w:sz="4" w:space="0"/>
            </w:tcBorders>
            <w:noWrap/>
            <w:vAlign w:val="center"/>
          </w:tcPr>
          <w:p>
            <w:pPr>
              <w:jc w:val="center"/>
              <w:rPr>
                <w:rFonts w:ascii="宋体" w:cs="宋体"/>
                <w:color w:val="000000"/>
                <w:sz w:val="22"/>
                <w:szCs w:val="22"/>
              </w:rPr>
            </w:pPr>
            <w:r>
              <w:rPr>
                <w:color w:val="000000"/>
                <w:sz w:val="22"/>
                <w:szCs w:val="22"/>
              </w:rPr>
              <w:t>31</w:t>
            </w:r>
          </w:p>
        </w:tc>
      </w:tr>
      <w:tr>
        <w:tblPrEx>
          <w:tblCellMar>
            <w:top w:w="0" w:type="dxa"/>
            <w:left w:w="108" w:type="dxa"/>
            <w:bottom w:w="0" w:type="dxa"/>
            <w:right w:w="108" w:type="dxa"/>
          </w:tblCellMar>
        </w:tblPrEx>
        <w:trPr>
          <w:gridBefore w:val="1"/>
          <w:wBefore w:w="7" w:type="dxa"/>
          <w:trHeight w:val="360" w:hRule="atLeast"/>
        </w:trPr>
        <w:tc>
          <w:tcPr>
            <w:tcW w:w="1403" w:type="pct"/>
            <w:tcBorders>
              <w:top w:val="single" w:color="auto" w:sz="4" w:space="0"/>
              <w:left w:val="single" w:color="auto" w:sz="4" w:space="0"/>
              <w:bottom w:val="single" w:color="auto" w:sz="4" w:space="0"/>
              <w:right w:val="single" w:color="auto" w:sz="4" w:space="0"/>
            </w:tcBorders>
            <w:vAlign w:val="center"/>
          </w:tcPr>
          <w:p>
            <w:pPr>
              <w:jc w:val="center"/>
              <w:rPr>
                <w:rFonts w:ascii="宋体" w:cs="宋体"/>
                <w:color w:val="000000"/>
                <w:sz w:val="22"/>
                <w:szCs w:val="22"/>
              </w:rPr>
            </w:pPr>
            <w:r>
              <w:rPr>
                <w:rFonts w:hint="eastAsia"/>
                <w:color w:val="000000"/>
                <w:sz w:val="22"/>
                <w:szCs w:val="22"/>
              </w:rPr>
              <w:t>司法局</w:t>
            </w:r>
          </w:p>
        </w:tc>
        <w:tc>
          <w:tcPr>
            <w:tcW w:w="584" w:type="pct"/>
            <w:tcBorders>
              <w:top w:val="nil"/>
              <w:left w:val="nil"/>
              <w:bottom w:val="single" w:color="auto" w:sz="4" w:space="0"/>
              <w:right w:val="single" w:color="auto" w:sz="4" w:space="0"/>
            </w:tcBorders>
            <w:vAlign w:val="center"/>
          </w:tcPr>
          <w:p>
            <w:pPr>
              <w:jc w:val="center"/>
              <w:rPr>
                <w:rFonts w:ascii="宋体" w:cs="宋体"/>
                <w:color w:val="000000"/>
                <w:sz w:val="22"/>
                <w:szCs w:val="22"/>
              </w:rPr>
            </w:pPr>
            <w:r>
              <w:rPr>
                <w:color w:val="000000"/>
                <w:sz w:val="22"/>
                <w:szCs w:val="22"/>
              </w:rPr>
              <w:t>43</w:t>
            </w:r>
          </w:p>
        </w:tc>
        <w:tc>
          <w:tcPr>
            <w:tcW w:w="2182" w:type="pct"/>
            <w:tcBorders>
              <w:top w:val="nil"/>
              <w:left w:val="nil"/>
              <w:bottom w:val="single" w:color="auto" w:sz="4" w:space="0"/>
              <w:right w:val="single" w:color="auto" w:sz="4" w:space="0"/>
            </w:tcBorders>
            <w:vAlign w:val="center"/>
          </w:tcPr>
          <w:p>
            <w:pPr>
              <w:jc w:val="center"/>
              <w:rPr>
                <w:rFonts w:ascii="宋体" w:cs="宋体"/>
                <w:color w:val="000000"/>
                <w:sz w:val="22"/>
                <w:szCs w:val="22"/>
              </w:rPr>
            </w:pPr>
            <w:r>
              <w:rPr>
                <w:rFonts w:hint="eastAsia"/>
                <w:color w:val="000000"/>
                <w:sz w:val="22"/>
                <w:szCs w:val="22"/>
              </w:rPr>
              <w:t>社区矫正</w:t>
            </w:r>
          </w:p>
        </w:tc>
        <w:tc>
          <w:tcPr>
            <w:tcW w:w="831" w:type="pct"/>
            <w:tcBorders>
              <w:top w:val="nil"/>
              <w:left w:val="nil"/>
              <w:bottom w:val="single" w:color="auto" w:sz="4" w:space="0"/>
              <w:right w:val="single" w:color="auto" w:sz="4" w:space="0"/>
            </w:tcBorders>
            <w:noWrap/>
            <w:vAlign w:val="center"/>
          </w:tcPr>
          <w:p>
            <w:pPr>
              <w:jc w:val="center"/>
              <w:rPr>
                <w:rFonts w:ascii="宋体" w:cs="宋体"/>
                <w:color w:val="000000"/>
                <w:sz w:val="22"/>
                <w:szCs w:val="22"/>
              </w:rPr>
            </w:pPr>
            <w:r>
              <w:rPr>
                <w:color w:val="000000"/>
                <w:sz w:val="22"/>
                <w:szCs w:val="22"/>
              </w:rPr>
              <w:t>45</w:t>
            </w:r>
          </w:p>
        </w:tc>
      </w:tr>
      <w:tr>
        <w:tblPrEx>
          <w:tblCellMar>
            <w:top w:w="0" w:type="dxa"/>
            <w:left w:w="108" w:type="dxa"/>
            <w:bottom w:w="0" w:type="dxa"/>
            <w:right w:w="108" w:type="dxa"/>
          </w:tblCellMar>
        </w:tblPrEx>
        <w:trPr>
          <w:gridBefore w:val="1"/>
          <w:wBefore w:w="7" w:type="dxa"/>
          <w:trHeight w:val="360" w:hRule="atLeast"/>
        </w:trPr>
        <w:tc>
          <w:tcPr>
            <w:tcW w:w="1403" w:type="pct"/>
            <w:vMerge w:val="restart"/>
            <w:tcBorders>
              <w:top w:val="nil"/>
              <w:left w:val="single" w:color="auto" w:sz="4" w:space="0"/>
              <w:bottom w:val="single" w:color="auto" w:sz="4" w:space="0"/>
              <w:right w:val="single" w:color="auto" w:sz="4" w:space="0"/>
            </w:tcBorders>
            <w:vAlign w:val="center"/>
          </w:tcPr>
          <w:p>
            <w:pPr>
              <w:jc w:val="center"/>
              <w:rPr>
                <w:rFonts w:ascii="宋体" w:cs="宋体"/>
                <w:color w:val="000000"/>
                <w:sz w:val="22"/>
                <w:szCs w:val="22"/>
              </w:rPr>
            </w:pPr>
            <w:r>
              <w:rPr>
                <w:rFonts w:hint="eastAsia"/>
                <w:color w:val="000000"/>
                <w:sz w:val="22"/>
                <w:szCs w:val="22"/>
              </w:rPr>
              <w:t>市场局</w:t>
            </w:r>
          </w:p>
        </w:tc>
        <w:tc>
          <w:tcPr>
            <w:tcW w:w="584" w:type="pct"/>
            <w:tcBorders>
              <w:top w:val="nil"/>
              <w:left w:val="nil"/>
              <w:bottom w:val="single" w:color="auto" w:sz="4" w:space="0"/>
              <w:right w:val="single" w:color="auto" w:sz="4" w:space="0"/>
            </w:tcBorders>
            <w:vAlign w:val="center"/>
          </w:tcPr>
          <w:p>
            <w:pPr>
              <w:jc w:val="center"/>
              <w:rPr>
                <w:rFonts w:ascii="宋体" w:cs="宋体"/>
                <w:color w:val="000000"/>
                <w:sz w:val="22"/>
                <w:szCs w:val="22"/>
              </w:rPr>
            </w:pPr>
            <w:r>
              <w:rPr>
                <w:color w:val="000000"/>
                <w:sz w:val="22"/>
                <w:szCs w:val="22"/>
              </w:rPr>
              <w:t>44</w:t>
            </w:r>
          </w:p>
        </w:tc>
        <w:tc>
          <w:tcPr>
            <w:tcW w:w="2182" w:type="pct"/>
            <w:tcBorders>
              <w:top w:val="nil"/>
              <w:left w:val="nil"/>
              <w:bottom w:val="single" w:color="auto" w:sz="4" w:space="0"/>
              <w:right w:val="single" w:color="auto" w:sz="4" w:space="0"/>
            </w:tcBorders>
            <w:vAlign w:val="center"/>
          </w:tcPr>
          <w:p>
            <w:pPr>
              <w:jc w:val="center"/>
              <w:rPr>
                <w:rFonts w:ascii="宋体" w:cs="宋体"/>
                <w:color w:val="000000"/>
                <w:sz w:val="22"/>
                <w:szCs w:val="22"/>
              </w:rPr>
            </w:pPr>
            <w:r>
              <w:rPr>
                <w:rFonts w:hint="eastAsia"/>
                <w:color w:val="000000"/>
                <w:sz w:val="22"/>
                <w:szCs w:val="22"/>
              </w:rPr>
              <w:t>食品药品监管、检验及打假</w:t>
            </w:r>
          </w:p>
        </w:tc>
        <w:tc>
          <w:tcPr>
            <w:tcW w:w="831" w:type="pct"/>
            <w:tcBorders>
              <w:top w:val="nil"/>
              <w:left w:val="nil"/>
              <w:bottom w:val="single" w:color="auto" w:sz="4" w:space="0"/>
              <w:right w:val="single" w:color="auto" w:sz="4" w:space="0"/>
            </w:tcBorders>
            <w:noWrap/>
            <w:vAlign w:val="center"/>
          </w:tcPr>
          <w:p>
            <w:pPr>
              <w:jc w:val="center"/>
              <w:rPr>
                <w:rFonts w:ascii="宋体" w:cs="宋体"/>
                <w:color w:val="000000"/>
                <w:sz w:val="22"/>
                <w:szCs w:val="22"/>
              </w:rPr>
            </w:pPr>
            <w:r>
              <w:rPr>
                <w:color w:val="000000"/>
                <w:sz w:val="22"/>
                <w:szCs w:val="22"/>
              </w:rPr>
              <w:t>144</w:t>
            </w:r>
          </w:p>
        </w:tc>
      </w:tr>
      <w:tr>
        <w:tblPrEx>
          <w:tblCellMar>
            <w:top w:w="0" w:type="dxa"/>
            <w:left w:w="108" w:type="dxa"/>
            <w:bottom w:w="0" w:type="dxa"/>
            <w:right w:w="108" w:type="dxa"/>
          </w:tblCellMar>
        </w:tblPrEx>
        <w:trPr>
          <w:gridBefore w:val="1"/>
          <w:wBefore w:w="7" w:type="dxa"/>
          <w:trHeight w:val="360" w:hRule="atLeast"/>
        </w:trPr>
        <w:tc>
          <w:tcPr>
            <w:tcW w:w="1403" w:type="pct"/>
            <w:vMerge w:val="continue"/>
            <w:tcBorders>
              <w:top w:val="nil"/>
              <w:left w:val="single" w:color="auto" w:sz="4" w:space="0"/>
              <w:bottom w:val="single" w:color="auto" w:sz="4" w:space="0"/>
              <w:right w:val="single" w:color="auto" w:sz="4" w:space="0"/>
            </w:tcBorders>
            <w:vAlign w:val="center"/>
          </w:tcPr>
          <w:p>
            <w:pPr>
              <w:rPr>
                <w:rFonts w:ascii="宋体" w:cs="宋体"/>
                <w:color w:val="000000"/>
                <w:sz w:val="22"/>
                <w:szCs w:val="22"/>
              </w:rPr>
            </w:pPr>
          </w:p>
        </w:tc>
        <w:tc>
          <w:tcPr>
            <w:tcW w:w="584" w:type="pct"/>
            <w:tcBorders>
              <w:top w:val="nil"/>
              <w:left w:val="nil"/>
              <w:bottom w:val="single" w:color="auto" w:sz="4" w:space="0"/>
              <w:right w:val="single" w:color="auto" w:sz="4" w:space="0"/>
            </w:tcBorders>
            <w:vAlign w:val="center"/>
          </w:tcPr>
          <w:p>
            <w:pPr>
              <w:jc w:val="center"/>
              <w:rPr>
                <w:rFonts w:ascii="宋体" w:cs="宋体"/>
                <w:color w:val="000000"/>
                <w:sz w:val="22"/>
                <w:szCs w:val="22"/>
              </w:rPr>
            </w:pPr>
            <w:r>
              <w:rPr>
                <w:color w:val="000000"/>
                <w:sz w:val="22"/>
                <w:szCs w:val="22"/>
              </w:rPr>
              <w:t>45</w:t>
            </w:r>
          </w:p>
        </w:tc>
        <w:tc>
          <w:tcPr>
            <w:tcW w:w="2182" w:type="pct"/>
            <w:tcBorders>
              <w:top w:val="nil"/>
              <w:left w:val="nil"/>
              <w:bottom w:val="single" w:color="auto" w:sz="4" w:space="0"/>
              <w:right w:val="single" w:color="auto" w:sz="4" w:space="0"/>
            </w:tcBorders>
            <w:vAlign w:val="center"/>
          </w:tcPr>
          <w:p>
            <w:pPr>
              <w:jc w:val="center"/>
              <w:rPr>
                <w:rFonts w:ascii="宋体" w:cs="宋体"/>
                <w:color w:val="000000"/>
                <w:sz w:val="22"/>
                <w:szCs w:val="22"/>
              </w:rPr>
            </w:pPr>
            <w:r>
              <w:rPr>
                <w:rFonts w:hint="eastAsia"/>
                <w:color w:val="000000"/>
                <w:sz w:val="22"/>
                <w:szCs w:val="22"/>
              </w:rPr>
              <w:t>省级食品安全示范县创建专项</w:t>
            </w:r>
          </w:p>
        </w:tc>
        <w:tc>
          <w:tcPr>
            <w:tcW w:w="831" w:type="pct"/>
            <w:tcBorders>
              <w:top w:val="nil"/>
              <w:left w:val="nil"/>
              <w:bottom w:val="single" w:color="auto" w:sz="4" w:space="0"/>
              <w:right w:val="single" w:color="auto" w:sz="4" w:space="0"/>
            </w:tcBorders>
            <w:noWrap/>
            <w:vAlign w:val="center"/>
          </w:tcPr>
          <w:p>
            <w:pPr>
              <w:jc w:val="center"/>
              <w:rPr>
                <w:rFonts w:ascii="宋体" w:cs="宋体"/>
                <w:color w:val="000000"/>
                <w:sz w:val="22"/>
                <w:szCs w:val="22"/>
              </w:rPr>
            </w:pPr>
            <w:r>
              <w:rPr>
                <w:color w:val="000000"/>
                <w:sz w:val="22"/>
                <w:szCs w:val="22"/>
              </w:rPr>
              <w:t>300</w:t>
            </w:r>
          </w:p>
        </w:tc>
      </w:tr>
      <w:tr>
        <w:tblPrEx>
          <w:tblCellMar>
            <w:top w:w="0" w:type="dxa"/>
            <w:left w:w="108" w:type="dxa"/>
            <w:bottom w:w="0" w:type="dxa"/>
            <w:right w:w="108" w:type="dxa"/>
          </w:tblCellMar>
        </w:tblPrEx>
        <w:trPr>
          <w:gridBefore w:val="1"/>
          <w:wBefore w:w="7" w:type="dxa"/>
          <w:trHeight w:val="360" w:hRule="atLeast"/>
        </w:trPr>
        <w:tc>
          <w:tcPr>
            <w:tcW w:w="1403" w:type="pct"/>
            <w:tcBorders>
              <w:top w:val="nil"/>
              <w:left w:val="single" w:color="auto" w:sz="4" w:space="0"/>
              <w:bottom w:val="single" w:color="auto" w:sz="4" w:space="0"/>
              <w:right w:val="single" w:color="auto" w:sz="4" w:space="0"/>
            </w:tcBorders>
            <w:noWrap/>
            <w:vAlign w:val="center"/>
          </w:tcPr>
          <w:p>
            <w:pPr>
              <w:jc w:val="center"/>
              <w:rPr>
                <w:rFonts w:ascii="宋体" w:cs="宋体"/>
                <w:color w:val="000000"/>
                <w:sz w:val="22"/>
                <w:szCs w:val="22"/>
              </w:rPr>
            </w:pPr>
            <w:r>
              <w:rPr>
                <w:rFonts w:hint="eastAsia"/>
                <w:color w:val="000000"/>
                <w:sz w:val="22"/>
                <w:szCs w:val="22"/>
              </w:rPr>
              <w:t>合</w:t>
            </w:r>
            <w:r>
              <w:rPr>
                <w:color w:val="000000"/>
                <w:sz w:val="22"/>
                <w:szCs w:val="22"/>
              </w:rPr>
              <w:t xml:space="preserve">  </w:t>
            </w:r>
            <w:r>
              <w:rPr>
                <w:rFonts w:hint="eastAsia"/>
                <w:color w:val="000000"/>
                <w:sz w:val="22"/>
                <w:szCs w:val="22"/>
              </w:rPr>
              <w:t>计</w:t>
            </w:r>
          </w:p>
        </w:tc>
        <w:tc>
          <w:tcPr>
            <w:tcW w:w="584" w:type="pct"/>
            <w:tcBorders>
              <w:top w:val="nil"/>
              <w:left w:val="nil"/>
              <w:bottom w:val="single" w:color="auto" w:sz="4" w:space="0"/>
              <w:right w:val="single" w:color="auto" w:sz="4" w:space="0"/>
            </w:tcBorders>
            <w:noWrap/>
            <w:vAlign w:val="center"/>
          </w:tcPr>
          <w:p>
            <w:pPr>
              <w:jc w:val="center"/>
              <w:rPr>
                <w:rFonts w:ascii="宋体" w:cs="宋体"/>
                <w:color w:val="000000"/>
                <w:sz w:val="22"/>
                <w:szCs w:val="22"/>
              </w:rPr>
            </w:pPr>
            <w:r>
              <w:rPr>
                <w:rFonts w:hint="eastAsia"/>
                <w:color w:val="000000"/>
                <w:sz w:val="22"/>
                <w:szCs w:val="22"/>
              </w:rPr>
              <w:t>　</w:t>
            </w:r>
          </w:p>
        </w:tc>
        <w:tc>
          <w:tcPr>
            <w:tcW w:w="2182" w:type="pct"/>
            <w:tcBorders>
              <w:top w:val="nil"/>
              <w:left w:val="nil"/>
              <w:bottom w:val="single" w:color="auto" w:sz="4" w:space="0"/>
              <w:right w:val="single" w:color="auto" w:sz="4" w:space="0"/>
            </w:tcBorders>
            <w:noWrap/>
            <w:vAlign w:val="center"/>
          </w:tcPr>
          <w:p>
            <w:pPr>
              <w:jc w:val="center"/>
              <w:rPr>
                <w:rFonts w:ascii="宋体" w:cs="宋体"/>
                <w:color w:val="000000"/>
                <w:sz w:val="22"/>
                <w:szCs w:val="22"/>
              </w:rPr>
            </w:pPr>
            <w:r>
              <w:rPr>
                <w:rFonts w:hint="eastAsia"/>
                <w:color w:val="000000"/>
                <w:sz w:val="22"/>
                <w:szCs w:val="22"/>
              </w:rPr>
              <w:t>　</w:t>
            </w:r>
          </w:p>
        </w:tc>
        <w:tc>
          <w:tcPr>
            <w:tcW w:w="831" w:type="pct"/>
            <w:tcBorders>
              <w:top w:val="nil"/>
              <w:left w:val="nil"/>
              <w:bottom w:val="single" w:color="auto" w:sz="4" w:space="0"/>
              <w:right w:val="single" w:color="auto" w:sz="4" w:space="0"/>
            </w:tcBorders>
            <w:noWrap/>
            <w:vAlign w:val="center"/>
          </w:tcPr>
          <w:p>
            <w:pPr>
              <w:jc w:val="center"/>
              <w:rPr>
                <w:rFonts w:ascii="宋体" w:cs="宋体"/>
                <w:color w:val="000000"/>
                <w:sz w:val="22"/>
                <w:szCs w:val="22"/>
              </w:rPr>
            </w:pPr>
            <w:r>
              <w:rPr>
                <w:color w:val="000000"/>
                <w:sz w:val="22"/>
                <w:szCs w:val="22"/>
              </w:rPr>
              <w:t>60783.3</w:t>
            </w:r>
          </w:p>
        </w:tc>
      </w:tr>
    </w:tbl>
    <w:p>
      <w:pPr>
        <w:adjustRightInd w:val="0"/>
        <w:snapToGrid w:val="0"/>
        <w:spacing w:line="200" w:lineRule="exact"/>
        <w:jc w:val="right"/>
        <w:rPr>
          <w:rFonts w:eastAsia="仿宋_GB2312"/>
          <w:sz w:val="32"/>
        </w:rPr>
      </w:pPr>
    </w:p>
    <w:p/>
    <w:sectPr>
      <w:pgSz w:w="11906" w:h="16838"/>
      <w:pgMar w:top="1418" w:right="1361" w:bottom="1134" w:left="136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7F"/>
    <w:multiLevelType w:val="singleLevel"/>
    <w:tmpl w:val="FFFFFF7F"/>
    <w:lvl w:ilvl="0" w:tentative="0">
      <w:start w:val="1"/>
      <w:numFmt w:val="decimal"/>
      <w:pStyle w:val="17"/>
      <w:lvlText w:val="%1."/>
      <w:lvlJc w:val="left"/>
      <w:pPr>
        <w:tabs>
          <w:tab w:val="left" w:pos="780"/>
        </w:tabs>
        <w:ind w:left="780" w:hanging="360"/>
      </w:pPr>
      <w:rPr>
        <w:rFonts w:cs="Times New Roman"/>
      </w:rPr>
    </w:lvl>
  </w:abstractNum>
  <w:abstractNum w:abstractNumId="1">
    <w:nsid w:val="00000008"/>
    <w:multiLevelType w:val="singleLevel"/>
    <w:tmpl w:val="00000008"/>
    <w:lvl w:ilvl="0" w:tentative="0">
      <w:start w:val="1"/>
      <w:numFmt w:val="chineseCounting"/>
      <w:suff w:val="nothing"/>
      <w:lvlText w:val="（%1）"/>
      <w:lvlJc w:val="left"/>
      <w:rPr>
        <w:rFonts w:cs="Times New Roman"/>
      </w:rPr>
    </w:lvl>
  </w:abstractNum>
  <w:abstractNum w:abstractNumId="2">
    <w:nsid w:val="0000000A"/>
    <w:multiLevelType w:val="singleLevel"/>
    <w:tmpl w:val="0000000A"/>
    <w:lvl w:ilvl="0" w:tentative="0">
      <w:start w:val="2"/>
      <w:numFmt w:val="chineseCounting"/>
      <w:suff w:val="nothing"/>
      <w:lvlText w:val="（%1）"/>
      <w:lvlJc w:val="left"/>
      <w:rPr>
        <w:rFonts w:cs="Times New Roman"/>
      </w:rPr>
    </w:lvl>
  </w:abstractNum>
  <w:abstractNum w:abstractNumId="3">
    <w:nsid w:val="0000000C"/>
    <w:multiLevelType w:val="singleLevel"/>
    <w:tmpl w:val="0000000C"/>
    <w:lvl w:ilvl="0" w:tentative="0">
      <w:start w:val="3"/>
      <w:numFmt w:val="decimal"/>
      <w:suff w:val="nothing"/>
      <w:lvlText w:val="%1、"/>
      <w:lvlJc w:val="left"/>
      <w:rPr>
        <w:rFonts w:cs="Times New Roman"/>
      </w:rPr>
    </w:lvl>
  </w:abstractNum>
  <w:abstractNum w:abstractNumId="4">
    <w:nsid w:val="0000000D"/>
    <w:multiLevelType w:val="singleLevel"/>
    <w:tmpl w:val="0000000D"/>
    <w:lvl w:ilvl="0" w:tentative="0">
      <w:start w:val="2"/>
      <w:numFmt w:val="decimal"/>
      <w:suff w:val="nothing"/>
      <w:lvlText w:val="%1、"/>
      <w:lvlJc w:val="left"/>
      <w:rPr>
        <w:rFonts w:cs="Times New Roman"/>
      </w:rPr>
    </w:lvl>
  </w:abstractNum>
  <w:num w:numId="1">
    <w:abstractNumId w:val="0"/>
    <w:lvlOverride w:ilvl="0">
      <w:startOverride w:val="1"/>
    </w:lvlOverride>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4FD"/>
    <w:rsid w:val="0000241F"/>
    <w:rsid w:val="000056A6"/>
    <w:rsid w:val="00005A3B"/>
    <w:rsid w:val="00005BA8"/>
    <w:rsid w:val="0000610C"/>
    <w:rsid w:val="00014921"/>
    <w:rsid w:val="00036EA4"/>
    <w:rsid w:val="0005701C"/>
    <w:rsid w:val="00073AAF"/>
    <w:rsid w:val="000757F8"/>
    <w:rsid w:val="00090417"/>
    <w:rsid w:val="00093B20"/>
    <w:rsid w:val="000A0E5C"/>
    <w:rsid w:val="000B33C3"/>
    <w:rsid w:val="000B4BEB"/>
    <w:rsid w:val="000B7DCB"/>
    <w:rsid w:val="000E3309"/>
    <w:rsid w:val="00100175"/>
    <w:rsid w:val="00107CC6"/>
    <w:rsid w:val="00122C2E"/>
    <w:rsid w:val="0014350A"/>
    <w:rsid w:val="001442A2"/>
    <w:rsid w:val="00146C23"/>
    <w:rsid w:val="00151B82"/>
    <w:rsid w:val="00157862"/>
    <w:rsid w:val="001634CA"/>
    <w:rsid w:val="00165E89"/>
    <w:rsid w:val="0017192D"/>
    <w:rsid w:val="001977ED"/>
    <w:rsid w:val="001A21D5"/>
    <w:rsid w:val="001A709B"/>
    <w:rsid w:val="001B0CF4"/>
    <w:rsid w:val="001B1869"/>
    <w:rsid w:val="001B2F7F"/>
    <w:rsid w:val="001B4EA7"/>
    <w:rsid w:val="001C4AD7"/>
    <w:rsid w:val="001C5954"/>
    <w:rsid w:val="001E26FB"/>
    <w:rsid w:val="001E39C6"/>
    <w:rsid w:val="001F2104"/>
    <w:rsid w:val="001F4F64"/>
    <w:rsid w:val="002318F0"/>
    <w:rsid w:val="00232EF8"/>
    <w:rsid w:val="00235B3A"/>
    <w:rsid w:val="00240F9A"/>
    <w:rsid w:val="00242262"/>
    <w:rsid w:val="00250D52"/>
    <w:rsid w:val="00253B1F"/>
    <w:rsid w:val="00254CF8"/>
    <w:rsid w:val="00255404"/>
    <w:rsid w:val="00257206"/>
    <w:rsid w:val="00292AC1"/>
    <w:rsid w:val="0029605B"/>
    <w:rsid w:val="002969D6"/>
    <w:rsid w:val="002A1388"/>
    <w:rsid w:val="002B26F1"/>
    <w:rsid w:val="002B569D"/>
    <w:rsid w:val="002B7EF4"/>
    <w:rsid w:val="002C4D24"/>
    <w:rsid w:val="002D5840"/>
    <w:rsid w:val="002F0D7B"/>
    <w:rsid w:val="00312339"/>
    <w:rsid w:val="00315C29"/>
    <w:rsid w:val="00317858"/>
    <w:rsid w:val="00321D2B"/>
    <w:rsid w:val="0033659F"/>
    <w:rsid w:val="00351AD3"/>
    <w:rsid w:val="00354479"/>
    <w:rsid w:val="00356458"/>
    <w:rsid w:val="0039290C"/>
    <w:rsid w:val="00392F62"/>
    <w:rsid w:val="00394BC2"/>
    <w:rsid w:val="003A2363"/>
    <w:rsid w:val="003A2FC5"/>
    <w:rsid w:val="003B7876"/>
    <w:rsid w:val="003E4F5E"/>
    <w:rsid w:val="004036B5"/>
    <w:rsid w:val="004222D1"/>
    <w:rsid w:val="00422E14"/>
    <w:rsid w:val="00430153"/>
    <w:rsid w:val="00432C79"/>
    <w:rsid w:val="0043358D"/>
    <w:rsid w:val="00440BD4"/>
    <w:rsid w:val="004503BD"/>
    <w:rsid w:val="00461395"/>
    <w:rsid w:val="00466871"/>
    <w:rsid w:val="00477933"/>
    <w:rsid w:val="004A44EA"/>
    <w:rsid w:val="004A51DC"/>
    <w:rsid w:val="004A671C"/>
    <w:rsid w:val="004B76D6"/>
    <w:rsid w:val="004C73DE"/>
    <w:rsid w:val="004E0A8E"/>
    <w:rsid w:val="004E3BE9"/>
    <w:rsid w:val="005072C9"/>
    <w:rsid w:val="00513037"/>
    <w:rsid w:val="00516F00"/>
    <w:rsid w:val="005210E6"/>
    <w:rsid w:val="00530E15"/>
    <w:rsid w:val="005314BA"/>
    <w:rsid w:val="005422E5"/>
    <w:rsid w:val="0054679D"/>
    <w:rsid w:val="005477E5"/>
    <w:rsid w:val="00560BC9"/>
    <w:rsid w:val="00563755"/>
    <w:rsid w:val="00566F17"/>
    <w:rsid w:val="0058432F"/>
    <w:rsid w:val="005865B1"/>
    <w:rsid w:val="005954F8"/>
    <w:rsid w:val="005A3532"/>
    <w:rsid w:val="005B4076"/>
    <w:rsid w:val="005C1690"/>
    <w:rsid w:val="005C50B2"/>
    <w:rsid w:val="005C68D7"/>
    <w:rsid w:val="005E2BC7"/>
    <w:rsid w:val="005F6DB6"/>
    <w:rsid w:val="005F7931"/>
    <w:rsid w:val="00607401"/>
    <w:rsid w:val="006320B1"/>
    <w:rsid w:val="0064544F"/>
    <w:rsid w:val="00664E76"/>
    <w:rsid w:val="006841C9"/>
    <w:rsid w:val="00684E4B"/>
    <w:rsid w:val="00690485"/>
    <w:rsid w:val="00696545"/>
    <w:rsid w:val="006A5D82"/>
    <w:rsid w:val="006B6330"/>
    <w:rsid w:val="006D65AD"/>
    <w:rsid w:val="006E7307"/>
    <w:rsid w:val="006F5735"/>
    <w:rsid w:val="006F5FD4"/>
    <w:rsid w:val="007204BA"/>
    <w:rsid w:val="007225D2"/>
    <w:rsid w:val="00735258"/>
    <w:rsid w:val="00742DAE"/>
    <w:rsid w:val="007461B3"/>
    <w:rsid w:val="00764B34"/>
    <w:rsid w:val="00774D83"/>
    <w:rsid w:val="007829F0"/>
    <w:rsid w:val="007865A2"/>
    <w:rsid w:val="007C77EE"/>
    <w:rsid w:val="007D5B9F"/>
    <w:rsid w:val="007E1392"/>
    <w:rsid w:val="007E6513"/>
    <w:rsid w:val="007F487F"/>
    <w:rsid w:val="00815FBF"/>
    <w:rsid w:val="00840351"/>
    <w:rsid w:val="00841CD0"/>
    <w:rsid w:val="00847D60"/>
    <w:rsid w:val="00860AFD"/>
    <w:rsid w:val="00873CD8"/>
    <w:rsid w:val="008A2E6B"/>
    <w:rsid w:val="008A7515"/>
    <w:rsid w:val="008C039F"/>
    <w:rsid w:val="008E1F76"/>
    <w:rsid w:val="008E2ACB"/>
    <w:rsid w:val="008E57E1"/>
    <w:rsid w:val="008F5E0B"/>
    <w:rsid w:val="009006A1"/>
    <w:rsid w:val="00900E3F"/>
    <w:rsid w:val="00925486"/>
    <w:rsid w:val="00952065"/>
    <w:rsid w:val="00956508"/>
    <w:rsid w:val="00957360"/>
    <w:rsid w:val="00962EF0"/>
    <w:rsid w:val="00970A24"/>
    <w:rsid w:val="0097320B"/>
    <w:rsid w:val="00977F7F"/>
    <w:rsid w:val="009815AA"/>
    <w:rsid w:val="00982CDC"/>
    <w:rsid w:val="009863CE"/>
    <w:rsid w:val="00995ED0"/>
    <w:rsid w:val="00996441"/>
    <w:rsid w:val="009A298D"/>
    <w:rsid w:val="009B217B"/>
    <w:rsid w:val="009B50F2"/>
    <w:rsid w:val="009D2E85"/>
    <w:rsid w:val="009D5C2C"/>
    <w:rsid w:val="009D72EA"/>
    <w:rsid w:val="009E5A8A"/>
    <w:rsid w:val="009F3479"/>
    <w:rsid w:val="00A13259"/>
    <w:rsid w:val="00A16D05"/>
    <w:rsid w:val="00A30E83"/>
    <w:rsid w:val="00A4501D"/>
    <w:rsid w:val="00A51AA2"/>
    <w:rsid w:val="00A54BCA"/>
    <w:rsid w:val="00A61FD7"/>
    <w:rsid w:val="00A726C3"/>
    <w:rsid w:val="00A76673"/>
    <w:rsid w:val="00A87BCE"/>
    <w:rsid w:val="00A94900"/>
    <w:rsid w:val="00A96DDC"/>
    <w:rsid w:val="00AA3FFE"/>
    <w:rsid w:val="00AA565C"/>
    <w:rsid w:val="00AA68AE"/>
    <w:rsid w:val="00AB7085"/>
    <w:rsid w:val="00AD4448"/>
    <w:rsid w:val="00AE1B6C"/>
    <w:rsid w:val="00AE1CEC"/>
    <w:rsid w:val="00AE3F46"/>
    <w:rsid w:val="00AF11BE"/>
    <w:rsid w:val="00AF1FC0"/>
    <w:rsid w:val="00AF38EC"/>
    <w:rsid w:val="00B0185B"/>
    <w:rsid w:val="00B15F92"/>
    <w:rsid w:val="00B161A4"/>
    <w:rsid w:val="00B21CFD"/>
    <w:rsid w:val="00B41813"/>
    <w:rsid w:val="00B427C3"/>
    <w:rsid w:val="00B43845"/>
    <w:rsid w:val="00B608DB"/>
    <w:rsid w:val="00B92E17"/>
    <w:rsid w:val="00B9518E"/>
    <w:rsid w:val="00BA392F"/>
    <w:rsid w:val="00BB1C78"/>
    <w:rsid w:val="00BB378C"/>
    <w:rsid w:val="00BB3C71"/>
    <w:rsid w:val="00BB6CF4"/>
    <w:rsid w:val="00BD02C0"/>
    <w:rsid w:val="00BD1DDD"/>
    <w:rsid w:val="00C11953"/>
    <w:rsid w:val="00C12B4A"/>
    <w:rsid w:val="00C32332"/>
    <w:rsid w:val="00C3281A"/>
    <w:rsid w:val="00C33347"/>
    <w:rsid w:val="00C354BD"/>
    <w:rsid w:val="00C37D62"/>
    <w:rsid w:val="00C704A3"/>
    <w:rsid w:val="00C71B07"/>
    <w:rsid w:val="00C74701"/>
    <w:rsid w:val="00C81D9F"/>
    <w:rsid w:val="00C854FD"/>
    <w:rsid w:val="00C873D8"/>
    <w:rsid w:val="00C8756E"/>
    <w:rsid w:val="00C87FDB"/>
    <w:rsid w:val="00C921BC"/>
    <w:rsid w:val="00C94085"/>
    <w:rsid w:val="00C971C1"/>
    <w:rsid w:val="00C97C43"/>
    <w:rsid w:val="00CA1CF9"/>
    <w:rsid w:val="00CA6065"/>
    <w:rsid w:val="00CB088C"/>
    <w:rsid w:val="00CB1A56"/>
    <w:rsid w:val="00CB4149"/>
    <w:rsid w:val="00CC00C8"/>
    <w:rsid w:val="00CD1CCF"/>
    <w:rsid w:val="00CE54A6"/>
    <w:rsid w:val="00CE5516"/>
    <w:rsid w:val="00D22353"/>
    <w:rsid w:val="00D255AA"/>
    <w:rsid w:val="00D2793C"/>
    <w:rsid w:val="00D37C32"/>
    <w:rsid w:val="00D42C80"/>
    <w:rsid w:val="00D523D6"/>
    <w:rsid w:val="00D54888"/>
    <w:rsid w:val="00D54CCA"/>
    <w:rsid w:val="00D57623"/>
    <w:rsid w:val="00D77EE9"/>
    <w:rsid w:val="00D81B1D"/>
    <w:rsid w:val="00D96AE9"/>
    <w:rsid w:val="00DA0456"/>
    <w:rsid w:val="00DB5442"/>
    <w:rsid w:val="00DB7907"/>
    <w:rsid w:val="00DC10F5"/>
    <w:rsid w:val="00DD1EB3"/>
    <w:rsid w:val="00DF1C77"/>
    <w:rsid w:val="00E142CB"/>
    <w:rsid w:val="00E35E48"/>
    <w:rsid w:val="00E40ED6"/>
    <w:rsid w:val="00E4198B"/>
    <w:rsid w:val="00E63914"/>
    <w:rsid w:val="00E95B71"/>
    <w:rsid w:val="00EB35F4"/>
    <w:rsid w:val="00EC40AF"/>
    <w:rsid w:val="00EC4115"/>
    <w:rsid w:val="00EC6E79"/>
    <w:rsid w:val="00EC6F27"/>
    <w:rsid w:val="00ED7ACA"/>
    <w:rsid w:val="00EE315F"/>
    <w:rsid w:val="00EE67E1"/>
    <w:rsid w:val="00F435F8"/>
    <w:rsid w:val="00F46C79"/>
    <w:rsid w:val="00F60EC8"/>
    <w:rsid w:val="00F61205"/>
    <w:rsid w:val="00F766DE"/>
    <w:rsid w:val="00F81CBB"/>
    <w:rsid w:val="00F947E3"/>
    <w:rsid w:val="00FA6EE7"/>
    <w:rsid w:val="00FB16AF"/>
    <w:rsid w:val="00FB2BA1"/>
    <w:rsid w:val="00FD21C0"/>
    <w:rsid w:val="00FD708D"/>
    <w:rsid w:val="00FF2D16"/>
    <w:rsid w:val="00FF3258"/>
    <w:rsid w:val="00FF541B"/>
    <w:rsid w:val="00FF605E"/>
    <w:rsid w:val="520A4F12"/>
    <w:rsid w:val="60CE6DBB"/>
    <w:rsid w:val="7C8A0A2D"/>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nhideWhenUsed="0" w:uiPriority="99" w:name="Body Text Indent 2"/>
    <w:lsdException w:uiPriority="99" w:name="Body Text Indent 3"/>
    <w:lsdException w:uiPriority="99" w:name="Block Text"/>
    <w:lsdException w:qFormat="1" w:unhideWhenUsed="0" w:uiPriority="99" w:name="Hyperlink"/>
    <w:lsdException w:unhideWhenUsed="0"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iPriority w:val="99"/>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3"/>
    <w:semiHidden/>
    <w:qFormat/>
    <w:uiPriority w:val="99"/>
    <w:pPr>
      <w:ind w:left="100" w:leftChars="2500"/>
    </w:pPr>
  </w:style>
  <w:style w:type="paragraph" w:styleId="3">
    <w:name w:val="Body Text Indent 2"/>
    <w:basedOn w:val="1"/>
    <w:link w:val="14"/>
    <w:semiHidden/>
    <w:uiPriority w:val="99"/>
    <w:pPr>
      <w:ind w:firstLine="588" w:firstLineChars="200"/>
    </w:pPr>
    <w:rPr>
      <w:rFonts w:ascii="仿宋_GB2312" w:hAnsi="Calibri" w:eastAsia="仿宋_GB2312"/>
      <w:sz w:val="32"/>
    </w:rPr>
  </w:style>
  <w:style w:type="paragraph" w:styleId="4">
    <w:name w:val="footer"/>
    <w:basedOn w:val="1"/>
    <w:link w:val="12"/>
    <w:semiHidden/>
    <w:qFormat/>
    <w:uiPriority w:val="99"/>
    <w:pPr>
      <w:tabs>
        <w:tab w:val="center" w:pos="4153"/>
        <w:tab w:val="right" w:pos="8306"/>
      </w:tabs>
      <w:snapToGrid w:val="0"/>
      <w:jc w:val="left"/>
    </w:pPr>
    <w:rPr>
      <w:kern w:val="0"/>
      <w:sz w:val="18"/>
      <w:szCs w:val="18"/>
    </w:rPr>
  </w:style>
  <w:style w:type="paragraph" w:styleId="5">
    <w:name w:val="header"/>
    <w:basedOn w:val="1"/>
    <w:link w:val="10"/>
    <w:semiHidden/>
    <w:qFormat/>
    <w:uiPriority w:val="99"/>
    <w:pPr>
      <w:tabs>
        <w:tab w:val="center" w:pos="4153"/>
        <w:tab w:val="right" w:pos="8306"/>
      </w:tabs>
      <w:snapToGrid w:val="0"/>
      <w:jc w:val="center"/>
    </w:pPr>
    <w:rPr>
      <w:sz w:val="18"/>
      <w:szCs w:val="18"/>
    </w:rPr>
  </w:style>
  <w:style w:type="character" w:styleId="8">
    <w:name w:val="FollowedHyperlink"/>
    <w:basedOn w:val="7"/>
    <w:semiHidden/>
    <w:uiPriority w:val="99"/>
    <w:rPr>
      <w:rFonts w:cs="Times New Roman"/>
      <w:color w:val="800080"/>
      <w:u w:val="single"/>
    </w:rPr>
  </w:style>
  <w:style w:type="character" w:styleId="9">
    <w:name w:val="Hyperlink"/>
    <w:basedOn w:val="7"/>
    <w:semiHidden/>
    <w:qFormat/>
    <w:uiPriority w:val="99"/>
    <w:rPr>
      <w:rFonts w:cs="Times New Roman"/>
      <w:color w:val="0000FF"/>
      <w:u w:val="single"/>
    </w:rPr>
  </w:style>
  <w:style w:type="character" w:customStyle="1" w:styleId="10">
    <w:name w:val="Header Char"/>
    <w:basedOn w:val="7"/>
    <w:link w:val="5"/>
    <w:semiHidden/>
    <w:qFormat/>
    <w:locked/>
    <w:uiPriority w:val="99"/>
    <w:rPr>
      <w:rFonts w:ascii="Times New Roman" w:hAnsi="Times New Roman" w:eastAsia="宋体" w:cs="Times New Roman"/>
      <w:sz w:val="18"/>
      <w:szCs w:val="18"/>
    </w:rPr>
  </w:style>
  <w:style w:type="character" w:customStyle="1" w:styleId="11">
    <w:name w:val="Footer Char"/>
    <w:basedOn w:val="7"/>
    <w:link w:val="4"/>
    <w:semiHidden/>
    <w:qFormat/>
    <w:locked/>
    <w:uiPriority w:val="99"/>
    <w:rPr>
      <w:rFonts w:ascii="Times New Roman" w:hAnsi="Times New Roman" w:eastAsia="宋体" w:cs="Times New Roman"/>
      <w:kern w:val="0"/>
      <w:sz w:val="18"/>
      <w:szCs w:val="18"/>
    </w:rPr>
  </w:style>
  <w:style w:type="character" w:customStyle="1" w:styleId="12">
    <w:name w:val="页脚 Char"/>
    <w:basedOn w:val="7"/>
    <w:link w:val="4"/>
    <w:semiHidden/>
    <w:qFormat/>
    <w:locked/>
    <w:uiPriority w:val="99"/>
    <w:rPr>
      <w:rFonts w:ascii="Times New Roman" w:hAnsi="Times New Roman" w:eastAsia="宋体" w:cs="Times New Roman"/>
      <w:sz w:val="18"/>
      <w:szCs w:val="18"/>
    </w:rPr>
  </w:style>
  <w:style w:type="character" w:customStyle="1" w:styleId="13">
    <w:name w:val="Date Char"/>
    <w:basedOn w:val="7"/>
    <w:link w:val="2"/>
    <w:semiHidden/>
    <w:qFormat/>
    <w:locked/>
    <w:uiPriority w:val="99"/>
    <w:rPr>
      <w:rFonts w:ascii="Times New Roman" w:hAnsi="Times New Roman" w:eastAsia="宋体" w:cs="Times New Roman"/>
      <w:sz w:val="24"/>
      <w:szCs w:val="24"/>
    </w:rPr>
  </w:style>
  <w:style w:type="character" w:customStyle="1" w:styleId="14">
    <w:name w:val="Body Text Indent 2 Char"/>
    <w:basedOn w:val="7"/>
    <w:link w:val="3"/>
    <w:semiHidden/>
    <w:qFormat/>
    <w:locked/>
    <w:uiPriority w:val="99"/>
    <w:rPr>
      <w:rFonts w:ascii="仿宋_GB2312" w:hAnsi="Calibri" w:eastAsia="仿宋_GB2312" w:cs="Times New Roman"/>
      <w:sz w:val="24"/>
      <w:szCs w:val="24"/>
    </w:rPr>
  </w:style>
  <w:style w:type="paragraph" w:customStyle="1" w:styleId="15">
    <w:name w:val="Char"/>
    <w:basedOn w:val="1"/>
    <w:qFormat/>
    <w:uiPriority w:val="99"/>
    <w:pPr>
      <w:autoSpaceDE w:val="0"/>
      <w:autoSpaceDN w:val="0"/>
      <w:adjustRightInd w:val="0"/>
    </w:pPr>
    <w:rPr>
      <w:rFonts w:ascii="宋体" w:cs="宋体"/>
      <w:kern w:val="0"/>
      <w:sz w:val="20"/>
      <w:szCs w:val="20"/>
      <w:lang w:val="zh-CN"/>
    </w:rPr>
  </w:style>
  <w:style w:type="paragraph" w:customStyle="1" w:styleId="16">
    <w:name w:val="Char1"/>
    <w:basedOn w:val="1"/>
    <w:qFormat/>
    <w:uiPriority w:val="99"/>
    <w:rPr>
      <w:rFonts w:ascii="仿宋_GB2312" w:eastAsia="仿宋_GB2312"/>
      <w:sz w:val="32"/>
    </w:rPr>
  </w:style>
  <w:style w:type="paragraph" w:customStyle="1" w:styleId="17">
    <w:name w:val="Char Char Char Char Char Char Char Char Char Char Char Char1 Char Char Char Char"/>
    <w:basedOn w:val="1"/>
    <w:qFormat/>
    <w:uiPriority w:val="99"/>
    <w:pPr>
      <w:numPr>
        <w:ilvl w:val="0"/>
        <w:numId w:val="1"/>
      </w:numPr>
      <w:tabs>
        <w:tab w:val="left" w:pos="720"/>
      </w:tabs>
    </w:pPr>
    <w:rPr>
      <w:szCs w:val="20"/>
    </w:rPr>
  </w:style>
  <w:style w:type="character" w:customStyle="1" w:styleId="18">
    <w:name w:val="标题 3 Char Char"/>
    <w:qFormat/>
    <w:uiPriority w:val="99"/>
    <w:rPr>
      <w:rFonts w:ascii="楷体_GB2312" w:eastAsia="楷体_GB2312"/>
      <w:b/>
      <w:kern w:val="2"/>
      <w:sz w:val="24"/>
      <w:lang w:val="en-US" w:eastAsia="zh-CN"/>
    </w:rPr>
  </w:style>
  <w:style w:type="paragraph" w:customStyle="1" w:styleId="19">
    <w:name w:val="默认段落字体 Para Char Char Char Char Char Char Char"/>
    <w:basedOn w:val="1"/>
    <w:qFormat/>
    <w:uiPriority w:val="99"/>
    <w:rPr>
      <w:rFonts w:ascii="Calibri" w:hAnsi="Calibri"/>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Template>
  <Company>微软中国</Company>
  <Pages>21</Pages>
  <Words>10112</Words>
  <Characters>10789</Characters>
  <Lines>0</Lines>
  <Paragraphs>0</Paragraphs>
  <TotalTime>1</TotalTime>
  <ScaleCrop>false</ScaleCrop>
  <LinksUpToDate>false</LinksUpToDate>
  <CharactersWithSpaces>11372</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2020-05-20T01:02:00Z</dcterms:created>
  <dc:creator>许节来 10.105.116.156</dc:creator>
  <cp:lastModifiedBy>大鹏展翅</cp:lastModifiedBy>
  <dcterms:modified xsi:type="dcterms:W3CDTF">2022-08-29T01:01:06Z</dcterms:modified>
  <cp:revision>80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9B4D6C3E1C244FA4B2A48ECB47E01316</vt:lpwstr>
  </property>
</Properties>
</file>