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jc w:val="right"/>
        <w:rPr>
          <w:rFonts w:ascii="仿宋_GB2312" w:eastAsia="仿宋_GB2312"/>
          <w:color w:val="auto"/>
          <w:sz w:val="32"/>
          <w:szCs w:val="32"/>
        </w:rPr>
      </w:pPr>
      <w:r>
        <w:rPr>
          <w:rFonts w:ascii="方正小标宋简体" w:hAnsi="华文中宋" w:eastAsia="方正小标宋简体"/>
          <w:bCs/>
          <w:color w:val="auto"/>
          <w:sz w:val="44"/>
          <w:szCs w:val="44"/>
        </w:rPr>
        <w:t xml:space="preserve"> </w:t>
      </w:r>
    </w:p>
    <w:p>
      <w:pPr>
        <w:spacing w:line="348" w:lineRule="auto"/>
        <w:jc w:val="center"/>
        <w:rPr>
          <w:rFonts w:eastAsia="方正小标宋简体"/>
          <w:bCs/>
          <w:color w:val="auto"/>
          <w:sz w:val="42"/>
          <w:szCs w:val="42"/>
        </w:rPr>
      </w:pPr>
    </w:p>
    <w:p>
      <w:pPr>
        <w:spacing w:line="800" w:lineRule="exact"/>
        <w:jc w:val="center"/>
        <w:rPr>
          <w:rFonts w:eastAsia="方正小标宋简体"/>
          <w:bCs/>
          <w:color w:val="auto"/>
          <w:sz w:val="46"/>
          <w:szCs w:val="46"/>
        </w:rPr>
      </w:pPr>
      <w:r>
        <w:rPr>
          <w:rFonts w:hint="eastAsia" w:eastAsia="方正小标宋简体"/>
          <w:bCs/>
          <w:color w:val="auto"/>
          <w:sz w:val="46"/>
          <w:szCs w:val="46"/>
        </w:rPr>
        <w:t>岳阳县2020年度部门整体支出</w:t>
      </w:r>
    </w:p>
    <w:p>
      <w:pPr>
        <w:spacing w:line="800" w:lineRule="exact"/>
        <w:jc w:val="center"/>
        <w:rPr>
          <w:rFonts w:eastAsia="方正小标宋简体"/>
          <w:bCs/>
          <w:color w:val="auto"/>
          <w:sz w:val="46"/>
          <w:szCs w:val="46"/>
        </w:rPr>
      </w:pPr>
      <w:r>
        <w:rPr>
          <w:rFonts w:hint="eastAsia" w:eastAsia="方正小标宋简体"/>
          <w:bCs/>
          <w:color w:val="auto"/>
          <w:sz w:val="46"/>
          <w:szCs w:val="46"/>
        </w:rPr>
        <w:t>绩效评价自评报告</w:t>
      </w:r>
    </w:p>
    <w:p>
      <w:pPr>
        <w:rPr>
          <w:rFonts w:eastAsia="仿宋_GB2312"/>
          <w:b/>
          <w:color w:val="auto"/>
          <w:sz w:val="32"/>
        </w:rPr>
      </w:pPr>
    </w:p>
    <w:p>
      <w:pPr>
        <w:rPr>
          <w:rFonts w:eastAsia="仿宋_GB2312"/>
          <w:b/>
          <w:color w:val="auto"/>
          <w:sz w:val="32"/>
        </w:rPr>
      </w:pPr>
    </w:p>
    <w:p>
      <w:pPr>
        <w:rPr>
          <w:rFonts w:eastAsia="仿宋_GB2312"/>
          <w:b/>
          <w:color w:val="auto"/>
          <w:sz w:val="32"/>
        </w:rPr>
      </w:pPr>
    </w:p>
    <w:p>
      <w:pPr>
        <w:spacing w:beforeLines="50" w:line="348" w:lineRule="auto"/>
        <w:ind w:firstLine="476" w:firstLineChars="150"/>
        <w:rPr>
          <w:rFonts w:eastAsia="仿宋_GB2312"/>
          <w:color w:val="auto"/>
          <w:sz w:val="32"/>
          <w:szCs w:val="32"/>
          <w:u w:val="single"/>
        </w:rPr>
      </w:pPr>
      <w:r>
        <w:rPr>
          <w:rFonts w:hint="eastAsia" w:eastAsia="仿宋_GB2312"/>
          <w:color w:val="auto"/>
          <w:sz w:val="32"/>
          <w:szCs w:val="32"/>
        </w:rPr>
        <w:t>部门</w:t>
      </w:r>
      <w:r>
        <w:rPr>
          <w:rFonts w:eastAsia="仿宋_GB2312"/>
          <w:color w:val="auto"/>
          <w:sz w:val="32"/>
          <w:szCs w:val="32"/>
        </w:rPr>
        <w:t>(</w:t>
      </w:r>
      <w:r>
        <w:rPr>
          <w:rFonts w:hint="eastAsia" w:eastAsia="仿宋_GB2312"/>
          <w:color w:val="auto"/>
          <w:sz w:val="32"/>
          <w:szCs w:val="32"/>
        </w:rPr>
        <w:t>单位</w:t>
      </w:r>
      <w:r>
        <w:rPr>
          <w:rFonts w:eastAsia="仿宋_GB2312"/>
          <w:color w:val="auto"/>
          <w:sz w:val="32"/>
          <w:szCs w:val="32"/>
        </w:rPr>
        <w:t>)</w:t>
      </w:r>
      <w:r>
        <w:rPr>
          <w:rFonts w:hint="eastAsia" w:eastAsia="仿宋_GB2312"/>
          <w:color w:val="auto"/>
          <w:sz w:val="32"/>
          <w:szCs w:val="32"/>
        </w:rPr>
        <w:t>名称：</w:t>
      </w:r>
      <w:r>
        <w:rPr>
          <w:rFonts w:eastAsia="仿宋_GB2312"/>
          <w:color w:val="auto"/>
          <w:sz w:val="32"/>
          <w:szCs w:val="32"/>
          <w:u w:val="single"/>
        </w:rPr>
        <w:t xml:space="preserve">    </w:t>
      </w:r>
      <w:r>
        <w:rPr>
          <w:rFonts w:hint="eastAsia" w:eastAsia="仿宋_GB2312"/>
          <w:color w:val="auto"/>
          <w:sz w:val="32"/>
          <w:u w:val="single"/>
        </w:rPr>
        <w:t>岳阳县港口航务管理所</w:t>
      </w:r>
      <w:r>
        <w:rPr>
          <w:rFonts w:eastAsia="仿宋_GB2312"/>
          <w:color w:val="auto"/>
          <w:sz w:val="32"/>
          <w:szCs w:val="32"/>
          <w:u w:val="single"/>
        </w:rPr>
        <w:t xml:space="preserve">                  </w:t>
      </w:r>
    </w:p>
    <w:p>
      <w:pPr>
        <w:spacing w:beforeLines="50" w:line="348" w:lineRule="auto"/>
        <w:ind w:firstLine="476" w:firstLineChars="150"/>
        <w:rPr>
          <w:rFonts w:eastAsia="仿宋_GB2312"/>
          <w:color w:val="auto"/>
          <w:spacing w:val="20"/>
          <w:sz w:val="32"/>
          <w:szCs w:val="32"/>
        </w:rPr>
      </w:pPr>
      <w:r>
        <w:rPr>
          <w:rFonts w:hint="eastAsia" w:eastAsia="仿宋_GB2312"/>
          <w:color w:val="auto"/>
          <w:sz w:val="32"/>
          <w:szCs w:val="32"/>
        </w:rPr>
        <w:t>预</w:t>
      </w:r>
      <w:r>
        <w:rPr>
          <w:rFonts w:eastAsia="仿宋_GB2312"/>
          <w:color w:val="auto"/>
          <w:spacing w:val="30"/>
          <w:sz w:val="32"/>
          <w:szCs w:val="32"/>
        </w:rPr>
        <w:t xml:space="preserve"> </w:t>
      </w:r>
      <w:r>
        <w:rPr>
          <w:rFonts w:hint="eastAsia" w:eastAsia="仿宋_GB2312"/>
          <w:color w:val="auto"/>
          <w:spacing w:val="30"/>
          <w:sz w:val="32"/>
          <w:szCs w:val="32"/>
        </w:rPr>
        <w:t>算</w:t>
      </w:r>
      <w:r>
        <w:rPr>
          <w:rFonts w:eastAsia="仿宋_GB2312"/>
          <w:color w:val="auto"/>
          <w:spacing w:val="30"/>
          <w:sz w:val="32"/>
          <w:szCs w:val="32"/>
        </w:rPr>
        <w:t xml:space="preserve"> </w:t>
      </w:r>
      <w:r>
        <w:rPr>
          <w:rFonts w:hint="eastAsia" w:eastAsia="仿宋_GB2312"/>
          <w:color w:val="auto"/>
          <w:spacing w:val="30"/>
          <w:sz w:val="32"/>
          <w:szCs w:val="32"/>
        </w:rPr>
        <w:t>编</w:t>
      </w:r>
      <w:r>
        <w:rPr>
          <w:rFonts w:eastAsia="仿宋_GB2312"/>
          <w:color w:val="auto"/>
          <w:spacing w:val="30"/>
          <w:sz w:val="32"/>
          <w:szCs w:val="32"/>
        </w:rPr>
        <w:t xml:space="preserve"> </w:t>
      </w:r>
      <w:r>
        <w:rPr>
          <w:rFonts w:hint="eastAsia" w:eastAsia="仿宋_GB2312"/>
          <w:color w:val="auto"/>
          <w:spacing w:val="30"/>
          <w:sz w:val="32"/>
          <w:szCs w:val="32"/>
        </w:rPr>
        <w:t>码：</w:t>
      </w:r>
      <w:r>
        <w:rPr>
          <w:rFonts w:eastAsia="仿宋_GB2312"/>
          <w:color w:val="auto"/>
          <w:spacing w:val="20"/>
          <w:sz w:val="32"/>
          <w:szCs w:val="32"/>
          <w:u w:val="single"/>
        </w:rPr>
        <w:t xml:space="preserve">         </w:t>
      </w:r>
      <w:r>
        <w:rPr>
          <w:rFonts w:hint="eastAsia" w:eastAsia="仿宋_GB2312"/>
          <w:color w:val="auto"/>
          <w:spacing w:val="20"/>
          <w:sz w:val="32"/>
          <w:szCs w:val="32"/>
          <w:u w:val="single"/>
        </w:rPr>
        <w:t>273007</w:t>
      </w:r>
      <w:r>
        <w:rPr>
          <w:rFonts w:eastAsia="仿宋_GB2312"/>
          <w:color w:val="auto"/>
          <w:spacing w:val="20"/>
          <w:sz w:val="32"/>
          <w:szCs w:val="32"/>
          <w:u w:val="single"/>
        </w:rPr>
        <w:t xml:space="preserve">               </w:t>
      </w:r>
    </w:p>
    <w:p>
      <w:pPr>
        <w:spacing w:beforeLines="50" w:line="348" w:lineRule="auto"/>
        <w:ind w:firstLine="476" w:firstLineChars="150"/>
        <w:rPr>
          <w:rFonts w:eastAsia="仿宋_GB2312"/>
          <w:color w:val="auto"/>
          <w:sz w:val="32"/>
          <w:szCs w:val="32"/>
        </w:rPr>
      </w:pPr>
      <w:r>
        <w:rPr>
          <w:rFonts w:hint="eastAsia" w:eastAsia="仿宋_GB2312"/>
          <w:color w:val="auto"/>
          <w:sz w:val="32"/>
          <w:szCs w:val="32"/>
        </w:rPr>
        <w:t>评价方式：部门（单位）绩效自评</w:t>
      </w:r>
    </w:p>
    <w:p>
      <w:pPr>
        <w:spacing w:beforeLines="50" w:line="348" w:lineRule="auto"/>
        <w:ind w:firstLine="476" w:firstLineChars="150"/>
        <w:rPr>
          <w:rFonts w:eastAsia="仿宋_GB2312"/>
          <w:color w:val="auto"/>
          <w:sz w:val="32"/>
          <w:szCs w:val="32"/>
        </w:rPr>
      </w:pPr>
      <w:r>
        <w:rPr>
          <w:rFonts w:hint="eastAsia" w:eastAsia="仿宋_GB2312"/>
          <w:color w:val="auto"/>
          <w:sz w:val="32"/>
          <w:szCs w:val="32"/>
        </w:rPr>
        <w:t>评价机构：部门（单位）评价组</w:t>
      </w:r>
      <w:r>
        <w:rPr>
          <w:rFonts w:eastAsia="仿宋_GB2312"/>
          <w:color w:val="auto"/>
          <w:sz w:val="32"/>
          <w:szCs w:val="32"/>
        </w:rPr>
        <w:t xml:space="preserve">   </w:t>
      </w:r>
    </w:p>
    <w:p>
      <w:pPr>
        <w:spacing w:line="720" w:lineRule="exact"/>
        <w:ind w:firstLine="2188" w:firstLineChars="690"/>
        <w:rPr>
          <w:rFonts w:eastAsia="仿宋_GB2312"/>
          <w:color w:val="auto"/>
          <w:sz w:val="32"/>
        </w:rPr>
      </w:pPr>
    </w:p>
    <w:p>
      <w:pPr>
        <w:spacing w:line="720" w:lineRule="exact"/>
        <w:ind w:firstLine="2188" w:firstLineChars="690"/>
        <w:rPr>
          <w:rFonts w:eastAsia="仿宋_GB2312"/>
          <w:color w:val="auto"/>
          <w:sz w:val="32"/>
        </w:rPr>
      </w:pPr>
    </w:p>
    <w:p>
      <w:pPr>
        <w:spacing w:line="720" w:lineRule="exact"/>
        <w:ind w:firstLine="2188" w:firstLineChars="690"/>
        <w:rPr>
          <w:rFonts w:eastAsia="仿宋_GB2312"/>
          <w:color w:val="auto"/>
          <w:sz w:val="32"/>
        </w:rPr>
      </w:pPr>
    </w:p>
    <w:p>
      <w:pPr>
        <w:spacing w:line="348" w:lineRule="auto"/>
        <w:jc w:val="center"/>
        <w:rPr>
          <w:rFonts w:eastAsia="仿宋_GB2312"/>
          <w:color w:val="auto"/>
          <w:sz w:val="32"/>
        </w:rPr>
      </w:pPr>
      <w:r>
        <w:rPr>
          <w:rFonts w:hint="eastAsia" w:eastAsia="仿宋_GB2312"/>
          <w:color w:val="auto"/>
          <w:sz w:val="32"/>
        </w:rPr>
        <w:t>报告日期：</w:t>
      </w:r>
      <w:r>
        <w:rPr>
          <w:rFonts w:eastAsia="仿宋_GB2312"/>
          <w:color w:val="auto"/>
          <w:sz w:val="32"/>
        </w:rPr>
        <w:t>20</w:t>
      </w:r>
      <w:r>
        <w:rPr>
          <w:rFonts w:hint="eastAsia" w:eastAsia="仿宋_GB2312"/>
          <w:color w:val="auto"/>
          <w:sz w:val="32"/>
        </w:rPr>
        <w:t>21年</w:t>
      </w:r>
      <w:r>
        <w:rPr>
          <w:rFonts w:eastAsia="仿宋_GB2312"/>
          <w:color w:val="auto"/>
          <w:sz w:val="32"/>
        </w:rPr>
        <w:t>07</w:t>
      </w:r>
      <w:r>
        <w:rPr>
          <w:rFonts w:hint="eastAsia" w:eastAsia="仿宋_GB2312"/>
          <w:color w:val="auto"/>
          <w:sz w:val="32"/>
        </w:rPr>
        <w:t>月</w:t>
      </w:r>
      <w:r>
        <w:rPr>
          <w:rFonts w:eastAsia="仿宋_GB2312"/>
          <w:color w:val="auto"/>
          <w:sz w:val="32"/>
        </w:rPr>
        <w:t>12</w:t>
      </w:r>
      <w:r>
        <w:rPr>
          <w:rFonts w:hint="eastAsia" w:eastAsia="仿宋_GB2312"/>
          <w:color w:val="auto"/>
          <w:sz w:val="32"/>
        </w:rPr>
        <w:t>日</w:t>
      </w:r>
    </w:p>
    <w:p>
      <w:pPr>
        <w:autoSpaceDN w:val="0"/>
        <w:jc w:val="center"/>
        <w:textAlignment w:val="center"/>
        <w:rPr>
          <w:rFonts w:eastAsia="仿宋_GB2312"/>
          <w:color w:val="auto"/>
          <w:sz w:val="32"/>
          <w:szCs w:val="32"/>
        </w:rPr>
      </w:pPr>
      <w:r>
        <w:rPr>
          <w:rFonts w:hint="eastAsia" w:eastAsia="仿宋_GB2312"/>
          <w:color w:val="auto"/>
          <w:sz w:val="32"/>
        </w:rPr>
        <w:t>岳阳县财政</w:t>
      </w:r>
      <w:r>
        <w:rPr>
          <w:rFonts w:hint="eastAsia" w:eastAsia="仿宋_GB2312"/>
          <w:color w:val="auto"/>
          <w:sz w:val="32"/>
          <w:szCs w:val="32"/>
        </w:rPr>
        <w:t>局（制）</w:t>
      </w:r>
    </w:p>
    <w:p>
      <w:pPr>
        <w:widowControl/>
        <w:jc w:val="left"/>
        <w:rPr>
          <w:rFonts w:eastAsia="仿宋_GB2312"/>
          <w:color w:val="auto"/>
          <w:sz w:val="32"/>
          <w:szCs w:val="32"/>
        </w:rPr>
        <w:sectPr>
          <w:pgSz w:w="11906" w:h="16838"/>
          <w:pgMar w:top="1588" w:right="1588" w:bottom="1588" w:left="1588" w:header="851" w:footer="992" w:gutter="0"/>
          <w:pgNumType w:start="1"/>
          <w:cols w:space="720" w:num="1"/>
          <w:docGrid w:type="linesAndChars" w:linePitch="602" w:charSpace="-782"/>
        </w:sectPr>
      </w:pPr>
    </w:p>
    <w:tbl>
      <w:tblPr>
        <w:tblStyle w:val="6"/>
        <w:tblW w:w="1039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1"/>
        <w:gridCol w:w="213"/>
        <w:gridCol w:w="1126"/>
        <w:gridCol w:w="210"/>
        <w:gridCol w:w="1145"/>
        <w:gridCol w:w="272"/>
        <w:gridCol w:w="808"/>
        <w:gridCol w:w="1479"/>
        <w:gridCol w:w="163"/>
        <w:gridCol w:w="63"/>
        <w:gridCol w:w="196"/>
        <w:gridCol w:w="1136"/>
        <w:gridCol w:w="468"/>
        <w:gridCol w:w="139"/>
        <w:gridCol w:w="458"/>
        <w:gridCol w:w="1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397" w:type="dxa"/>
            <w:gridSpan w:val="1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黑体" w:hAnsi="黑体" w:eastAsia="黑体" w:cs="黑体"/>
                <w:color w:val="auto"/>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联系人</w:t>
            </w:r>
          </w:p>
        </w:tc>
        <w:tc>
          <w:tcPr>
            <w:tcW w:w="3561"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吴三喜</w:t>
            </w:r>
          </w:p>
        </w:tc>
        <w:tc>
          <w:tcPr>
            <w:tcW w:w="1479" w:type="dxa"/>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联络电话</w:t>
            </w:r>
          </w:p>
        </w:tc>
        <w:tc>
          <w:tcPr>
            <w:tcW w:w="3703" w:type="dxa"/>
            <w:gridSpan w:val="8"/>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13574040886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人员编制</w:t>
            </w:r>
          </w:p>
        </w:tc>
        <w:tc>
          <w:tcPr>
            <w:tcW w:w="3561"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55</w:t>
            </w:r>
          </w:p>
        </w:tc>
        <w:tc>
          <w:tcPr>
            <w:tcW w:w="1479" w:type="dxa"/>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实有人数</w:t>
            </w:r>
          </w:p>
        </w:tc>
        <w:tc>
          <w:tcPr>
            <w:tcW w:w="3703" w:type="dxa"/>
            <w:gridSpan w:val="8"/>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6"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职能职责概述</w:t>
            </w:r>
          </w:p>
        </w:tc>
        <w:tc>
          <w:tcPr>
            <w:tcW w:w="8743" w:type="dxa"/>
            <w:gridSpan w:val="14"/>
            <w:tcMar>
              <w:top w:w="0" w:type="dxa"/>
              <w:left w:w="15" w:type="dxa"/>
              <w:bottom w:w="0" w:type="dxa"/>
              <w:right w:w="15" w:type="dxa"/>
            </w:tcMar>
            <w:vAlign w:val="center"/>
          </w:tcPr>
          <w:p>
            <w:pPr>
              <w:autoSpaceDN w:val="0"/>
              <w:spacing w:line="40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 xml:space="preserve">负责组织实施水路交通地方性法规、规章、规则和技术规范，依据法律法规和交通运输主管部门的委托负责全县水路交通行政执法及监督检查；负责编制全县水路交通发展规划和计划，编报内河航道管理、新建、改建、养护工程项目年度计划并组织实施；负责对全县水路运输及运输服务市场、港口装卸、船舶修造市场实施行业管理，负责全县水路运输行政管理、港口行政管理，组织和协调辖区的战备军事运输和防汛抗灾工作等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64"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年度主要</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工作内容</w:t>
            </w:r>
          </w:p>
        </w:tc>
        <w:tc>
          <w:tcPr>
            <w:tcW w:w="8743" w:type="dxa"/>
            <w:gridSpan w:val="14"/>
            <w:tcMar>
              <w:top w:w="0" w:type="dxa"/>
              <w:left w:w="15" w:type="dxa"/>
              <w:bottom w:w="0" w:type="dxa"/>
              <w:right w:w="15" w:type="dxa"/>
            </w:tcMar>
            <w:vAlign w:val="center"/>
          </w:tcPr>
          <w:p>
            <w:pPr>
              <w:autoSpaceDN w:val="0"/>
              <w:spacing w:line="40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任务</w:t>
            </w:r>
            <w:r>
              <w:rPr>
                <w:rFonts w:ascii="仿宋_GB2312" w:hAnsi="仿宋_GB2312" w:eastAsia="仿宋_GB2312" w:cs="仿宋_GB2312"/>
                <w:color w:val="auto"/>
                <w:sz w:val="24"/>
              </w:rPr>
              <w:t>1</w:t>
            </w:r>
            <w:r>
              <w:rPr>
                <w:rFonts w:hint="eastAsia" w:ascii="仿宋_GB2312" w:hAnsi="仿宋_GB2312" w:eastAsia="仿宋_GB2312" w:cs="仿宋_GB2312"/>
                <w:color w:val="auto"/>
                <w:sz w:val="24"/>
              </w:rPr>
              <w:t>：编报内河航道管理、新建、改建、养护工程项目年度计划并组织实施</w:t>
            </w:r>
          </w:p>
          <w:p>
            <w:pPr>
              <w:autoSpaceDN w:val="0"/>
              <w:spacing w:line="40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任务</w:t>
            </w:r>
            <w:r>
              <w:rPr>
                <w:rFonts w:ascii="仿宋_GB2312" w:hAnsi="仿宋_GB2312" w:eastAsia="仿宋_GB2312" w:cs="仿宋_GB2312"/>
                <w:color w:val="auto"/>
                <w:sz w:val="24"/>
              </w:rPr>
              <w:t>2</w:t>
            </w:r>
            <w:r>
              <w:rPr>
                <w:rFonts w:hint="eastAsia" w:ascii="仿宋_GB2312" w:hAnsi="仿宋_GB2312" w:eastAsia="仿宋_GB2312" w:cs="仿宋_GB2312"/>
                <w:color w:val="auto"/>
                <w:sz w:val="24"/>
              </w:rPr>
              <w:t>：加强对全县水路运输及运输服务市场、港口装卸、船舶修造市场的管理</w:t>
            </w:r>
          </w:p>
          <w:p>
            <w:pPr>
              <w:autoSpaceDN w:val="0"/>
              <w:spacing w:line="40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任务</w:t>
            </w:r>
            <w:r>
              <w:rPr>
                <w:rFonts w:ascii="仿宋_GB2312" w:hAnsi="仿宋_GB2312" w:eastAsia="仿宋_GB2312" w:cs="仿宋_GB2312"/>
                <w:color w:val="auto"/>
                <w:sz w:val="24"/>
              </w:rPr>
              <w:t>3</w:t>
            </w:r>
            <w:r>
              <w:rPr>
                <w:rFonts w:hint="eastAsia" w:ascii="仿宋_GB2312" w:hAnsi="仿宋_GB2312" w:eastAsia="仿宋_GB2312" w:cs="仿宋_GB2312"/>
                <w:color w:val="auto"/>
                <w:sz w:val="24"/>
              </w:rPr>
              <w:t>：完成本年度内河航道疏浚工程和码头复绿工程</w:t>
            </w:r>
          </w:p>
          <w:p>
            <w:pPr>
              <w:autoSpaceDN w:val="0"/>
              <w:spacing w:line="40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任务4：完成上级部门交办的其他工作</w:t>
            </w:r>
          </w:p>
          <w:p>
            <w:pPr>
              <w:autoSpaceDN w:val="0"/>
              <w:spacing w:line="320" w:lineRule="exact"/>
              <w:jc w:val="left"/>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0"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pacing w:val="-6"/>
                <w:sz w:val="24"/>
              </w:rPr>
            </w:pPr>
            <w:r>
              <w:rPr>
                <w:rFonts w:hint="eastAsia" w:ascii="仿宋_GB2312" w:hAnsi="仿宋_GB2312" w:eastAsia="仿宋_GB2312" w:cs="仿宋_GB2312"/>
                <w:color w:val="auto"/>
                <w:spacing w:val="-6"/>
                <w:sz w:val="24"/>
              </w:rPr>
              <w:t>年度部门（单位）总体运行情况及取得的成绩</w:t>
            </w:r>
          </w:p>
        </w:tc>
        <w:tc>
          <w:tcPr>
            <w:tcW w:w="8743" w:type="dxa"/>
            <w:gridSpan w:val="14"/>
            <w:tcMar>
              <w:top w:w="0" w:type="dxa"/>
              <w:left w:w="15" w:type="dxa"/>
              <w:bottom w:w="0" w:type="dxa"/>
              <w:right w:w="15" w:type="dxa"/>
            </w:tcMar>
            <w:vAlign w:val="center"/>
          </w:tcPr>
          <w:p>
            <w:pPr>
              <w:spacing w:line="580" w:lineRule="exact"/>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一、坚持党的领导，服从服务大局</w:t>
            </w:r>
            <w:r>
              <w:rPr>
                <w:rFonts w:ascii="仿宋_GB2312" w:hAnsi="仿宋_GB2312" w:eastAsia="仿宋_GB2312" w:cs="仿宋_GB2312"/>
                <w:color w:val="auto"/>
                <w:sz w:val="24"/>
              </w:rPr>
              <w:t>;</w:t>
            </w:r>
          </w:p>
          <w:p>
            <w:pPr>
              <w:autoSpaceDN w:val="0"/>
              <w:spacing w:line="400" w:lineRule="exact"/>
              <w:ind w:firstLine="480" w:firstLineChars="200"/>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二、全县水路运输及运输服务市场、港口装卸、船舶修造市场的管理</w:t>
            </w:r>
          </w:p>
          <w:p>
            <w:pPr>
              <w:spacing w:line="580" w:lineRule="exact"/>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水平不断提高</w:t>
            </w:r>
            <w:r>
              <w:rPr>
                <w:rFonts w:ascii="仿宋_GB2312" w:hAnsi="仿宋_GB2312" w:eastAsia="仿宋_GB2312" w:cs="仿宋_GB2312"/>
                <w:color w:val="auto"/>
                <w:sz w:val="24"/>
              </w:rPr>
              <w:t>;</w:t>
            </w:r>
          </w:p>
          <w:p>
            <w:pPr>
              <w:autoSpaceDN w:val="0"/>
              <w:spacing w:line="400" w:lineRule="exact"/>
              <w:ind w:firstLine="480" w:firstLineChars="200"/>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三、完满完成本年度内河航道疏浚工程和码头复绿工程；</w:t>
            </w:r>
          </w:p>
          <w:p>
            <w:pPr>
              <w:spacing w:line="580" w:lineRule="exact"/>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四、强化自身建设，展示良好形象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397" w:type="dxa"/>
            <w:gridSpan w:val="1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黑体" w:hAnsi="黑体" w:eastAsia="黑体" w:cs="黑体"/>
                <w:color w:val="auto"/>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397" w:type="dxa"/>
            <w:gridSpan w:val="1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b/>
                <w:bCs/>
                <w:color w:val="auto"/>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机构名称</w:t>
            </w:r>
          </w:p>
        </w:tc>
        <w:tc>
          <w:tcPr>
            <w:tcW w:w="1126"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收入合计</w:t>
            </w:r>
          </w:p>
        </w:tc>
        <w:tc>
          <w:tcPr>
            <w:tcW w:w="7617" w:type="dxa"/>
            <w:gridSpan w:val="13"/>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4" w:hRule="atLeast"/>
          <w:jc w:val="center"/>
        </w:trPr>
        <w:tc>
          <w:tcPr>
            <w:tcW w:w="1654" w:type="dxa"/>
            <w:gridSpan w:val="2"/>
            <w:vMerge w:val="continue"/>
            <w:vAlign w:val="center"/>
          </w:tcPr>
          <w:p>
            <w:pPr>
              <w:widowControl/>
              <w:jc w:val="left"/>
              <w:rPr>
                <w:rFonts w:ascii="仿宋_GB2312" w:hAnsi="仿宋_GB2312" w:eastAsia="仿宋_GB2312" w:cs="仿宋_GB2312"/>
                <w:color w:val="auto"/>
                <w:sz w:val="24"/>
              </w:rPr>
            </w:pPr>
          </w:p>
        </w:tc>
        <w:tc>
          <w:tcPr>
            <w:tcW w:w="1126" w:type="dxa"/>
            <w:vMerge w:val="continue"/>
            <w:tcBorders>
              <w:right w:val="single" w:color="auto" w:sz="4" w:space="0"/>
            </w:tcBorders>
            <w:vAlign w:val="center"/>
          </w:tcPr>
          <w:p>
            <w:pPr>
              <w:widowControl/>
              <w:jc w:val="left"/>
              <w:rPr>
                <w:rFonts w:ascii="仿宋_GB2312" w:hAnsi="仿宋_GB2312" w:eastAsia="仿宋_GB2312" w:cs="仿宋_GB2312"/>
                <w:color w:val="auto"/>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上年结转</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公共财</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政拨款</w:t>
            </w:r>
          </w:p>
        </w:tc>
        <w:tc>
          <w:tcPr>
            <w:tcW w:w="1705"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政府基金拨款</w:t>
            </w:r>
          </w:p>
        </w:tc>
        <w:tc>
          <w:tcPr>
            <w:tcW w:w="1800"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纳入专户管理的非税收入拨款</w:t>
            </w:r>
          </w:p>
        </w:tc>
        <w:tc>
          <w:tcPr>
            <w:tcW w:w="1677"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其他</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局机关及二级机构汇总</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5,515.23</w:t>
            </w: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ascii="仿宋_GB2312" w:hAnsi="仿宋_GB2312" w:eastAsia="仿宋_GB2312" w:cs="仿宋_GB2312"/>
                <w:color w:val="auto"/>
                <w:sz w:val="24"/>
              </w:rPr>
              <w:t>165.58</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ascii="仿宋_GB2312" w:hAnsi="仿宋_GB2312" w:eastAsia="仿宋_GB2312" w:cs="仿宋_GB2312"/>
                <w:color w:val="auto"/>
                <w:sz w:val="24"/>
              </w:rPr>
              <w:t>1460.31</w:t>
            </w:r>
          </w:p>
        </w:tc>
        <w:tc>
          <w:tcPr>
            <w:tcW w:w="1705"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800"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677" w:type="dxa"/>
            <w:gridSpan w:val="3"/>
            <w:tcMar>
              <w:top w:w="0" w:type="dxa"/>
              <w:left w:w="15" w:type="dxa"/>
              <w:bottom w:w="0" w:type="dxa"/>
              <w:right w:w="15" w:type="dxa"/>
            </w:tcMar>
            <w:vAlign w:val="center"/>
          </w:tcPr>
          <w:p>
            <w:pPr>
              <w:widowControl/>
              <w:jc w:val="center"/>
              <w:textAlignment w:val="center"/>
              <w:rPr>
                <w:rFonts w:ascii="宋体" w:hAnsi="宋体" w:cs="宋体"/>
                <w:color w:val="auto"/>
                <w:sz w:val="22"/>
                <w:szCs w:val="22"/>
              </w:rPr>
            </w:pPr>
            <w:r>
              <w:rPr>
                <w:rFonts w:hint="eastAsia" w:ascii="宋体" w:hAnsi="宋体" w:cs="宋体"/>
                <w:color w:val="auto"/>
                <w:sz w:val="22"/>
                <w:szCs w:val="22"/>
              </w:rPr>
              <w:t>3889.34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spacing w:line="320" w:lineRule="exact"/>
              <w:rPr>
                <w:rFonts w:ascii="仿宋_GB2312" w:hAnsi="仿宋_GB2312" w:eastAsia="仿宋_GB2312" w:cs="仿宋_GB2312"/>
                <w:color w:val="auto"/>
                <w:sz w:val="24"/>
              </w:rPr>
            </w:pPr>
            <w:r>
              <w:rPr>
                <w:rFonts w:ascii="仿宋_GB2312" w:hAnsi="仿宋_GB2312" w:eastAsia="仿宋_GB2312" w:cs="仿宋_GB2312"/>
                <w:color w:val="auto"/>
                <w:sz w:val="24"/>
              </w:rPr>
              <w:t>1</w:t>
            </w:r>
            <w:r>
              <w:rPr>
                <w:rFonts w:hint="eastAsia" w:ascii="仿宋_GB2312" w:hAnsi="仿宋_GB2312" w:eastAsia="仿宋_GB2312" w:cs="仿宋_GB2312"/>
                <w:color w:val="auto"/>
                <w:sz w:val="24"/>
              </w:rPr>
              <w:t>、局机关</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5,515.23</w:t>
            </w: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ascii="仿宋_GB2312" w:hAnsi="仿宋_GB2312" w:eastAsia="仿宋_GB2312" w:cs="仿宋_GB2312"/>
                <w:color w:val="auto"/>
                <w:sz w:val="24"/>
              </w:rPr>
              <w:t>165.58</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ascii="仿宋_GB2312" w:hAnsi="仿宋_GB2312" w:eastAsia="仿宋_GB2312" w:cs="仿宋_GB2312"/>
                <w:color w:val="auto"/>
                <w:sz w:val="24"/>
              </w:rPr>
              <w:t>1460.31</w:t>
            </w:r>
          </w:p>
        </w:tc>
        <w:tc>
          <w:tcPr>
            <w:tcW w:w="1705"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800"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677" w:type="dxa"/>
            <w:gridSpan w:val="3"/>
            <w:tcMar>
              <w:top w:w="0" w:type="dxa"/>
              <w:left w:w="15" w:type="dxa"/>
              <w:bottom w:w="0" w:type="dxa"/>
              <w:right w:w="15" w:type="dxa"/>
            </w:tcMar>
            <w:vAlign w:val="center"/>
          </w:tcPr>
          <w:p>
            <w:pPr>
              <w:widowControl/>
              <w:jc w:val="center"/>
              <w:textAlignment w:val="center"/>
              <w:rPr>
                <w:rFonts w:ascii="宋体" w:hAnsi="宋体" w:cs="宋体"/>
                <w:color w:val="auto"/>
                <w:sz w:val="22"/>
                <w:szCs w:val="22"/>
              </w:rPr>
            </w:pPr>
            <w:r>
              <w:rPr>
                <w:rFonts w:hint="eastAsia" w:ascii="宋体" w:hAnsi="宋体" w:cs="宋体"/>
                <w:color w:val="auto"/>
                <w:sz w:val="22"/>
                <w:szCs w:val="22"/>
              </w:rPr>
              <w:t>3889.34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spacing w:line="320" w:lineRule="exact"/>
              <w:rPr>
                <w:rFonts w:ascii="仿宋_GB2312" w:hAnsi="仿宋_GB2312" w:eastAsia="仿宋_GB2312" w:cs="仿宋_GB2312"/>
                <w:color w:val="auto"/>
                <w:sz w:val="24"/>
              </w:rPr>
            </w:pPr>
            <w:r>
              <w:rPr>
                <w:rFonts w:ascii="仿宋_GB2312" w:hAnsi="仿宋_GB2312" w:eastAsia="仿宋_GB2312" w:cs="仿宋_GB2312"/>
                <w:color w:val="auto"/>
                <w:sz w:val="24"/>
              </w:rPr>
              <w:t>2</w:t>
            </w:r>
            <w:r>
              <w:rPr>
                <w:rFonts w:hint="eastAsia" w:ascii="仿宋_GB2312" w:hAnsi="仿宋_GB2312" w:eastAsia="仿宋_GB2312" w:cs="仿宋_GB2312"/>
                <w:color w:val="auto"/>
                <w:sz w:val="24"/>
              </w:rPr>
              <w:t>、二级机构</w:t>
            </w:r>
            <w:r>
              <w:rPr>
                <w:rFonts w:ascii="仿宋_GB2312" w:hAnsi="仿宋_GB2312" w:eastAsia="仿宋_GB2312" w:cs="仿宋_GB2312"/>
                <w:color w:val="auto"/>
                <w:sz w:val="24"/>
              </w:rPr>
              <w:t>1</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080" w:type="dxa"/>
            <w:gridSpan w:val="2"/>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705"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800"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677"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spacing w:line="320" w:lineRule="exact"/>
              <w:rPr>
                <w:rFonts w:ascii="仿宋_GB2312" w:hAnsi="仿宋_GB2312" w:eastAsia="仿宋_GB2312" w:cs="仿宋_GB2312"/>
                <w:color w:val="auto"/>
                <w:sz w:val="24"/>
              </w:rPr>
            </w:pPr>
            <w:r>
              <w:rPr>
                <w:rFonts w:ascii="仿宋_GB2312" w:hAnsi="仿宋_GB2312" w:eastAsia="仿宋_GB2312" w:cs="仿宋_GB2312"/>
                <w:color w:val="auto"/>
                <w:sz w:val="24"/>
              </w:rPr>
              <w:t>3</w:t>
            </w:r>
            <w:r>
              <w:rPr>
                <w:rFonts w:hint="eastAsia" w:ascii="仿宋_GB2312" w:hAnsi="仿宋_GB2312" w:eastAsia="仿宋_GB2312" w:cs="仿宋_GB2312"/>
                <w:color w:val="auto"/>
                <w:sz w:val="24"/>
              </w:rPr>
              <w:t>、二级机构</w:t>
            </w:r>
            <w:r>
              <w:rPr>
                <w:rFonts w:ascii="仿宋_GB2312" w:hAnsi="仿宋_GB2312" w:eastAsia="仿宋_GB2312" w:cs="仿宋_GB2312"/>
                <w:color w:val="auto"/>
                <w:sz w:val="24"/>
              </w:rPr>
              <w:t>2</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080" w:type="dxa"/>
            <w:gridSpan w:val="2"/>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705"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800"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677"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0397" w:type="dxa"/>
            <w:gridSpan w:val="1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b/>
                <w:bCs/>
                <w:color w:val="auto"/>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restart"/>
            <w:tcMar>
              <w:top w:w="0" w:type="dxa"/>
              <w:left w:w="15" w:type="dxa"/>
              <w:bottom w:w="0" w:type="dxa"/>
              <w:right w:w="15" w:type="dxa"/>
            </w:tcMar>
            <w:vAlign w:val="center"/>
          </w:tcPr>
          <w:p>
            <w:pPr>
              <w:snapToGrid w:val="0"/>
              <w:spacing w:line="32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机构名称</w:t>
            </w:r>
          </w:p>
        </w:tc>
        <w:tc>
          <w:tcPr>
            <w:tcW w:w="1126"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支出合计</w:t>
            </w:r>
          </w:p>
        </w:tc>
        <w:tc>
          <w:tcPr>
            <w:tcW w:w="5472" w:type="dxa"/>
            <w:gridSpan w:val="9"/>
            <w:tcBorders>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其中：</w:t>
            </w:r>
          </w:p>
        </w:tc>
        <w:tc>
          <w:tcPr>
            <w:tcW w:w="2145" w:type="dxa"/>
            <w:gridSpan w:val="4"/>
            <w:tcBorders>
              <w:left w:val="single" w:color="auto" w:sz="4" w:space="0"/>
              <w:bottom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continue"/>
            <w:vAlign w:val="center"/>
          </w:tcPr>
          <w:p>
            <w:pPr>
              <w:widowControl/>
              <w:jc w:val="left"/>
              <w:rPr>
                <w:rFonts w:ascii="仿宋_GB2312" w:hAnsi="仿宋_GB2312" w:eastAsia="仿宋_GB2312" w:cs="仿宋_GB2312"/>
                <w:color w:val="auto"/>
                <w:sz w:val="24"/>
              </w:rPr>
            </w:pPr>
          </w:p>
        </w:tc>
        <w:tc>
          <w:tcPr>
            <w:tcW w:w="1126" w:type="dxa"/>
            <w:vMerge w:val="continue"/>
            <w:tcBorders>
              <w:right w:val="single" w:color="auto" w:sz="4" w:space="0"/>
            </w:tcBorders>
            <w:vAlign w:val="center"/>
          </w:tcPr>
          <w:p>
            <w:pPr>
              <w:widowControl/>
              <w:jc w:val="left"/>
              <w:rPr>
                <w:rFonts w:ascii="仿宋_GB2312" w:hAnsi="仿宋_GB2312" w:eastAsia="仿宋_GB2312" w:cs="仿宋_GB2312"/>
                <w:color w:val="auto"/>
                <w:sz w:val="24"/>
              </w:rPr>
            </w:pPr>
          </w:p>
        </w:tc>
        <w:tc>
          <w:tcPr>
            <w:tcW w:w="1355" w:type="dxa"/>
            <w:gridSpan w:val="2"/>
            <w:vMerge w:val="restart"/>
            <w:tcBorders>
              <w:top w:val="single" w:color="auto" w:sz="4" w:space="0"/>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基本支出</w:t>
            </w:r>
          </w:p>
        </w:tc>
        <w:tc>
          <w:tcPr>
            <w:tcW w:w="2722" w:type="dxa"/>
            <w:gridSpan w:val="4"/>
            <w:tcBorders>
              <w:top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其中：</w:t>
            </w:r>
          </w:p>
        </w:tc>
        <w:tc>
          <w:tcPr>
            <w:tcW w:w="1395" w:type="dxa"/>
            <w:gridSpan w:val="3"/>
            <w:vMerge w:val="restart"/>
            <w:tcBorders>
              <w:top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项目支出</w:t>
            </w:r>
          </w:p>
        </w:tc>
        <w:tc>
          <w:tcPr>
            <w:tcW w:w="1065" w:type="dxa"/>
            <w:gridSpan w:val="3"/>
            <w:vMerge w:val="restart"/>
            <w:tcBorders>
              <w:top w:val="single" w:color="auto" w:sz="4" w:space="0"/>
              <w:left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当年结余</w:t>
            </w:r>
          </w:p>
        </w:tc>
        <w:tc>
          <w:tcPr>
            <w:tcW w:w="1080" w:type="dxa"/>
            <w:vMerge w:val="restart"/>
            <w:tcBorders>
              <w:top w:val="single" w:color="auto" w:sz="4" w:space="0"/>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continue"/>
            <w:vAlign w:val="center"/>
          </w:tcPr>
          <w:p>
            <w:pPr>
              <w:widowControl/>
              <w:jc w:val="left"/>
              <w:rPr>
                <w:rFonts w:ascii="仿宋_GB2312" w:hAnsi="仿宋_GB2312" w:eastAsia="仿宋_GB2312" w:cs="仿宋_GB2312"/>
                <w:color w:val="auto"/>
                <w:sz w:val="24"/>
              </w:rPr>
            </w:pPr>
          </w:p>
        </w:tc>
        <w:tc>
          <w:tcPr>
            <w:tcW w:w="1126" w:type="dxa"/>
            <w:vMerge w:val="continue"/>
            <w:tcBorders>
              <w:right w:val="single" w:color="auto" w:sz="4" w:space="0"/>
            </w:tcBorders>
            <w:vAlign w:val="center"/>
          </w:tcPr>
          <w:p>
            <w:pPr>
              <w:widowControl/>
              <w:jc w:val="left"/>
              <w:rPr>
                <w:rFonts w:ascii="仿宋_GB2312" w:hAnsi="仿宋_GB2312" w:eastAsia="仿宋_GB2312" w:cs="仿宋_GB2312"/>
                <w:color w:val="auto"/>
                <w:sz w:val="24"/>
              </w:rPr>
            </w:pPr>
          </w:p>
        </w:tc>
        <w:tc>
          <w:tcPr>
            <w:tcW w:w="1355" w:type="dxa"/>
            <w:gridSpan w:val="2"/>
            <w:vMerge w:val="continue"/>
            <w:tcBorders>
              <w:top w:val="single" w:color="auto" w:sz="4" w:space="0"/>
              <w:left w:val="single" w:color="auto" w:sz="4" w:space="0"/>
            </w:tcBorders>
            <w:vAlign w:val="center"/>
          </w:tcPr>
          <w:p>
            <w:pPr>
              <w:widowControl/>
              <w:jc w:val="left"/>
              <w:rPr>
                <w:rFonts w:ascii="仿宋_GB2312" w:hAnsi="仿宋_GB2312" w:eastAsia="仿宋_GB2312" w:cs="仿宋_GB2312"/>
                <w:color w:val="auto"/>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人员支出</w:t>
            </w: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公用支出</w:t>
            </w:r>
          </w:p>
        </w:tc>
        <w:tc>
          <w:tcPr>
            <w:tcW w:w="1395" w:type="dxa"/>
            <w:gridSpan w:val="3"/>
            <w:vMerge w:val="continue"/>
            <w:tcBorders>
              <w:top w:val="single" w:color="auto" w:sz="4" w:space="0"/>
              <w:right w:val="single" w:color="auto" w:sz="4" w:space="0"/>
            </w:tcBorders>
            <w:vAlign w:val="center"/>
          </w:tcPr>
          <w:p>
            <w:pPr>
              <w:widowControl/>
              <w:jc w:val="left"/>
              <w:rPr>
                <w:rFonts w:ascii="仿宋_GB2312" w:hAnsi="仿宋_GB2312" w:eastAsia="仿宋_GB2312" w:cs="仿宋_GB2312"/>
                <w:color w:val="auto"/>
                <w:sz w:val="24"/>
              </w:rPr>
            </w:pPr>
          </w:p>
        </w:tc>
        <w:tc>
          <w:tcPr>
            <w:tcW w:w="1065" w:type="dxa"/>
            <w:gridSpan w:val="3"/>
            <w:vMerge w:val="continue"/>
            <w:tcBorders>
              <w:top w:val="single" w:color="auto" w:sz="4" w:space="0"/>
              <w:left w:val="single" w:color="auto" w:sz="4" w:space="0"/>
              <w:right w:val="single" w:color="auto" w:sz="4" w:space="0"/>
            </w:tcBorders>
            <w:vAlign w:val="center"/>
          </w:tcPr>
          <w:p>
            <w:pPr>
              <w:widowControl/>
              <w:jc w:val="left"/>
              <w:rPr>
                <w:rFonts w:ascii="仿宋_GB2312" w:hAnsi="仿宋_GB2312" w:eastAsia="仿宋_GB2312" w:cs="仿宋_GB2312"/>
                <w:color w:val="auto"/>
                <w:sz w:val="24"/>
              </w:rPr>
            </w:pPr>
          </w:p>
        </w:tc>
        <w:tc>
          <w:tcPr>
            <w:tcW w:w="1080" w:type="dxa"/>
            <w:vMerge w:val="continue"/>
            <w:tcBorders>
              <w:top w:val="single" w:color="auto" w:sz="4" w:space="0"/>
              <w:left w:val="single" w:color="auto" w:sz="4" w:space="0"/>
            </w:tcBorders>
            <w:vAlign w:val="center"/>
          </w:tcPr>
          <w:p>
            <w:pPr>
              <w:widowControl/>
              <w:jc w:val="left"/>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7"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局机关及二级机构汇总</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5,366.90</w:t>
            </w:r>
          </w:p>
        </w:tc>
        <w:tc>
          <w:tcPr>
            <w:tcW w:w="1355" w:type="dxa"/>
            <w:gridSpan w:val="2"/>
            <w:tcBorders>
              <w:left w:val="single" w:color="auto" w:sz="4" w:space="0"/>
            </w:tcBorders>
            <w:tcMar>
              <w:top w:w="0" w:type="dxa"/>
              <w:left w:w="15" w:type="dxa"/>
              <w:bottom w:w="0" w:type="dxa"/>
              <w:right w:w="15" w:type="dxa"/>
            </w:tcMar>
            <w:vAlign w:val="center"/>
          </w:tcPr>
          <w:p>
            <w:pPr>
              <w:widowControl/>
              <w:jc w:val="center"/>
              <w:textAlignment w:val="center"/>
              <w:rPr>
                <w:rFonts w:ascii="宋体" w:hAnsi="宋体" w:cs="宋体"/>
                <w:b/>
                <w:bCs/>
                <w:color w:val="auto"/>
                <w:sz w:val="22"/>
                <w:szCs w:val="22"/>
              </w:rPr>
            </w:pPr>
            <w:r>
              <w:rPr>
                <w:rFonts w:ascii="宋体" w:hAnsi="宋体" w:cs="宋体"/>
                <w:b/>
                <w:bCs/>
                <w:color w:val="auto"/>
                <w:sz w:val="22"/>
                <w:szCs w:val="22"/>
              </w:rPr>
              <w:t>1,465.36</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ascii="仿宋_GB2312" w:hAnsi="仿宋_GB2312" w:eastAsia="仿宋_GB2312" w:cs="仿宋_GB2312"/>
                <w:color w:val="auto"/>
                <w:sz w:val="24"/>
              </w:rPr>
              <w:t>719.82</w:t>
            </w: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745.54</w:t>
            </w:r>
          </w:p>
        </w:tc>
        <w:tc>
          <w:tcPr>
            <w:tcW w:w="1395" w:type="dxa"/>
            <w:gridSpan w:val="3"/>
            <w:tcMar>
              <w:top w:w="0" w:type="dxa"/>
              <w:left w:w="15" w:type="dxa"/>
              <w:bottom w:w="0" w:type="dxa"/>
              <w:right w:w="15" w:type="dxa"/>
            </w:tcMar>
            <w:vAlign w:val="center"/>
          </w:tcPr>
          <w:p>
            <w:pPr>
              <w:widowControl/>
              <w:jc w:val="center"/>
              <w:textAlignment w:val="center"/>
              <w:rPr>
                <w:rFonts w:ascii="宋体" w:hAnsi="宋体" w:cs="宋体"/>
                <w:b/>
                <w:bCs/>
                <w:color w:val="auto"/>
                <w:sz w:val="22"/>
                <w:szCs w:val="22"/>
              </w:rPr>
            </w:pPr>
            <w:r>
              <w:rPr>
                <w:rFonts w:ascii="宋体" w:hAnsi="宋体" w:cs="宋体"/>
                <w:b/>
                <w:bCs/>
                <w:color w:val="auto"/>
                <w:sz w:val="22"/>
                <w:szCs w:val="22"/>
              </w:rPr>
              <w:t>3901.54</w:t>
            </w:r>
          </w:p>
        </w:tc>
        <w:tc>
          <w:tcPr>
            <w:tcW w:w="1065" w:type="dxa"/>
            <w:gridSpan w:val="3"/>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-17.25</w:t>
            </w:r>
          </w:p>
        </w:tc>
        <w:tc>
          <w:tcPr>
            <w:tcW w:w="1080" w:type="dxa"/>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ascii="仿宋_GB2312" w:hAnsi="仿宋_GB2312" w:eastAsia="仿宋_GB2312" w:cs="仿宋_GB2312"/>
                <w:color w:val="auto"/>
                <w:sz w:val="24"/>
              </w:rPr>
              <w:t>148.33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color w:val="auto"/>
                <w:sz w:val="24"/>
              </w:rPr>
            </w:pPr>
            <w:r>
              <w:rPr>
                <w:rFonts w:ascii="仿宋_GB2312" w:hAnsi="仿宋_GB2312" w:eastAsia="仿宋_GB2312" w:cs="仿宋_GB2312"/>
                <w:color w:val="auto"/>
                <w:sz w:val="24"/>
              </w:rPr>
              <w:t>1</w:t>
            </w:r>
            <w:r>
              <w:rPr>
                <w:rFonts w:hint="eastAsia" w:ascii="仿宋_GB2312" w:hAnsi="仿宋_GB2312" w:eastAsia="仿宋_GB2312" w:cs="仿宋_GB2312"/>
                <w:color w:val="auto"/>
                <w:sz w:val="24"/>
              </w:rPr>
              <w:t>、局机关</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5,366.90</w:t>
            </w:r>
          </w:p>
        </w:tc>
        <w:tc>
          <w:tcPr>
            <w:tcW w:w="1355" w:type="dxa"/>
            <w:gridSpan w:val="2"/>
            <w:tcBorders>
              <w:left w:val="single" w:color="auto" w:sz="4" w:space="0"/>
            </w:tcBorders>
            <w:tcMar>
              <w:top w:w="0" w:type="dxa"/>
              <w:left w:w="15" w:type="dxa"/>
              <w:bottom w:w="0" w:type="dxa"/>
              <w:right w:w="15" w:type="dxa"/>
            </w:tcMar>
            <w:vAlign w:val="center"/>
          </w:tcPr>
          <w:p>
            <w:pPr>
              <w:widowControl/>
              <w:jc w:val="center"/>
              <w:textAlignment w:val="center"/>
              <w:rPr>
                <w:rFonts w:ascii="宋体" w:hAnsi="宋体" w:cs="宋体"/>
                <w:b/>
                <w:bCs/>
                <w:color w:val="auto"/>
                <w:sz w:val="22"/>
                <w:szCs w:val="22"/>
              </w:rPr>
            </w:pPr>
            <w:r>
              <w:rPr>
                <w:rFonts w:ascii="宋体" w:hAnsi="宋体" w:cs="宋体"/>
                <w:b/>
                <w:bCs/>
                <w:color w:val="auto"/>
                <w:sz w:val="22"/>
                <w:szCs w:val="22"/>
              </w:rPr>
              <w:t>1,465.36</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ascii="仿宋_GB2312" w:hAnsi="仿宋_GB2312" w:eastAsia="仿宋_GB2312" w:cs="仿宋_GB2312"/>
                <w:color w:val="auto"/>
                <w:sz w:val="24"/>
              </w:rPr>
              <w:t>719.82</w:t>
            </w: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745.54</w:t>
            </w:r>
          </w:p>
        </w:tc>
        <w:tc>
          <w:tcPr>
            <w:tcW w:w="1395" w:type="dxa"/>
            <w:gridSpan w:val="3"/>
            <w:tcMar>
              <w:top w:w="0" w:type="dxa"/>
              <w:left w:w="15" w:type="dxa"/>
              <w:bottom w:w="0" w:type="dxa"/>
              <w:right w:w="15" w:type="dxa"/>
            </w:tcMar>
            <w:vAlign w:val="center"/>
          </w:tcPr>
          <w:p>
            <w:pPr>
              <w:widowControl/>
              <w:jc w:val="center"/>
              <w:textAlignment w:val="center"/>
              <w:rPr>
                <w:rFonts w:ascii="宋体" w:hAnsi="宋体" w:cs="宋体"/>
                <w:b/>
                <w:bCs/>
                <w:color w:val="auto"/>
                <w:sz w:val="22"/>
                <w:szCs w:val="22"/>
              </w:rPr>
            </w:pPr>
            <w:r>
              <w:rPr>
                <w:rFonts w:ascii="宋体" w:hAnsi="宋体" w:cs="宋体"/>
                <w:b/>
                <w:bCs/>
                <w:color w:val="auto"/>
                <w:sz w:val="22"/>
                <w:szCs w:val="22"/>
              </w:rPr>
              <w:t>3901.54</w:t>
            </w:r>
          </w:p>
        </w:tc>
        <w:tc>
          <w:tcPr>
            <w:tcW w:w="1065" w:type="dxa"/>
            <w:gridSpan w:val="3"/>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-17.25</w:t>
            </w:r>
          </w:p>
        </w:tc>
        <w:tc>
          <w:tcPr>
            <w:tcW w:w="1080" w:type="dxa"/>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ascii="仿宋_GB2312" w:hAnsi="仿宋_GB2312" w:eastAsia="仿宋_GB2312" w:cs="仿宋_GB2312"/>
                <w:color w:val="auto"/>
                <w:sz w:val="24"/>
              </w:rPr>
              <w:t>148.33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color w:val="auto"/>
                <w:sz w:val="24"/>
              </w:rPr>
            </w:pPr>
            <w:r>
              <w:rPr>
                <w:rFonts w:ascii="仿宋_GB2312" w:hAnsi="仿宋_GB2312" w:eastAsia="仿宋_GB2312" w:cs="仿宋_GB2312"/>
                <w:color w:val="auto"/>
                <w:sz w:val="24"/>
              </w:rPr>
              <w:t>2</w:t>
            </w:r>
            <w:r>
              <w:rPr>
                <w:rFonts w:hint="eastAsia" w:ascii="仿宋_GB2312" w:hAnsi="仿宋_GB2312" w:eastAsia="仿宋_GB2312" w:cs="仿宋_GB2312"/>
                <w:color w:val="auto"/>
                <w:sz w:val="24"/>
              </w:rPr>
              <w:t>、二级机构</w:t>
            </w:r>
            <w:r>
              <w:rPr>
                <w:rFonts w:ascii="仿宋_GB2312" w:hAnsi="仿宋_GB2312" w:eastAsia="仿宋_GB2312" w:cs="仿宋_GB2312"/>
                <w:color w:val="auto"/>
                <w:sz w:val="24"/>
              </w:rPr>
              <w:t>1</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395"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065" w:type="dxa"/>
            <w:gridSpan w:val="3"/>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080" w:type="dxa"/>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color w:val="auto"/>
                <w:sz w:val="24"/>
              </w:rPr>
            </w:pPr>
            <w:r>
              <w:rPr>
                <w:rFonts w:ascii="仿宋_GB2312" w:hAnsi="仿宋_GB2312" w:eastAsia="仿宋_GB2312" w:cs="仿宋_GB2312"/>
                <w:color w:val="auto"/>
                <w:sz w:val="24"/>
              </w:rPr>
              <w:t>3</w:t>
            </w:r>
            <w:r>
              <w:rPr>
                <w:rFonts w:hint="eastAsia" w:ascii="仿宋_GB2312" w:hAnsi="仿宋_GB2312" w:eastAsia="仿宋_GB2312" w:cs="仿宋_GB2312"/>
                <w:color w:val="auto"/>
                <w:sz w:val="24"/>
              </w:rPr>
              <w:t>、二级机构</w:t>
            </w:r>
            <w:r>
              <w:rPr>
                <w:rFonts w:ascii="仿宋_GB2312" w:hAnsi="仿宋_GB2312" w:eastAsia="仿宋_GB2312" w:cs="仿宋_GB2312"/>
                <w:color w:val="auto"/>
                <w:sz w:val="24"/>
              </w:rPr>
              <w:t>2</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395"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065" w:type="dxa"/>
            <w:gridSpan w:val="3"/>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080" w:type="dxa"/>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restart"/>
            <w:tcMar>
              <w:top w:w="0" w:type="dxa"/>
              <w:left w:w="15" w:type="dxa"/>
              <w:bottom w:w="0" w:type="dxa"/>
              <w:right w:w="15" w:type="dxa"/>
            </w:tcMar>
            <w:vAlign w:val="center"/>
          </w:tcPr>
          <w:p>
            <w:pPr>
              <w:spacing w:line="32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机构名称</w:t>
            </w:r>
          </w:p>
        </w:tc>
        <w:tc>
          <w:tcPr>
            <w:tcW w:w="1126"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三公经费</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合计</w:t>
            </w:r>
          </w:p>
        </w:tc>
        <w:tc>
          <w:tcPr>
            <w:tcW w:w="7617" w:type="dxa"/>
            <w:gridSpan w:val="13"/>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continue"/>
            <w:vAlign w:val="center"/>
          </w:tcPr>
          <w:p>
            <w:pPr>
              <w:widowControl/>
              <w:jc w:val="left"/>
              <w:rPr>
                <w:rFonts w:ascii="仿宋_GB2312" w:hAnsi="仿宋_GB2312" w:eastAsia="仿宋_GB2312" w:cs="仿宋_GB2312"/>
                <w:color w:val="auto"/>
                <w:sz w:val="24"/>
              </w:rPr>
            </w:pPr>
          </w:p>
        </w:tc>
        <w:tc>
          <w:tcPr>
            <w:tcW w:w="1126" w:type="dxa"/>
            <w:vMerge w:val="continue"/>
            <w:tcBorders>
              <w:right w:val="single" w:color="auto" w:sz="4" w:space="0"/>
            </w:tcBorders>
            <w:vAlign w:val="center"/>
          </w:tcPr>
          <w:p>
            <w:pPr>
              <w:widowControl/>
              <w:jc w:val="left"/>
              <w:rPr>
                <w:rFonts w:ascii="仿宋_GB2312" w:hAnsi="仿宋_GB2312" w:eastAsia="仿宋_GB2312" w:cs="仿宋_GB2312"/>
                <w:color w:val="auto"/>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公务接待费</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公务用车运维费</w:t>
            </w: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公务用车购置费</w:t>
            </w:r>
          </w:p>
        </w:tc>
        <w:tc>
          <w:tcPr>
            <w:tcW w:w="3540"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8"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局机关及二级机构汇总</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4.77</w:t>
            </w: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0.79</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3.98</w:t>
            </w: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3540"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color w:val="auto"/>
                <w:sz w:val="24"/>
              </w:rPr>
            </w:pPr>
            <w:r>
              <w:rPr>
                <w:rFonts w:ascii="仿宋_GB2312" w:hAnsi="仿宋_GB2312" w:eastAsia="仿宋_GB2312" w:cs="仿宋_GB2312"/>
                <w:color w:val="auto"/>
                <w:sz w:val="24"/>
              </w:rPr>
              <w:t>1</w:t>
            </w:r>
            <w:r>
              <w:rPr>
                <w:rFonts w:hint="eastAsia" w:ascii="仿宋_GB2312" w:hAnsi="仿宋_GB2312" w:eastAsia="仿宋_GB2312" w:cs="仿宋_GB2312"/>
                <w:color w:val="auto"/>
                <w:sz w:val="24"/>
              </w:rPr>
              <w:t>、局机关</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4.77</w:t>
            </w: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0.79</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3.98</w:t>
            </w: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3540"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color w:val="auto"/>
                <w:sz w:val="24"/>
              </w:rPr>
            </w:pPr>
            <w:r>
              <w:rPr>
                <w:rFonts w:ascii="仿宋_GB2312" w:hAnsi="仿宋_GB2312" w:eastAsia="仿宋_GB2312" w:cs="仿宋_GB2312"/>
                <w:color w:val="auto"/>
                <w:sz w:val="24"/>
              </w:rPr>
              <w:t>2</w:t>
            </w:r>
            <w:r>
              <w:rPr>
                <w:rFonts w:hint="eastAsia" w:ascii="仿宋_GB2312" w:hAnsi="仿宋_GB2312" w:eastAsia="仿宋_GB2312" w:cs="仿宋_GB2312"/>
                <w:color w:val="auto"/>
                <w:sz w:val="24"/>
              </w:rPr>
              <w:t>、二级机构</w:t>
            </w:r>
            <w:r>
              <w:rPr>
                <w:rFonts w:ascii="仿宋_GB2312" w:hAnsi="仿宋_GB2312" w:eastAsia="仿宋_GB2312" w:cs="仿宋_GB2312"/>
                <w:color w:val="auto"/>
                <w:sz w:val="24"/>
              </w:rPr>
              <w:t>1</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3540"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color w:val="auto"/>
                <w:sz w:val="24"/>
              </w:rPr>
            </w:pPr>
            <w:r>
              <w:rPr>
                <w:rFonts w:ascii="仿宋_GB2312" w:hAnsi="仿宋_GB2312" w:eastAsia="仿宋_GB2312" w:cs="仿宋_GB2312"/>
                <w:color w:val="auto"/>
                <w:sz w:val="24"/>
              </w:rPr>
              <w:t>3</w:t>
            </w:r>
            <w:r>
              <w:rPr>
                <w:rFonts w:hint="eastAsia" w:ascii="仿宋_GB2312" w:hAnsi="仿宋_GB2312" w:eastAsia="仿宋_GB2312" w:cs="仿宋_GB2312"/>
                <w:color w:val="auto"/>
                <w:sz w:val="24"/>
              </w:rPr>
              <w:t>、二级机构</w:t>
            </w:r>
            <w:r>
              <w:rPr>
                <w:rFonts w:ascii="仿宋_GB2312" w:hAnsi="仿宋_GB2312" w:eastAsia="仿宋_GB2312" w:cs="仿宋_GB2312"/>
                <w:color w:val="auto"/>
                <w:sz w:val="24"/>
              </w:rPr>
              <w:t>2</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3540"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restart"/>
            <w:tcMar>
              <w:top w:w="0" w:type="dxa"/>
              <w:left w:w="15" w:type="dxa"/>
              <w:bottom w:w="0" w:type="dxa"/>
              <w:right w:w="15" w:type="dxa"/>
            </w:tcMar>
            <w:vAlign w:val="center"/>
          </w:tcPr>
          <w:p>
            <w:pPr>
              <w:spacing w:line="32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机构名称</w:t>
            </w:r>
          </w:p>
        </w:tc>
        <w:tc>
          <w:tcPr>
            <w:tcW w:w="1126"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固定资产</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合计</w:t>
            </w:r>
          </w:p>
        </w:tc>
        <w:tc>
          <w:tcPr>
            <w:tcW w:w="6079" w:type="dxa"/>
            <w:gridSpan w:val="11"/>
            <w:tcBorders>
              <w:left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其中：</w:t>
            </w:r>
          </w:p>
        </w:tc>
        <w:tc>
          <w:tcPr>
            <w:tcW w:w="1538" w:type="dxa"/>
            <w:gridSpan w:val="2"/>
            <w:vMerge w:val="restart"/>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continue"/>
            <w:vAlign w:val="center"/>
          </w:tcPr>
          <w:p>
            <w:pPr>
              <w:widowControl/>
              <w:jc w:val="left"/>
              <w:rPr>
                <w:rFonts w:ascii="仿宋_GB2312" w:hAnsi="仿宋_GB2312" w:eastAsia="仿宋_GB2312" w:cs="仿宋_GB2312"/>
                <w:color w:val="auto"/>
                <w:sz w:val="24"/>
              </w:rPr>
            </w:pPr>
          </w:p>
        </w:tc>
        <w:tc>
          <w:tcPr>
            <w:tcW w:w="1126" w:type="dxa"/>
            <w:vMerge w:val="continue"/>
            <w:tcBorders>
              <w:right w:val="single" w:color="auto" w:sz="4" w:space="0"/>
            </w:tcBorders>
            <w:vAlign w:val="center"/>
          </w:tcPr>
          <w:p>
            <w:pPr>
              <w:widowControl/>
              <w:jc w:val="left"/>
              <w:rPr>
                <w:rFonts w:ascii="仿宋_GB2312" w:hAnsi="仿宋_GB2312" w:eastAsia="仿宋_GB2312" w:cs="仿宋_GB2312"/>
                <w:color w:val="auto"/>
                <w:sz w:val="24"/>
              </w:rPr>
            </w:pP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在用固定资产</w:t>
            </w:r>
          </w:p>
        </w:tc>
        <w:tc>
          <w:tcPr>
            <w:tcW w:w="3644" w:type="dxa"/>
            <w:gridSpan w:val="7"/>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出租固定资产</w:t>
            </w:r>
          </w:p>
        </w:tc>
        <w:tc>
          <w:tcPr>
            <w:tcW w:w="1538" w:type="dxa"/>
            <w:gridSpan w:val="2"/>
            <w:vMerge w:val="continue"/>
            <w:tcBorders>
              <w:left w:val="single" w:color="auto" w:sz="4" w:space="0"/>
            </w:tcBorders>
            <w:vAlign w:val="center"/>
          </w:tcPr>
          <w:p>
            <w:pPr>
              <w:widowControl/>
              <w:jc w:val="left"/>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5"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局机关及二级机构汇总</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692</w:t>
            </w: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692</w:t>
            </w:r>
          </w:p>
        </w:tc>
        <w:tc>
          <w:tcPr>
            <w:tcW w:w="3644"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538"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9"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color w:val="auto"/>
                <w:sz w:val="24"/>
              </w:rPr>
            </w:pPr>
            <w:r>
              <w:rPr>
                <w:rFonts w:ascii="仿宋_GB2312" w:hAnsi="仿宋_GB2312" w:eastAsia="仿宋_GB2312" w:cs="仿宋_GB2312"/>
                <w:color w:val="auto"/>
                <w:sz w:val="24"/>
              </w:rPr>
              <w:t>1</w:t>
            </w:r>
            <w:r>
              <w:rPr>
                <w:rFonts w:hint="eastAsia" w:ascii="仿宋_GB2312" w:hAnsi="仿宋_GB2312" w:eastAsia="仿宋_GB2312" w:cs="仿宋_GB2312"/>
                <w:color w:val="auto"/>
                <w:sz w:val="24"/>
              </w:rPr>
              <w:t>、局机关</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692</w:t>
            </w: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692</w:t>
            </w:r>
          </w:p>
        </w:tc>
        <w:tc>
          <w:tcPr>
            <w:tcW w:w="3644"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538"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color w:val="auto"/>
                <w:sz w:val="24"/>
              </w:rPr>
            </w:pPr>
            <w:r>
              <w:rPr>
                <w:rFonts w:ascii="仿宋_GB2312" w:hAnsi="仿宋_GB2312" w:eastAsia="仿宋_GB2312" w:cs="仿宋_GB2312"/>
                <w:color w:val="auto"/>
                <w:sz w:val="24"/>
              </w:rPr>
              <w:t>2</w:t>
            </w:r>
            <w:r>
              <w:rPr>
                <w:rFonts w:hint="eastAsia" w:ascii="仿宋_GB2312" w:hAnsi="仿宋_GB2312" w:eastAsia="仿宋_GB2312" w:cs="仿宋_GB2312"/>
                <w:color w:val="auto"/>
                <w:sz w:val="24"/>
              </w:rPr>
              <w:t>、二级机构</w:t>
            </w:r>
            <w:r>
              <w:rPr>
                <w:rFonts w:ascii="仿宋_GB2312" w:hAnsi="仿宋_GB2312" w:eastAsia="仿宋_GB2312" w:cs="仿宋_GB2312"/>
                <w:color w:val="auto"/>
                <w:sz w:val="24"/>
              </w:rPr>
              <w:t>1</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3644"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538"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color w:val="auto"/>
                <w:sz w:val="24"/>
              </w:rPr>
            </w:pPr>
            <w:r>
              <w:rPr>
                <w:rFonts w:ascii="仿宋_GB2312" w:hAnsi="仿宋_GB2312" w:eastAsia="仿宋_GB2312" w:cs="仿宋_GB2312"/>
                <w:color w:val="auto"/>
                <w:sz w:val="24"/>
              </w:rPr>
              <w:t>3</w:t>
            </w:r>
            <w:r>
              <w:rPr>
                <w:rFonts w:hint="eastAsia" w:ascii="仿宋_GB2312" w:hAnsi="仿宋_GB2312" w:eastAsia="仿宋_GB2312" w:cs="仿宋_GB2312"/>
                <w:color w:val="auto"/>
                <w:sz w:val="24"/>
              </w:rPr>
              <w:t>、二级机构</w:t>
            </w:r>
            <w:r>
              <w:rPr>
                <w:rFonts w:ascii="仿宋_GB2312" w:hAnsi="仿宋_GB2312" w:eastAsia="仿宋_GB2312" w:cs="仿宋_GB2312"/>
                <w:color w:val="auto"/>
                <w:sz w:val="24"/>
              </w:rPr>
              <w:t>2</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3644"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538"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397" w:type="dxa"/>
            <w:gridSpan w:val="1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黑体" w:hAnsi="黑体" w:eastAsia="黑体" w:cs="黑体"/>
                <w:color w:val="auto"/>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1" w:hRule="atLeast"/>
          <w:jc w:val="center"/>
        </w:trPr>
        <w:tc>
          <w:tcPr>
            <w:tcW w:w="1441" w:type="dxa"/>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整体支出绩效定性目标及实施计划完成情况</w:t>
            </w:r>
          </w:p>
        </w:tc>
        <w:tc>
          <w:tcPr>
            <w:tcW w:w="3774"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预期目标</w:t>
            </w:r>
          </w:p>
        </w:tc>
        <w:tc>
          <w:tcPr>
            <w:tcW w:w="5182" w:type="dxa"/>
            <w:gridSpan w:val="9"/>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2"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3774" w:type="dxa"/>
            <w:gridSpan w:val="6"/>
            <w:tcMar>
              <w:top w:w="0" w:type="dxa"/>
              <w:left w:w="15" w:type="dxa"/>
              <w:bottom w:w="0" w:type="dxa"/>
              <w:right w:w="15" w:type="dxa"/>
            </w:tcMar>
            <w:vAlign w:val="center"/>
          </w:tcPr>
          <w:p>
            <w:pPr>
              <w:autoSpaceDN w:val="0"/>
              <w:spacing w:line="40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目标</w:t>
            </w:r>
            <w:r>
              <w:rPr>
                <w:rFonts w:ascii="仿宋_GB2312" w:hAnsi="仿宋_GB2312" w:eastAsia="仿宋_GB2312" w:cs="仿宋_GB2312"/>
                <w:color w:val="auto"/>
                <w:sz w:val="24"/>
              </w:rPr>
              <w:t>1</w:t>
            </w:r>
            <w:r>
              <w:rPr>
                <w:rFonts w:hint="eastAsia" w:ascii="仿宋_GB2312" w:hAnsi="仿宋_GB2312" w:eastAsia="仿宋_GB2312" w:cs="仿宋_GB2312"/>
                <w:color w:val="auto"/>
                <w:sz w:val="24"/>
              </w:rPr>
              <w:t>：编报内河航道管理、新建、改建、养护工程项目年度计划并组织实施</w:t>
            </w:r>
          </w:p>
          <w:p>
            <w:pPr>
              <w:autoSpaceDN w:val="0"/>
              <w:spacing w:line="40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目标</w:t>
            </w:r>
            <w:r>
              <w:rPr>
                <w:rFonts w:ascii="仿宋_GB2312" w:hAnsi="仿宋_GB2312" w:eastAsia="仿宋_GB2312" w:cs="仿宋_GB2312"/>
                <w:color w:val="auto"/>
                <w:sz w:val="24"/>
              </w:rPr>
              <w:t>2</w:t>
            </w:r>
            <w:r>
              <w:rPr>
                <w:rFonts w:hint="eastAsia" w:ascii="仿宋_GB2312" w:hAnsi="仿宋_GB2312" w:eastAsia="仿宋_GB2312" w:cs="仿宋_GB2312"/>
                <w:color w:val="auto"/>
                <w:sz w:val="24"/>
              </w:rPr>
              <w:t>：加强对全县水路运输及运输服务市场、港口装卸、船舶修造市场的管理</w:t>
            </w:r>
          </w:p>
          <w:p>
            <w:pPr>
              <w:autoSpaceDN w:val="0"/>
              <w:spacing w:line="40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目标</w:t>
            </w:r>
            <w:r>
              <w:rPr>
                <w:rFonts w:ascii="仿宋_GB2312" w:hAnsi="仿宋_GB2312" w:eastAsia="仿宋_GB2312" w:cs="仿宋_GB2312"/>
                <w:color w:val="auto"/>
                <w:sz w:val="24"/>
              </w:rPr>
              <w:t>3</w:t>
            </w:r>
            <w:r>
              <w:rPr>
                <w:rFonts w:hint="eastAsia" w:ascii="仿宋_GB2312" w:hAnsi="仿宋_GB2312" w:eastAsia="仿宋_GB2312" w:cs="仿宋_GB2312"/>
                <w:color w:val="auto"/>
                <w:sz w:val="24"/>
              </w:rPr>
              <w:t>：完满完成本年度内河航道疏浚工程和码头复绿工程；</w:t>
            </w:r>
          </w:p>
        </w:tc>
        <w:tc>
          <w:tcPr>
            <w:tcW w:w="5182" w:type="dxa"/>
            <w:gridSpan w:val="9"/>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全面完成。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41" w:type="dxa"/>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整体支出</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绩效定量目标及实施计划完成情况</w:t>
            </w:r>
          </w:p>
        </w:tc>
        <w:tc>
          <w:tcPr>
            <w:tcW w:w="2966"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评价内容</w:t>
            </w:r>
          </w:p>
        </w:tc>
        <w:tc>
          <w:tcPr>
            <w:tcW w:w="2709"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绩效目标</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3"/>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产出目标</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（部门工作实绩，包含上级部门和市委市政府布置的重点工作、实事任务等，根据部门实际进行调整细化）</w:t>
            </w: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质量指标</w:t>
            </w:r>
          </w:p>
        </w:tc>
        <w:tc>
          <w:tcPr>
            <w:tcW w:w="2709" w:type="dxa"/>
            <w:gridSpan w:val="5"/>
            <w:tcMar>
              <w:top w:w="0" w:type="dxa"/>
              <w:left w:w="15" w:type="dxa"/>
              <w:bottom w:w="0" w:type="dxa"/>
              <w:right w:w="15" w:type="dxa"/>
            </w:tcMar>
            <w:vAlign w:val="center"/>
          </w:tcPr>
          <w:p>
            <w:pPr>
              <w:autoSpaceDN w:val="0"/>
              <w:spacing w:line="400" w:lineRule="exac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内河航运通畅水平</w:t>
            </w:r>
            <w:r>
              <w:rPr>
                <w:rFonts w:ascii="仿宋_GB2312" w:hAnsi="仿宋_GB2312" w:eastAsia="仿宋_GB2312" w:cs="仿宋_GB2312"/>
                <w:color w:val="auto"/>
                <w:sz w:val="24"/>
              </w:rPr>
              <w:t>100%</w:t>
            </w:r>
          </w:p>
        </w:tc>
        <w:tc>
          <w:tcPr>
            <w:tcW w:w="3281"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 w:val="24"/>
              </w:rPr>
            </w:pPr>
            <w:r>
              <w:rPr>
                <w:rFonts w:ascii="仿宋_GB2312" w:hAnsi="仿宋_GB2312" w:eastAsia="仿宋_GB2312" w:cs="仿宋_GB2312"/>
                <w:color w:val="auto"/>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3"/>
            <w:vMerge w:val="continue"/>
            <w:vAlign w:val="center"/>
          </w:tcPr>
          <w:p>
            <w:pPr>
              <w:widowControl/>
              <w:jc w:val="left"/>
              <w:rPr>
                <w:rFonts w:ascii="仿宋_GB2312" w:hAnsi="仿宋_GB2312" w:eastAsia="仿宋_GB2312" w:cs="仿宋_GB2312"/>
                <w:color w:val="auto"/>
                <w:sz w:val="24"/>
              </w:rPr>
            </w:pPr>
          </w:p>
        </w:tc>
        <w:tc>
          <w:tcPr>
            <w:tcW w:w="1417" w:type="dxa"/>
            <w:gridSpan w:val="2"/>
            <w:vMerge w:val="continue"/>
            <w:vAlign w:val="center"/>
          </w:tcPr>
          <w:p>
            <w:pPr>
              <w:widowControl/>
              <w:jc w:val="left"/>
              <w:rPr>
                <w:rFonts w:ascii="仿宋_GB2312" w:hAnsi="仿宋_GB2312" w:eastAsia="仿宋_GB2312" w:cs="仿宋_GB2312"/>
                <w:color w:val="auto"/>
                <w:sz w:val="24"/>
              </w:rPr>
            </w:pPr>
          </w:p>
        </w:tc>
        <w:tc>
          <w:tcPr>
            <w:tcW w:w="2709"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“三公经费”变动率≤</w:t>
            </w:r>
            <w:r>
              <w:rPr>
                <w:rFonts w:ascii="仿宋_GB2312" w:hAnsi="仿宋_GB2312" w:eastAsia="仿宋_GB2312" w:cs="仿宋_GB2312"/>
                <w:color w:val="auto"/>
                <w:sz w:val="24"/>
              </w:rPr>
              <w:t>0</w:t>
            </w:r>
          </w:p>
        </w:tc>
        <w:tc>
          <w:tcPr>
            <w:tcW w:w="3281"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w:t>
            </w:r>
            <w:r>
              <w:rPr>
                <w:rFonts w:ascii="仿宋_GB2312" w:hAnsi="仿宋_GB2312" w:eastAsia="仿宋_GB2312" w:cs="仿宋_GB2312"/>
                <w:color w:val="auto"/>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3"/>
            <w:vMerge w:val="continue"/>
            <w:vAlign w:val="center"/>
          </w:tcPr>
          <w:p>
            <w:pPr>
              <w:widowControl/>
              <w:jc w:val="left"/>
              <w:rPr>
                <w:rFonts w:ascii="仿宋_GB2312" w:hAnsi="仿宋_GB2312" w:eastAsia="仿宋_GB2312" w:cs="仿宋_GB2312"/>
                <w:color w:val="auto"/>
                <w:sz w:val="24"/>
              </w:rPr>
            </w:pPr>
          </w:p>
        </w:tc>
        <w:tc>
          <w:tcPr>
            <w:tcW w:w="1417" w:type="dxa"/>
            <w:gridSpan w:val="2"/>
            <w:vMerge w:val="continue"/>
            <w:vAlign w:val="center"/>
          </w:tcPr>
          <w:p>
            <w:pPr>
              <w:widowControl/>
              <w:jc w:val="left"/>
              <w:rPr>
                <w:rFonts w:ascii="仿宋_GB2312" w:hAnsi="仿宋_GB2312" w:eastAsia="仿宋_GB2312" w:cs="仿宋_GB2312"/>
                <w:color w:val="auto"/>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3"/>
            <w:vMerge w:val="continue"/>
            <w:vAlign w:val="center"/>
          </w:tcPr>
          <w:p>
            <w:pPr>
              <w:widowControl/>
              <w:jc w:val="left"/>
              <w:rPr>
                <w:rFonts w:ascii="仿宋_GB2312" w:hAnsi="仿宋_GB2312" w:eastAsia="仿宋_GB2312" w:cs="仿宋_GB2312"/>
                <w:color w:val="auto"/>
                <w:sz w:val="24"/>
              </w:rPr>
            </w:pP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数量指标</w:t>
            </w:r>
          </w:p>
        </w:tc>
        <w:tc>
          <w:tcPr>
            <w:tcW w:w="2709"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完成码头复绿改造6座以上</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3"/>
            <w:vMerge w:val="continue"/>
            <w:vAlign w:val="center"/>
          </w:tcPr>
          <w:p>
            <w:pPr>
              <w:widowControl/>
              <w:jc w:val="left"/>
              <w:rPr>
                <w:rFonts w:ascii="仿宋_GB2312" w:hAnsi="仿宋_GB2312" w:eastAsia="仿宋_GB2312" w:cs="仿宋_GB2312"/>
                <w:color w:val="auto"/>
                <w:sz w:val="24"/>
              </w:rPr>
            </w:pPr>
          </w:p>
        </w:tc>
        <w:tc>
          <w:tcPr>
            <w:tcW w:w="1417" w:type="dxa"/>
            <w:gridSpan w:val="2"/>
            <w:vMerge w:val="continue"/>
            <w:vAlign w:val="center"/>
          </w:tcPr>
          <w:p>
            <w:pPr>
              <w:widowControl/>
              <w:jc w:val="left"/>
              <w:rPr>
                <w:rFonts w:ascii="仿宋_GB2312" w:hAnsi="仿宋_GB2312" w:eastAsia="仿宋_GB2312" w:cs="仿宋_GB2312"/>
                <w:color w:val="auto"/>
                <w:sz w:val="24"/>
              </w:rPr>
            </w:pPr>
          </w:p>
        </w:tc>
        <w:tc>
          <w:tcPr>
            <w:tcW w:w="2709"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 w:val="24"/>
              </w:rPr>
            </w:pP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3"/>
            <w:vMerge w:val="continue"/>
            <w:vAlign w:val="center"/>
          </w:tcPr>
          <w:p>
            <w:pPr>
              <w:widowControl/>
              <w:jc w:val="left"/>
              <w:rPr>
                <w:rFonts w:ascii="仿宋_GB2312" w:hAnsi="仿宋_GB2312" w:eastAsia="仿宋_GB2312" w:cs="仿宋_GB2312"/>
                <w:color w:val="auto"/>
                <w:sz w:val="24"/>
              </w:rPr>
            </w:pPr>
          </w:p>
        </w:tc>
        <w:tc>
          <w:tcPr>
            <w:tcW w:w="1417" w:type="dxa"/>
            <w:gridSpan w:val="2"/>
            <w:vMerge w:val="continue"/>
            <w:vAlign w:val="center"/>
          </w:tcPr>
          <w:p>
            <w:pPr>
              <w:widowControl/>
              <w:jc w:val="left"/>
              <w:rPr>
                <w:rFonts w:ascii="仿宋_GB2312" w:hAnsi="仿宋_GB2312" w:eastAsia="仿宋_GB2312" w:cs="仿宋_GB2312"/>
                <w:color w:val="auto"/>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3"/>
            <w:vMerge w:val="continue"/>
            <w:vAlign w:val="center"/>
          </w:tcPr>
          <w:p>
            <w:pPr>
              <w:widowControl/>
              <w:jc w:val="left"/>
              <w:rPr>
                <w:rFonts w:ascii="仿宋_GB2312" w:hAnsi="仿宋_GB2312" w:eastAsia="仿宋_GB2312" w:cs="仿宋_GB2312"/>
                <w:color w:val="auto"/>
                <w:sz w:val="24"/>
              </w:rPr>
            </w:pP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时效指标</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在2020财政年度内完成码头复绿改造任务</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已如期完成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3"/>
            <w:vMerge w:val="continue"/>
            <w:vAlign w:val="center"/>
          </w:tcPr>
          <w:p>
            <w:pPr>
              <w:widowControl/>
              <w:jc w:val="left"/>
              <w:rPr>
                <w:rFonts w:ascii="仿宋_GB2312" w:hAnsi="仿宋_GB2312" w:eastAsia="仿宋_GB2312" w:cs="仿宋_GB2312"/>
                <w:color w:val="auto"/>
                <w:sz w:val="24"/>
              </w:rPr>
            </w:pPr>
          </w:p>
        </w:tc>
        <w:tc>
          <w:tcPr>
            <w:tcW w:w="1417" w:type="dxa"/>
            <w:gridSpan w:val="2"/>
            <w:vMerge w:val="continue"/>
            <w:vAlign w:val="center"/>
          </w:tcPr>
          <w:p>
            <w:pPr>
              <w:widowControl/>
              <w:jc w:val="left"/>
              <w:rPr>
                <w:rFonts w:ascii="仿宋_GB2312" w:hAnsi="仿宋_GB2312" w:eastAsia="仿宋_GB2312" w:cs="仿宋_GB2312"/>
                <w:color w:val="auto"/>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w:t>
            </w:r>
            <w:r>
              <w:rPr>
                <w:rFonts w:ascii="仿宋_GB2312" w:hAnsi="仿宋_GB2312" w:eastAsia="仿宋_GB2312" w:cs="仿宋_GB2312"/>
                <w:color w:val="auto"/>
                <w:sz w:val="24"/>
              </w:rPr>
              <w:t>2</w:t>
            </w:r>
            <w:r>
              <w:rPr>
                <w:rFonts w:hint="eastAsia" w:ascii="仿宋_GB2312" w:hAnsi="仿宋_GB2312" w:eastAsia="仿宋_GB2312" w:cs="仿宋_GB2312"/>
                <w:color w:val="auto"/>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3"/>
            <w:vMerge w:val="continue"/>
            <w:vAlign w:val="center"/>
          </w:tcPr>
          <w:p>
            <w:pPr>
              <w:widowControl/>
              <w:jc w:val="left"/>
              <w:rPr>
                <w:rFonts w:ascii="仿宋_GB2312" w:hAnsi="仿宋_GB2312" w:eastAsia="仿宋_GB2312" w:cs="仿宋_GB2312"/>
                <w:color w:val="auto"/>
                <w:sz w:val="24"/>
              </w:rPr>
            </w:pPr>
          </w:p>
        </w:tc>
        <w:tc>
          <w:tcPr>
            <w:tcW w:w="1417" w:type="dxa"/>
            <w:gridSpan w:val="2"/>
            <w:vMerge w:val="continue"/>
            <w:vAlign w:val="center"/>
          </w:tcPr>
          <w:p>
            <w:pPr>
              <w:widowControl/>
              <w:jc w:val="left"/>
              <w:rPr>
                <w:rFonts w:ascii="仿宋_GB2312" w:hAnsi="仿宋_GB2312" w:eastAsia="仿宋_GB2312" w:cs="仿宋_GB2312"/>
                <w:color w:val="auto"/>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3"/>
            <w:vMerge w:val="continue"/>
            <w:vAlign w:val="center"/>
          </w:tcPr>
          <w:p>
            <w:pPr>
              <w:widowControl/>
              <w:jc w:val="left"/>
              <w:rPr>
                <w:rFonts w:ascii="仿宋_GB2312" w:hAnsi="仿宋_GB2312" w:eastAsia="仿宋_GB2312" w:cs="仿宋_GB2312"/>
                <w:color w:val="auto"/>
                <w:sz w:val="24"/>
              </w:rPr>
            </w:pP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成本指标</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全年财政整体支出5,366.90万元</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auto"/>
                <w:sz w:val="24"/>
              </w:rPr>
            </w:pPr>
            <w:r>
              <w:rPr>
                <w:rFonts w:hint="eastAsia" w:ascii="仿宋_GB2312" w:hAnsi="仿宋_GB2312" w:eastAsia="仿宋_GB2312" w:cs="仿宋_GB2312"/>
                <w:color w:val="auto"/>
                <w:sz w:val="24"/>
              </w:rPr>
              <w:t>5,366.90万元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3"/>
            <w:vMerge w:val="continue"/>
            <w:vAlign w:val="center"/>
          </w:tcPr>
          <w:p>
            <w:pPr>
              <w:widowControl/>
              <w:jc w:val="left"/>
              <w:rPr>
                <w:rFonts w:ascii="仿宋_GB2312" w:hAnsi="仿宋_GB2312" w:eastAsia="仿宋_GB2312" w:cs="仿宋_GB2312"/>
                <w:color w:val="auto"/>
                <w:sz w:val="24"/>
              </w:rPr>
            </w:pPr>
          </w:p>
        </w:tc>
        <w:tc>
          <w:tcPr>
            <w:tcW w:w="1417" w:type="dxa"/>
            <w:gridSpan w:val="2"/>
            <w:vMerge w:val="continue"/>
            <w:vAlign w:val="center"/>
          </w:tcPr>
          <w:p>
            <w:pPr>
              <w:widowControl/>
              <w:jc w:val="left"/>
              <w:rPr>
                <w:rFonts w:ascii="仿宋_GB2312" w:hAnsi="仿宋_GB2312" w:eastAsia="仿宋_GB2312" w:cs="仿宋_GB2312"/>
                <w:color w:val="auto"/>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w:t>
            </w:r>
            <w:r>
              <w:rPr>
                <w:rFonts w:ascii="仿宋_GB2312" w:hAnsi="仿宋_GB2312" w:eastAsia="仿宋_GB2312" w:cs="仿宋_GB2312"/>
                <w:color w:val="auto"/>
                <w:sz w:val="24"/>
              </w:rPr>
              <w:t>2</w:t>
            </w:r>
            <w:r>
              <w:rPr>
                <w:rFonts w:hint="eastAsia" w:ascii="仿宋_GB2312" w:hAnsi="仿宋_GB2312" w:eastAsia="仿宋_GB2312" w:cs="仿宋_GB2312"/>
                <w:color w:val="auto"/>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3"/>
            <w:vMerge w:val="continue"/>
            <w:vAlign w:val="center"/>
          </w:tcPr>
          <w:p>
            <w:pPr>
              <w:widowControl/>
              <w:jc w:val="left"/>
              <w:rPr>
                <w:rFonts w:ascii="仿宋_GB2312" w:hAnsi="仿宋_GB2312" w:eastAsia="仿宋_GB2312" w:cs="仿宋_GB2312"/>
                <w:color w:val="auto"/>
                <w:sz w:val="24"/>
              </w:rPr>
            </w:pPr>
          </w:p>
        </w:tc>
        <w:tc>
          <w:tcPr>
            <w:tcW w:w="1417" w:type="dxa"/>
            <w:gridSpan w:val="2"/>
            <w:vMerge w:val="continue"/>
            <w:vAlign w:val="center"/>
          </w:tcPr>
          <w:p>
            <w:pPr>
              <w:widowControl/>
              <w:jc w:val="left"/>
              <w:rPr>
                <w:rFonts w:ascii="仿宋_GB2312" w:hAnsi="仿宋_GB2312" w:eastAsia="仿宋_GB2312" w:cs="仿宋_GB2312"/>
                <w:color w:val="auto"/>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3"/>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效益目标</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（预期实现的效益）</w:t>
            </w: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社会效益</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w:t>
            </w:r>
            <w:r>
              <w:rPr>
                <w:rFonts w:ascii="仿宋_GB2312" w:hAnsi="仿宋_GB2312" w:eastAsia="仿宋_GB2312" w:cs="仿宋_GB2312"/>
                <w:color w:val="auto"/>
                <w:sz w:val="24"/>
              </w:rPr>
              <w:t>1</w:t>
            </w:r>
            <w:r>
              <w:rPr>
                <w:rFonts w:hint="eastAsia" w:ascii="仿宋_GB2312" w:hAnsi="仿宋_GB2312" w:eastAsia="仿宋_GB2312" w:cs="仿宋_GB2312"/>
                <w:color w:val="auto"/>
                <w:sz w:val="24"/>
              </w:rPr>
              <w:t>：提高内河航运运输效率</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w:t>
            </w:r>
            <w:r>
              <w:rPr>
                <w:rFonts w:ascii="仿宋_GB2312" w:hAnsi="仿宋_GB2312" w:eastAsia="仿宋_GB2312" w:cs="仿宋_GB2312"/>
                <w:color w:val="auto"/>
                <w:sz w:val="24"/>
              </w:rPr>
              <w:t>2</w:t>
            </w:r>
            <w:r>
              <w:rPr>
                <w:rFonts w:hint="eastAsia" w:ascii="仿宋_GB2312" w:hAnsi="仿宋_GB2312" w:eastAsia="仿宋_GB2312" w:cs="仿宋_GB2312"/>
                <w:color w:val="auto"/>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效果明显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3"/>
            <w:vMerge w:val="continue"/>
            <w:vAlign w:val="center"/>
          </w:tcPr>
          <w:p>
            <w:pPr>
              <w:widowControl/>
              <w:jc w:val="left"/>
              <w:rPr>
                <w:rFonts w:ascii="仿宋_GB2312" w:hAnsi="仿宋_GB2312" w:eastAsia="仿宋_GB2312" w:cs="仿宋_GB2312"/>
                <w:color w:val="auto"/>
                <w:sz w:val="24"/>
              </w:rPr>
            </w:pP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经济效益</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w:t>
            </w:r>
            <w:r>
              <w:rPr>
                <w:rFonts w:ascii="仿宋_GB2312" w:hAnsi="仿宋_GB2312" w:eastAsia="仿宋_GB2312" w:cs="仿宋_GB2312"/>
                <w:color w:val="auto"/>
                <w:sz w:val="24"/>
              </w:rPr>
              <w:t>1</w:t>
            </w:r>
            <w:r>
              <w:rPr>
                <w:rFonts w:hint="eastAsia" w:ascii="仿宋_GB2312" w:hAnsi="仿宋_GB2312" w:eastAsia="仿宋_GB2312" w:cs="仿宋_GB2312"/>
                <w:color w:val="auto"/>
                <w:sz w:val="24"/>
              </w:rPr>
              <w:t>：为全县创造了良好的招商引资环境</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w:t>
            </w:r>
            <w:r>
              <w:rPr>
                <w:rFonts w:ascii="仿宋_GB2312" w:hAnsi="仿宋_GB2312" w:eastAsia="仿宋_GB2312" w:cs="仿宋_GB2312"/>
                <w:color w:val="auto"/>
                <w:sz w:val="24"/>
              </w:rPr>
              <w:t>2</w:t>
            </w:r>
            <w:r>
              <w:rPr>
                <w:rFonts w:hint="eastAsia" w:ascii="仿宋_GB2312" w:hAnsi="仿宋_GB2312" w:eastAsia="仿宋_GB2312" w:cs="仿宋_GB2312"/>
                <w:color w:val="auto"/>
                <w:sz w:val="24"/>
              </w:rPr>
              <w:t>：</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效果明显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3"/>
            <w:vMerge w:val="continue"/>
            <w:vAlign w:val="center"/>
          </w:tcPr>
          <w:p>
            <w:pPr>
              <w:widowControl/>
              <w:jc w:val="left"/>
              <w:rPr>
                <w:rFonts w:ascii="仿宋_GB2312" w:hAnsi="仿宋_GB2312" w:eastAsia="仿宋_GB2312" w:cs="仿宋_GB2312"/>
                <w:color w:val="auto"/>
                <w:sz w:val="24"/>
              </w:rPr>
            </w:pP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生态效益</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w:t>
            </w:r>
            <w:r>
              <w:rPr>
                <w:rFonts w:ascii="仿宋_GB2312" w:hAnsi="仿宋_GB2312" w:eastAsia="仿宋_GB2312" w:cs="仿宋_GB2312"/>
                <w:color w:val="auto"/>
                <w:sz w:val="24"/>
              </w:rPr>
              <w:t>1</w:t>
            </w:r>
            <w:r>
              <w:rPr>
                <w:rFonts w:hint="eastAsia" w:ascii="仿宋_GB2312" w:hAnsi="仿宋_GB2312" w:eastAsia="仿宋_GB2312" w:cs="仿宋_GB2312"/>
                <w:color w:val="auto"/>
                <w:sz w:val="24"/>
              </w:rPr>
              <w:t>：沿河沿湖生态环境美化</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w:t>
            </w:r>
            <w:r>
              <w:rPr>
                <w:rFonts w:ascii="仿宋_GB2312" w:hAnsi="仿宋_GB2312" w:eastAsia="仿宋_GB2312" w:cs="仿宋_GB2312"/>
                <w:color w:val="auto"/>
                <w:sz w:val="24"/>
              </w:rPr>
              <w:t>2</w:t>
            </w:r>
            <w:r>
              <w:rPr>
                <w:rFonts w:hint="eastAsia" w:ascii="仿宋_GB2312" w:hAnsi="仿宋_GB2312" w:eastAsia="仿宋_GB2312" w:cs="仿宋_GB2312"/>
                <w:color w:val="auto"/>
                <w:sz w:val="24"/>
              </w:rPr>
              <w:t>：</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效果明显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3"/>
            <w:vMerge w:val="continue"/>
            <w:vAlign w:val="center"/>
          </w:tcPr>
          <w:p>
            <w:pPr>
              <w:widowControl/>
              <w:jc w:val="left"/>
              <w:rPr>
                <w:rFonts w:ascii="仿宋_GB2312" w:hAnsi="仿宋_GB2312" w:eastAsia="仿宋_GB2312" w:cs="仿宋_GB2312"/>
                <w:color w:val="auto"/>
                <w:sz w:val="24"/>
              </w:rPr>
            </w:pP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社会公众或服务对象满意度</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w:t>
            </w:r>
            <w:r>
              <w:rPr>
                <w:rFonts w:ascii="仿宋_GB2312" w:hAnsi="仿宋_GB2312" w:eastAsia="仿宋_GB2312" w:cs="仿宋_GB2312"/>
                <w:color w:val="auto"/>
                <w:sz w:val="24"/>
              </w:rPr>
              <w:t>1</w:t>
            </w:r>
            <w:r>
              <w:rPr>
                <w:rFonts w:hint="eastAsia" w:ascii="仿宋_GB2312" w:hAnsi="仿宋_GB2312" w:eastAsia="仿宋_GB2312" w:cs="仿宋_GB2312"/>
                <w:color w:val="auto"/>
                <w:sz w:val="24"/>
              </w:rPr>
              <w:t>：社会公众或服务对象满意度</w:t>
            </w:r>
            <w:r>
              <w:rPr>
                <w:rFonts w:ascii="仿宋_GB2312" w:hAnsi="仿宋_GB2312" w:eastAsia="仿宋_GB2312" w:cs="仿宋_GB2312"/>
                <w:color w:val="auto"/>
                <w:sz w:val="24"/>
              </w:rPr>
              <w:t>95%</w:t>
            </w:r>
            <w:r>
              <w:rPr>
                <w:rFonts w:hint="eastAsia" w:ascii="仿宋_GB2312" w:hAnsi="仿宋_GB2312" w:eastAsia="仿宋_GB2312" w:cs="仿宋_GB2312"/>
                <w:color w:val="auto"/>
                <w:sz w:val="24"/>
              </w:rPr>
              <w:t>以上</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w:t>
            </w:r>
            <w:r>
              <w:rPr>
                <w:rFonts w:ascii="仿宋_GB2312" w:hAnsi="仿宋_GB2312" w:eastAsia="仿宋_GB2312" w:cs="仿宋_GB2312"/>
                <w:color w:val="auto"/>
                <w:sz w:val="24"/>
              </w:rPr>
              <w:t>2</w:t>
            </w:r>
            <w:r>
              <w:rPr>
                <w:rFonts w:hint="eastAsia" w:ascii="仿宋_GB2312" w:hAnsi="仿宋_GB2312" w:eastAsia="仿宋_GB2312" w:cs="仿宋_GB2312"/>
                <w:color w:val="auto"/>
                <w:sz w:val="24"/>
              </w:rPr>
              <w:t>：</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auto"/>
                <w:sz w:val="24"/>
              </w:rPr>
            </w:pPr>
            <w:r>
              <w:rPr>
                <w:rFonts w:hint="eastAsia" w:ascii="仿宋_GB2312" w:hAnsi="仿宋_GB2312" w:eastAsia="仿宋_GB2312" w:cs="仿宋_GB2312"/>
                <w:color w:val="auto"/>
                <w:sz w:val="24"/>
              </w:rPr>
              <w:t>社会公众或服务对象满意度</w:t>
            </w:r>
            <w:r>
              <w:rPr>
                <w:rFonts w:ascii="仿宋_GB2312" w:hAnsi="仿宋_GB2312" w:eastAsia="仿宋_GB2312" w:cs="仿宋_GB2312"/>
                <w:color w:val="auto"/>
                <w:sz w:val="24"/>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绩效自评综合得分</w:t>
            </w:r>
          </w:p>
        </w:tc>
        <w:tc>
          <w:tcPr>
            <w:tcW w:w="7407" w:type="dxa"/>
            <w:gridSpan w:val="1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ascii="仿宋_GB2312" w:hAnsi="仿宋_GB2312" w:eastAsia="仿宋_GB2312" w:cs="仿宋_GB2312"/>
                <w:color w:val="auto"/>
                <w:sz w:val="24"/>
              </w:rPr>
              <w:t>9</w:t>
            </w:r>
            <w:r>
              <w:rPr>
                <w:rFonts w:hint="eastAsia" w:ascii="仿宋_GB2312" w:hAnsi="仿宋_GB2312" w:eastAsia="仿宋_GB2312" w:cs="仿宋_GB2312"/>
                <w:color w:val="auto"/>
                <w:sz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评价等次</w:t>
            </w:r>
          </w:p>
        </w:tc>
        <w:tc>
          <w:tcPr>
            <w:tcW w:w="7407" w:type="dxa"/>
            <w:gridSpan w:val="1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0397" w:type="dxa"/>
            <w:gridSpan w:val="1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黑体" w:hAnsi="黑体" w:eastAsia="黑体" w:cs="黑体"/>
                <w:color w:val="auto"/>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姓</w:t>
            </w:r>
            <w:r>
              <w:rPr>
                <w:rFonts w:ascii="仿宋_GB2312" w:hAnsi="仿宋_GB2312" w:eastAsia="仿宋_GB2312" w:cs="仿宋_GB2312"/>
                <w:color w:val="auto"/>
                <w:sz w:val="24"/>
              </w:rPr>
              <w:t xml:space="preserve">  </w:t>
            </w:r>
            <w:r>
              <w:rPr>
                <w:rFonts w:hint="eastAsia" w:ascii="仿宋_GB2312" w:hAnsi="仿宋_GB2312" w:eastAsia="仿宋_GB2312" w:cs="仿宋_GB2312"/>
                <w:color w:val="auto"/>
                <w:sz w:val="24"/>
              </w:rPr>
              <w:t>名</w:t>
            </w:r>
          </w:p>
        </w:tc>
        <w:tc>
          <w:tcPr>
            <w:tcW w:w="356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职务</w:t>
            </w:r>
            <w:r>
              <w:rPr>
                <w:rFonts w:ascii="仿宋_GB2312" w:hAnsi="仿宋_GB2312" w:eastAsia="仿宋_GB2312" w:cs="仿宋_GB2312"/>
                <w:color w:val="auto"/>
                <w:sz w:val="24"/>
              </w:rPr>
              <w:t>/</w:t>
            </w:r>
            <w:r>
              <w:rPr>
                <w:rFonts w:hint="eastAsia" w:ascii="仿宋_GB2312" w:hAnsi="仿宋_GB2312" w:eastAsia="仿宋_GB2312" w:cs="仿宋_GB2312"/>
                <w:color w:val="auto"/>
                <w:sz w:val="24"/>
              </w:rPr>
              <w:t>职称</w:t>
            </w:r>
          </w:p>
        </w:tc>
        <w:tc>
          <w:tcPr>
            <w:tcW w:w="1479" w:type="dxa"/>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单</w:t>
            </w:r>
            <w:r>
              <w:rPr>
                <w:rFonts w:ascii="仿宋_GB2312" w:hAnsi="仿宋_GB2312" w:eastAsia="仿宋_GB2312" w:cs="仿宋_GB2312"/>
                <w:color w:val="auto"/>
                <w:sz w:val="24"/>
              </w:rPr>
              <w:t xml:space="preserve">  </w:t>
            </w:r>
            <w:r>
              <w:rPr>
                <w:rFonts w:hint="eastAsia" w:ascii="仿宋_GB2312" w:hAnsi="仿宋_GB2312" w:eastAsia="仿宋_GB2312" w:cs="仿宋_GB2312"/>
                <w:color w:val="auto"/>
                <w:sz w:val="24"/>
              </w:rPr>
              <w:t>位</w:t>
            </w:r>
          </w:p>
        </w:tc>
        <w:tc>
          <w:tcPr>
            <w:tcW w:w="3703" w:type="dxa"/>
            <w:gridSpan w:val="8"/>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签</w:t>
            </w:r>
            <w:r>
              <w:rPr>
                <w:rFonts w:ascii="仿宋_GB2312" w:hAnsi="仿宋_GB2312" w:eastAsia="仿宋_GB2312" w:cs="仿宋_GB2312"/>
                <w:color w:val="auto"/>
                <w:sz w:val="24"/>
              </w:rPr>
              <w:t xml:space="preserve">  </w:t>
            </w:r>
            <w:r>
              <w:rPr>
                <w:rFonts w:hint="eastAsia" w:ascii="仿宋_GB2312" w:hAnsi="仿宋_GB2312" w:eastAsia="仿宋_GB2312" w:cs="仿宋_GB2312"/>
                <w:color w:val="auto"/>
                <w:sz w:val="24"/>
              </w:rPr>
              <w:t>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Mar>
              <w:top w:w="0" w:type="dxa"/>
              <w:left w:w="15" w:type="dxa"/>
              <w:bottom w:w="0" w:type="dxa"/>
              <w:right w:w="15" w:type="dxa"/>
            </w:tcMar>
            <w:vAlign w:val="center"/>
          </w:tcPr>
          <w:p>
            <w:pPr>
              <w:autoSpaceDN w:val="0"/>
              <w:spacing w:line="400" w:lineRule="exact"/>
              <w:textAlignment w:val="center"/>
              <w:rPr>
                <w:rFonts w:ascii="仿宋_GB2312" w:hAnsi="仿宋_GB2312" w:eastAsia="仿宋_GB2312" w:cs="仿宋_GB2312"/>
                <w:color w:val="auto"/>
                <w:sz w:val="24"/>
              </w:rPr>
            </w:pPr>
            <w:r>
              <w:rPr>
                <w:rFonts w:ascii="仿宋_GB2312" w:hAnsi="仿宋_GB2312" w:eastAsia="仿宋_GB2312" w:cs="仿宋_GB2312"/>
                <w:color w:val="auto"/>
                <w:sz w:val="24"/>
              </w:rPr>
              <w:t xml:space="preserve">  </w:t>
            </w:r>
            <w:r>
              <w:rPr>
                <w:rFonts w:hint="eastAsia" w:ascii="仿宋_GB2312" w:hAnsi="仿宋_GB2312" w:eastAsia="仿宋_GB2312" w:cs="仿宋_GB2312"/>
                <w:color w:val="auto"/>
                <w:sz w:val="24"/>
              </w:rPr>
              <w:t>张伍生</w:t>
            </w:r>
          </w:p>
        </w:tc>
        <w:tc>
          <w:tcPr>
            <w:tcW w:w="3561"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所长</w:t>
            </w:r>
          </w:p>
        </w:tc>
        <w:tc>
          <w:tcPr>
            <w:tcW w:w="1479" w:type="dxa"/>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港口航务管理所</w:t>
            </w:r>
          </w:p>
        </w:tc>
        <w:tc>
          <w:tcPr>
            <w:tcW w:w="3703" w:type="dxa"/>
            <w:gridSpan w:val="8"/>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Mar>
              <w:top w:w="0" w:type="dxa"/>
              <w:left w:w="15" w:type="dxa"/>
              <w:bottom w:w="0" w:type="dxa"/>
              <w:right w:w="15" w:type="dxa"/>
            </w:tcMar>
            <w:vAlign w:val="center"/>
          </w:tcPr>
          <w:p>
            <w:pPr>
              <w:autoSpaceDN w:val="0"/>
              <w:spacing w:line="400" w:lineRule="exact"/>
              <w:ind w:firstLine="240" w:firstLineChars="100"/>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胡安湘</w:t>
            </w:r>
          </w:p>
        </w:tc>
        <w:tc>
          <w:tcPr>
            <w:tcW w:w="3561"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副所长</w:t>
            </w:r>
          </w:p>
        </w:tc>
        <w:tc>
          <w:tcPr>
            <w:tcW w:w="1479" w:type="dxa"/>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港口航务管理所</w:t>
            </w:r>
          </w:p>
        </w:tc>
        <w:tc>
          <w:tcPr>
            <w:tcW w:w="3703" w:type="dxa"/>
            <w:gridSpan w:val="8"/>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Mar>
              <w:top w:w="0" w:type="dxa"/>
              <w:left w:w="15" w:type="dxa"/>
              <w:bottom w:w="0" w:type="dxa"/>
              <w:right w:w="15" w:type="dxa"/>
            </w:tcMar>
            <w:vAlign w:val="center"/>
          </w:tcPr>
          <w:p>
            <w:pPr>
              <w:autoSpaceDN w:val="0"/>
              <w:spacing w:line="400" w:lineRule="exact"/>
              <w:ind w:firstLine="240" w:firstLineChars="100"/>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张亮东</w:t>
            </w:r>
          </w:p>
        </w:tc>
        <w:tc>
          <w:tcPr>
            <w:tcW w:w="3561"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副所长</w:t>
            </w:r>
          </w:p>
        </w:tc>
        <w:tc>
          <w:tcPr>
            <w:tcW w:w="1479" w:type="dxa"/>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港口航务管理所</w:t>
            </w:r>
          </w:p>
        </w:tc>
        <w:tc>
          <w:tcPr>
            <w:tcW w:w="3703" w:type="dxa"/>
            <w:gridSpan w:val="8"/>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356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479" w:type="dxa"/>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3703" w:type="dxa"/>
            <w:gridSpan w:val="8"/>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10397" w:type="dxa"/>
            <w:gridSpan w:val="16"/>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评价组组长（签字）：</w:t>
            </w: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r>
              <w:rPr>
                <w:rFonts w:ascii="仿宋_GB2312" w:hAnsi="仿宋_GB2312" w:eastAsia="仿宋_GB2312" w:cs="仿宋_GB2312"/>
                <w:color w:val="auto"/>
                <w:sz w:val="24"/>
              </w:rPr>
              <w:t xml:space="preserve">                                                               </w:t>
            </w: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r>
              <w:rPr>
                <w:rFonts w:ascii="仿宋_GB2312" w:hAnsi="仿宋_GB2312" w:eastAsia="仿宋_GB2312" w:cs="仿宋_GB2312"/>
                <w:color w:val="auto"/>
                <w:sz w:val="24"/>
              </w:rPr>
              <w:t xml:space="preserve">                                                         </w:t>
            </w:r>
            <w:r>
              <w:rPr>
                <w:rFonts w:hint="eastAsia" w:ascii="仿宋_GB2312" w:hAnsi="仿宋_GB2312" w:eastAsia="仿宋_GB2312" w:cs="仿宋_GB2312"/>
                <w:color w:val="auto"/>
                <w:sz w:val="24"/>
              </w:rPr>
              <w:t>年</w:t>
            </w:r>
            <w:r>
              <w:rPr>
                <w:rFonts w:ascii="仿宋_GB2312" w:hAnsi="仿宋_GB2312" w:eastAsia="仿宋_GB2312" w:cs="仿宋_GB2312"/>
                <w:color w:val="auto"/>
                <w:sz w:val="24"/>
              </w:rPr>
              <w:t xml:space="preserve">    </w:t>
            </w:r>
            <w:r>
              <w:rPr>
                <w:rFonts w:hint="eastAsia" w:ascii="仿宋_GB2312" w:hAnsi="仿宋_GB2312" w:eastAsia="仿宋_GB2312" w:cs="仿宋_GB2312"/>
                <w:color w:val="auto"/>
                <w:sz w:val="24"/>
              </w:rPr>
              <w:t>月</w:t>
            </w:r>
            <w:r>
              <w:rPr>
                <w:rFonts w:ascii="仿宋_GB2312" w:hAnsi="仿宋_GB2312" w:eastAsia="仿宋_GB2312" w:cs="仿宋_GB2312"/>
                <w:color w:val="auto"/>
                <w:sz w:val="24"/>
              </w:rPr>
              <w:t xml:space="preserve">    </w:t>
            </w:r>
            <w:r>
              <w:rPr>
                <w:rFonts w:hint="eastAsia" w:ascii="仿宋_GB2312" w:hAnsi="仿宋_GB2312" w:eastAsia="仿宋_GB2312" w:cs="仿宋_GB2312"/>
                <w:color w:val="auto"/>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10397" w:type="dxa"/>
            <w:gridSpan w:val="16"/>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部门（单位）意见：</w:t>
            </w: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r>
              <w:rPr>
                <w:rFonts w:ascii="仿宋_GB2312" w:hAnsi="仿宋_GB2312" w:eastAsia="仿宋_GB2312" w:cs="仿宋_GB2312"/>
                <w:color w:val="auto"/>
                <w:sz w:val="24"/>
              </w:rPr>
              <w:t xml:space="preserve">                                        </w:t>
            </w: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r>
              <w:rPr>
                <w:rFonts w:ascii="仿宋_GB2312" w:hAnsi="仿宋_GB2312" w:eastAsia="仿宋_GB2312" w:cs="仿宋_GB2312"/>
                <w:color w:val="auto"/>
                <w:sz w:val="24"/>
              </w:rPr>
              <w:t xml:space="preserve">                                        </w:t>
            </w:r>
            <w:r>
              <w:rPr>
                <w:rFonts w:hint="eastAsia" w:ascii="仿宋_GB2312" w:hAnsi="仿宋_GB2312" w:eastAsia="仿宋_GB2312" w:cs="仿宋_GB2312"/>
                <w:color w:val="auto"/>
                <w:sz w:val="24"/>
              </w:rPr>
              <w:t>部门（单位）负责人（签章）：</w:t>
            </w:r>
          </w:p>
          <w:p>
            <w:pPr>
              <w:autoSpaceDN w:val="0"/>
              <w:spacing w:line="320" w:lineRule="exact"/>
              <w:jc w:val="left"/>
              <w:textAlignment w:val="center"/>
              <w:rPr>
                <w:rFonts w:ascii="仿宋_GB2312" w:hAnsi="仿宋_GB2312" w:eastAsia="仿宋_GB2312" w:cs="仿宋_GB2312"/>
                <w:color w:val="auto"/>
                <w:sz w:val="24"/>
              </w:rPr>
            </w:pPr>
            <w:r>
              <w:rPr>
                <w:rFonts w:ascii="仿宋_GB2312" w:hAnsi="仿宋_GB2312" w:eastAsia="仿宋_GB2312" w:cs="仿宋_GB2312"/>
                <w:color w:val="auto"/>
                <w:sz w:val="24"/>
              </w:rPr>
              <w:t xml:space="preserve">                                             </w:t>
            </w:r>
            <w:r>
              <w:rPr>
                <w:rFonts w:hint="eastAsia" w:ascii="仿宋_GB2312" w:hAnsi="仿宋_GB2312" w:eastAsia="仿宋_GB2312" w:cs="仿宋_GB2312"/>
                <w:color w:val="auto"/>
                <w:sz w:val="24"/>
              </w:rPr>
              <w:t>年</w:t>
            </w:r>
            <w:r>
              <w:rPr>
                <w:rFonts w:ascii="仿宋_GB2312" w:hAnsi="仿宋_GB2312" w:eastAsia="仿宋_GB2312" w:cs="仿宋_GB2312"/>
                <w:color w:val="auto"/>
                <w:sz w:val="24"/>
              </w:rPr>
              <w:t xml:space="preserve">    </w:t>
            </w:r>
            <w:r>
              <w:rPr>
                <w:rFonts w:hint="eastAsia" w:ascii="仿宋_GB2312" w:hAnsi="仿宋_GB2312" w:eastAsia="仿宋_GB2312" w:cs="仿宋_GB2312"/>
                <w:color w:val="auto"/>
                <w:sz w:val="24"/>
              </w:rPr>
              <w:t>月</w:t>
            </w:r>
            <w:r>
              <w:rPr>
                <w:rFonts w:ascii="仿宋_GB2312" w:hAnsi="仿宋_GB2312" w:eastAsia="仿宋_GB2312" w:cs="仿宋_GB2312"/>
                <w:color w:val="auto"/>
                <w:sz w:val="24"/>
              </w:rPr>
              <w:t xml:space="preserve">    </w:t>
            </w:r>
            <w:r>
              <w:rPr>
                <w:rFonts w:hint="eastAsia" w:ascii="仿宋_GB2312" w:hAnsi="仿宋_GB2312" w:eastAsia="仿宋_GB2312" w:cs="仿宋_GB2312"/>
                <w:color w:val="auto"/>
                <w:sz w:val="24"/>
              </w:rPr>
              <w:t>日</w:t>
            </w:r>
          </w:p>
        </w:tc>
      </w:tr>
    </w:tbl>
    <w:p>
      <w:pPr>
        <w:rPr>
          <w:rFonts w:eastAsia="仿宋_GB2312" w:cs="仿宋_GB2312"/>
          <w:bCs/>
          <w:color w:val="auto"/>
          <w:sz w:val="28"/>
          <w:szCs w:val="28"/>
        </w:rPr>
      </w:pPr>
      <w:r>
        <w:rPr>
          <w:rFonts w:hint="eastAsia" w:eastAsia="仿宋_GB2312" w:cs="仿宋_GB2312"/>
          <w:bCs/>
          <w:color w:val="auto"/>
          <w:sz w:val="28"/>
          <w:szCs w:val="28"/>
        </w:rPr>
        <w:t>填报人（签名）：吴三喜</w:t>
      </w:r>
      <w:r>
        <w:rPr>
          <w:rFonts w:eastAsia="仿宋_GB2312" w:cs="仿宋_GB2312"/>
          <w:bCs/>
          <w:color w:val="auto"/>
          <w:sz w:val="28"/>
          <w:szCs w:val="28"/>
        </w:rPr>
        <w:t xml:space="preserve">                            </w:t>
      </w:r>
      <w:r>
        <w:rPr>
          <w:rFonts w:hint="eastAsia" w:eastAsia="仿宋_GB2312" w:cs="仿宋_GB2312"/>
          <w:bCs/>
          <w:color w:val="auto"/>
          <w:sz w:val="28"/>
          <w:szCs w:val="28"/>
        </w:rPr>
        <w:t>联系电话：</w:t>
      </w:r>
      <w:r>
        <w:rPr>
          <w:rFonts w:hint="eastAsia" w:ascii="仿宋_GB2312" w:hAnsi="仿宋_GB2312" w:eastAsia="仿宋_GB2312" w:cs="仿宋_GB2312"/>
          <w:color w:val="auto"/>
          <w:sz w:val="24"/>
        </w:rPr>
        <w:t>13574040886</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jc w:val="center"/>
              <w:rPr>
                <w:rFonts w:ascii="黑体" w:hAnsi="黑体" w:eastAsia="黑体" w:cs="黑体"/>
                <w:bCs/>
                <w:color w:val="auto"/>
                <w:sz w:val="28"/>
                <w:szCs w:val="28"/>
              </w:rPr>
            </w:pPr>
            <w:r>
              <w:rPr>
                <w:rFonts w:hint="eastAsia" w:ascii="黑体" w:hAnsi="黑体" w:eastAsia="黑体" w:cs="黑体"/>
                <w:bCs/>
                <w:color w:val="auto"/>
                <w:sz w:val="28"/>
                <w:szCs w:val="28"/>
              </w:rPr>
              <w:t>五、评价报告综述（文字部分）</w:t>
            </w:r>
          </w:p>
          <w:p>
            <w:pPr>
              <w:spacing w:line="440" w:lineRule="exact"/>
              <w:ind w:firstLine="640" w:firstLineChars="200"/>
              <w:rPr>
                <w:rFonts w:eastAsia="仿宋_GB2312"/>
                <w:color w:val="auto"/>
                <w:sz w:val="32"/>
                <w:szCs w:val="32"/>
              </w:rPr>
            </w:pPr>
          </w:p>
          <w:p>
            <w:pPr>
              <w:spacing w:line="560" w:lineRule="exact"/>
              <w:ind w:firstLine="480" w:firstLineChars="200"/>
              <w:rPr>
                <w:rFonts w:ascii="黑体" w:hAnsi="黑体" w:eastAsia="黑体" w:cs="黑体"/>
                <w:bCs/>
                <w:color w:val="auto"/>
                <w:sz w:val="24"/>
              </w:rPr>
            </w:pPr>
            <w:r>
              <w:rPr>
                <w:rFonts w:hint="eastAsia" w:ascii="黑体" w:hAnsi="黑体" w:eastAsia="黑体" w:cs="黑体"/>
                <w:bCs/>
                <w:color w:val="auto"/>
                <w:sz w:val="24"/>
              </w:rPr>
              <w:t>一、部门（单位）概况</w:t>
            </w:r>
          </w:p>
          <w:p>
            <w:pPr>
              <w:numPr>
                <w:ilvl w:val="0"/>
                <w:numId w:val="2"/>
              </w:numPr>
              <w:spacing w:line="560" w:lineRule="exact"/>
              <w:ind w:firstLine="480" w:firstLineChars="200"/>
              <w:rPr>
                <w:rFonts w:ascii="仿宋_GB2312" w:hAnsi="仿宋_GB2312" w:eastAsia="仿宋_GB2312" w:cs="仿宋_GB2312"/>
                <w:bCs/>
                <w:color w:val="auto"/>
                <w:sz w:val="24"/>
              </w:rPr>
            </w:pPr>
            <w:r>
              <w:rPr>
                <w:rFonts w:hint="eastAsia" w:ascii="仿宋_GB2312" w:hAnsi="仿宋_GB2312" w:eastAsia="仿宋_GB2312" w:cs="仿宋_GB2312"/>
                <w:bCs/>
                <w:color w:val="auto"/>
                <w:sz w:val="24"/>
              </w:rPr>
              <w:t>部门（单位）基本情况</w:t>
            </w:r>
          </w:p>
          <w:p>
            <w:pPr>
              <w:keepNext/>
              <w:keepLines/>
              <w:shd w:val="clear" w:color="auto" w:fill="FFFFFF"/>
              <w:ind w:firstLine="640"/>
              <w:jc w:val="left"/>
              <w:rPr>
                <w:rFonts w:ascii="仿宋_GB2312" w:hAnsi="仿宋_GB2312" w:eastAsia="仿宋_GB2312" w:cs="仿宋_GB2312"/>
                <w:bCs/>
                <w:color w:val="auto"/>
                <w:sz w:val="24"/>
              </w:rPr>
            </w:pPr>
            <w:r>
              <w:rPr>
                <w:rFonts w:hint="eastAsia" w:ascii="仿宋_GB2312" w:eastAsia="仿宋_GB2312"/>
                <w:color w:val="auto"/>
                <w:sz w:val="24"/>
              </w:rPr>
              <w:t>岳阳县</w:t>
            </w:r>
            <w:r>
              <w:rPr>
                <w:rFonts w:hint="eastAsia" w:ascii="仿宋_GB2312" w:hAnsi="仿宋_GB2312" w:eastAsia="仿宋_GB2312" w:cs="仿宋_GB2312"/>
                <w:color w:val="auto"/>
                <w:szCs w:val="21"/>
              </w:rPr>
              <w:t>港口航务管理所</w:t>
            </w:r>
            <w:r>
              <w:rPr>
                <w:rFonts w:hint="eastAsia" w:ascii="仿宋_GB2312" w:eastAsia="仿宋_GB2312"/>
                <w:color w:val="auto"/>
                <w:sz w:val="24"/>
              </w:rPr>
              <w:t>承</w:t>
            </w:r>
            <w:r>
              <w:rPr>
                <w:rFonts w:hint="eastAsia" w:ascii="仿宋_GB2312" w:hAnsi="仿宋_GB2312" w:eastAsia="仿宋_GB2312" w:cs="仿宋_GB2312"/>
                <w:color w:val="auto"/>
                <w:szCs w:val="21"/>
              </w:rPr>
              <w:t>担</w:t>
            </w:r>
            <w:r>
              <w:rPr>
                <w:rFonts w:hint="eastAsia" w:ascii="仿宋" w:hAnsi="仿宋" w:eastAsia="仿宋"/>
                <w:color w:val="auto"/>
                <w:sz w:val="30"/>
              </w:rPr>
              <w:t>组织实施水路交通地方性法规、规章、规则和技术规范，依据法律法规和交通运输主管部门的委托负责全县水路交通行政执法及监督检查；负责编制全县水路交通发展规划和计划，编报内河航道管理、新建、改建、养护工程项目年度计划并组织实施；负责对全县水路运输及运输服务市场、港口装卸、船舶修造市场实施行业管理，负责全县水路运输行政管理、港口行政管理，组织和协调辖区的战备军事运输和防汛抗灾工作等</w:t>
            </w:r>
            <w:r>
              <w:rPr>
                <w:rFonts w:hint="eastAsia" w:ascii="宋体" w:hAnsi="宋体" w:cs="宋体"/>
                <w:color w:val="auto"/>
                <w:kern w:val="0"/>
                <w:sz w:val="28"/>
                <w:szCs w:val="28"/>
              </w:rPr>
              <w:t xml:space="preserve"> 。</w:t>
            </w:r>
          </w:p>
          <w:p>
            <w:pPr>
              <w:numPr>
                <w:ilvl w:val="0"/>
                <w:numId w:val="3"/>
              </w:numPr>
              <w:spacing w:line="560" w:lineRule="exact"/>
              <w:ind w:firstLine="480" w:firstLineChars="200"/>
              <w:rPr>
                <w:rFonts w:ascii="仿宋_GB2312" w:hAnsi="仿宋_GB2312" w:eastAsia="仿宋_GB2312" w:cs="仿宋_GB2312"/>
                <w:color w:val="auto"/>
                <w:szCs w:val="21"/>
              </w:rPr>
            </w:pPr>
            <w:r>
              <w:rPr>
                <w:rFonts w:ascii="仿宋" w:hAnsi="仿宋" w:eastAsia="仿宋" w:cs="仿宋"/>
                <w:color w:val="auto"/>
                <w:sz w:val="24"/>
              </w:rPr>
              <w:t xml:space="preserve"> </w:t>
            </w:r>
            <w:r>
              <w:rPr>
                <w:rFonts w:hint="eastAsia" w:ascii="仿宋_GB2312" w:hAnsi="仿宋_GB2312" w:eastAsia="仿宋_GB2312" w:cs="仿宋_GB2312"/>
                <w:color w:val="auto"/>
                <w:szCs w:val="21"/>
              </w:rPr>
              <w:t>部门（单位）整体支出规模、使用方向和主要内容、涉及范围等</w:t>
            </w:r>
          </w:p>
          <w:p>
            <w:pPr>
              <w:spacing w:line="560" w:lineRule="exact"/>
              <w:rPr>
                <w:rFonts w:ascii="仿宋" w:hAnsi="仿宋" w:eastAsia="仿宋" w:cs="仿宋"/>
                <w:color w:val="auto"/>
                <w:sz w:val="24"/>
              </w:rPr>
            </w:pPr>
            <w:r>
              <w:rPr>
                <w:rFonts w:ascii="仿宋" w:hAnsi="仿宋" w:eastAsia="仿宋" w:cs="仿宋"/>
                <w:color w:val="auto"/>
                <w:sz w:val="24"/>
              </w:rPr>
              <w:t xml:space="preserve">   </w:t>
            </w:r>
            <w:r>
              <w:rPr>
                <w:rFonts w:hint="eastAsia" w:ascii="仿宋" w:hAnsi="仿宋" w:eastAsia="仿宋" w:cs="仿宋"/>
                <w:color w:val="auto"/>
                <w:sz w:val="24"/>
              </w:rPr>
              <w:t>2020年岳阳县港口航务管理所整体支出为</w:t>
            </w:r>
            <w:r>
              <w:rPr>
                <w:rFonts w:hint="eastAsia" w:ascii="仿宋_GB2312" w:hAnsi="仿宋_GB2312" w:eastAsia="仿宋_GB2312" w:cs="仿宋_GB2312"/>
                <w:color w:val="auto"/>
                <w:sz w:val="24"/>
              </w:rPr>
              <w:t>5,366.9</w:t>
            </w:r>
            <w:r>
              <w:rPr>
                <w:rFonts w:hint="eastAsia" w:ascii="仿宋" w:hAnsi="仿宋" w:eastAsia="仿宋" w:cs="仿宋"/>
                <w:color w:val="auto"/>
                <w:sz w:val="24"/>
              </w:rPr>
              <w:t>万元，包括基本支出</w:t>
            </w:r>
            <w:r>
              <w:rPr>
                <w:rFonts w:hint="eastAsia" w:ascii="仿宋_GB2312" w:hAnsi="仿宋_GB2312" w:eastAsia="仿宋_GB2312" w:cs="仿宋_GB2312"/>
                <w:color w:val="auto"/>
                <w:sz w:val="24"/>
              </w:rPr>
              <w:t>1,465.36</w:t>
            </w:r>
            <w:r>
              <w:rPr>
                <w:rFonts w:hint="eastAsia" w:ascii="仿宋" w:hAnsi="仿宋" w:eastAsia="仿宋" w:cs="仿宋"/>
                <w:color w:val="auto"/>
                <w:sz w:val="24"/>
              </w:rPr>
              <w:t>万元，主要用于人员经费支出和日常公用经费支出，项目支出3901.54万元，主要用于全县</w:t>
            </w:r>
            <w:r>
              <w:rPr>
                <w:rFonts w:hint="eastAsia" w:ascii="仿宋_GB2312" w:hAnsi="仿宋_GB2312" w:eastAsia="仿宋_GB2312" w:cs="仿宋_GB2312"/>
                <w:color w:val="auto"/>
                <w:sz w:val="24"/>
              </w:rPr>
              <w:t>内河航道疏浚工程和码头复绿工程支出</w:t>
            </w:r>
            <w:r>
              <w:rPr>
                <w:rFonts w:hint="eastAsia" w:ascii="仿宋" w:hAnsi="仿宋" w:eastAsia="仿宋" w:cs="仿宋"/>
                <w:color w:val="auto"/>
                <w:sz w:val="24"/>
              </w:rPr>
              <w:t>。</w:t>
            </w:r>
          </w:p>
          <w:p>
            <w:pPr>
              <w:spacing w:line="560" w:lineRule="exact"/>
              <w:ind w:firstLine="480" w:firstLineChars="200"/>
              <w:rPr>
                <w:rFonts w:ascii="黑体" w:hAnsi="黑体" w:eastAsia="黑体" w:cs="黑体"/>
                <w:bCs/>
                <w:color w:val="auto"/>
                <w:sz w:val="24"/>
              </w:rPr>
            </w:pPr>
            <w:r>
              <w:rPr>
                <w:rFonts w:hint="eastAsia" w:ascii="黑体" w:hAnsi="黑体" w:eastAsia="黑体" w:cs="黑体"/>
                <w:bCs/>
                <w:color w:val="auto"/>
                <w:sz w:val="24"/>
              </w:rPr>
              <w:t>二、部门（单位）整体支出管理及使用情况</w:t>
            </w:r>
          </w:p>
          <w:p>
            <w:pPr>
              <w:spacing w:line="560" w:lineRule="exact"/>
              <w:ind w:firstLine="480" w:firstLineChars="200"/>
              <w:rPr>
                <w:rFonts w:ascii="仿宋_GB2312" w:hAnsi="仿宋_GB2312" w:eastAsia="仿宋_GB2312" w:cs="仿宋_GB2312"/>
                <w:bCs/>
                <w:color w:val="auto"/>
                <w:sz w:val="24"/>
              </w:rPr>
            </w:pPr>
            <w:r>
              <w:rPr>
                <w:rFonts w:hint="eastAsia" w:ascii="仿宋_GB2312" w:hAnsi="仿宋_GB2312" w:eastAsia="仿宋_GB2312" w:cs="仿宋_GB2312"/>
                <w:bCs/>
                <w:color w:val="auto"/>
                <w:sz w:val="24"/>
              </w:rPr>
              <w:t>（一）基本支出</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2020年岳阳县港口航务管理所基本支出</w:t>
            </w:r>
            <w:r>
              <w:rPr>
                <w:rFonts w:hint="eastAsia" w:ascii="仿宋_GB2312" w:hAnsi="仿宋_GB2312" w:eastAsia="仿宋_GB2312" w:cs="仿宋_GB2312"/>
                <w:color w:val="auto"/>
                <w:sz w:val="24"/>
              </w:rPr>
              <w:t>1,465.36</w:t>
            </w:r>
            <w:r>
              <w:rPr>
                <w:rFonts w:hint="eastAsia" w:ascii="仿宋" w:hAnsi="仿宋" w:eastAsia="仿宋" w:cs="仿宋"/>
                <w:color w:val="auto"/>
                <w:sz w:val="24"/>
              </w:rPr>
              <w:t>万元，包括人员支出</w:t>
            </w:r>
            <w:r>
              <w:rPr>
                <w:rFonts w:ascii="仿宋_GB2312" w:hAnsi="仿宋_GB2312" w:eastAsia="仿宋_GB2312" w:cs="仿宋_GB2312"/>
                <w:color w:val="auto"/>
                <w:sz w:val="24"/>
              </w:rPr>
              <w:t>719.82</w:t>
            </w:r>
            <w:r>
              <w:rPr>
                <w:rFonts w:hint="eastAsia" w:ascii="仿宋" w:hAnsi="仿宋" w:eastAsia="仿宋" w:cs="仿宋"/>
                <w:color w:val="auto"/>
                <w:sz w:val="24"/>
              </w:rPr>
              <w:t>万元，公用支出</w:t>
            </w:r>
            <w:r>
              <w:rPr>
                <w:rFonts w:hint="eastAsia" w:ascii="仿宋_GB2312" w:hAnsi="仿宋_GB2312" w:eastAsia="仿宋_GB2312" w:cs="仿宋_GB2312"/>
                <w:color w:val="auto"/>
                <w:sz w:val="24"/>
              </w:rPr>
              <w:t>745.54</w:t>
            </w:r>
            <w:r>
              <w:rPr>
                <w:rFonts w:hint="eastAsia" w:ascii="仿宋" w:hAnsi="仿宋" w:eastAsia="仿宋" w:cs="仿宋"/>
                <w:color w:val="auto"/>
                <w:sz w:val="24"/>
              </w:rPr>
              <w:t>万元，其中“三公”经费合计4.77万元，包括公务接待费</w:t>
            </w:r>
            <w:r>
              <w:rPr>
                <w:rFonts w:hint="eastAsia" w:ascii="仿宋_GB2312" w:hAnsi="仿宋_GB2312" w:eastAsia="仿宋_GB2312" w:cs="仿宋_GB2312"/>
                <w:color w:val="auto"/>
                <w:sz w:val="24"/>
              </w:rPr>
              <w:t>0.79</w:t>
            </w:r>
            <w:r>
              <w:rPr>
                <w:rFonts w:hint="eastAsia" w:ascii="仿宋" w:hAnsi="仿宋" w:eastAsia="仿宋" w:cs="仿宋"/>
                <w:color w:val="auto"/>
                <w:sz w:val="24"/>
              </w:rPr>
              <w:t>万元和公务用车运行维护费3.98万元。</w:t>
            </w:r>
          </w:p>
          <w:p>
            <w:pPr>
              <w:spacing w:line="560" w:lineRule="exact"/>
              <w:ind w:firstLine="480" w:firstLineChars="200"/>
              <w:rPr>
                <w:rFonts w:ascii="仿宋_GB2312" w:hAnsi="仿宋_GB2312" w:eastAsia="仿宋_GB2312" w:cs="仿宋_GB2312"/>
                <w:bCs/>
                <w:color w:val="auto"/>
                <w:sz w:val="24"/>
              </w:rPr>
            </w:pPr>
            <w:r>
              <w:rPr>
                <w:rFonts w:hint="eastAsia" w:ascii="仿宋_GB2312" w:hAnsi="仿宋_GB2312" w:eastAsia="仿宋_GB2312" w:cs="仿宋_GB2312"/>
                <w:bCs/>
                <w:color w:val="auto"/>
                <w:sz w:val="24"/>
              </w:rPr>
              <w:t>（二）专项支出</w:t>
            </w:r>
          </w:p>
          <w:p>
            <w:pPr>
              <w:spacing w:line="560" w:lineRule="exact"/>
              <w:ind w:firstLine="480" w:firstLineChars="200"/>
              <w:rPr>
                <w:rFonts w:ascii="仿宋_GB2312" w:hAnsi="仿宋_GB2312" w:eastAsia="仿宋_GB2312" w:cs="仿宋_GB2312"/>
                <w:bCs/>
                <w:color w:val="auto"/>
                <w:sz w:val="24"/>
              </w:rPr>
            </w:pPr>
            <w:r>
              <w:rPr>
                <w:rFonts w:ascii="仿宋_GB2312" w:hAnsi="仿宋_GB2312" w:eastAsia="仿宋_GB2312" w:cs="仿宋_GB2312"/>
                <w:bCs/>
                <w:color w:val="auto"/>
                <w:sz w:val="24"/>
              </w:rPr>
              <w:t>1</w:t>
            </w:r>
            <w:r>
              <w:rPr>
                <w:rFonts w:hint="eastAsia" w:ascii="仿宋_GB2312" w:hAnsi="仿宋_GB2312" w:eastAsia="仿宋_GB2312" w:cs="仿宋_GB2312"/>
                <w:bCs/>
                <w:color w:val="auto"/>
                <w:sz w:val="24"/>
              </w:rPr>
              <w:t>、专项资金安排落实、总投入等情况分析</w:t>
            </w:r>
          </w:p>
          <w:p>
            <w:pPr>
              <w:widowControl/>
              <w:spacing w:line="600" w:lineRule="exact"/>
              <w:ind w:firstLine="480" w:firstLineChars="200"/>
              <w:rPr>
                <w:rFonts w:ascii="仿宋_GB2312" w:hAnsi="仿宋_GB2312" w:eastAsia="仿宋_GB2312" w:cs="仿宋_GB2312"/>
                <w:bCs/>
                <w:color w:val="auto"/>
                <w:sz w:val="24"/>
              </w:rPr>
            </w:pPr>
            <w:r>
              <w:rPr>
                <w:rFonts w:hint="eastAsia" w:ascii="仿宋_GB2312" w:hAnsi="仿宋_GB2312" w:eastAsia="仿宋_GB2312" w:cs="仿宋_GB2312"/>
                <w:bCs/>
                <w:color w:val="auto"/>
                <w:sz w:val="24"/>
              </w:rPr>
              <w:t>2020年县财政安排我单位项目经费</w:t>
            </w:r>
            <w:r>
              <w:rPr>
                <w:rFonts w:hint="eastAsia" w:ascii="仿宋_GB2312" w:hAnsi="仿宋_GB2312" w:eastAsia="仿宋_GB2312" w:cs="仿宋_GB2312"/>
                <w:color w:val="auto"/>
                <w:sz w:val="24"/>
              </w:rPr>
              <w:t>227</w:t>
            </w:r>
            <w:r>
              <w:rPr>
                <w:rFonts w:hint="eastAsia" w:ascii="仿宋_GB2312" w:hAnsi="仿宋_GB2312" w:eastAsia="仿宋_GB2312" w:cs="仿宋_GB2312"/>
                <w:bCs/>
                <w:color w:val="auto"/>
                <w:sz w:val="24"/>
              </w:rPr>
              <w:t>万元，主要用于</w:t>
            </w:r>
            <w:r>
              <w:rPr>
                <w:rFonts w:hint="eastAsia" w:ascii="仿宋" w:hAnsi="仿宋" w:eastAsia="仿宋" w:cs="仿宋"/>
                <w:color w:val="auto"/>
                <w:sz w:val="24"/>
              </w:rPr>
              <w:t>全县</w:t>
            </w:r>
            <w:r>
              <w:rPr>
                <w:rFonts w:hint="eastAsia" w:ascii="仿宋_GB2312" w:hAnsi="仿宋_GB2312" w:eastAsia="仿宋_GB2312" w:cs="仿宋_GB2312"/>
                <w:color w:val="auto"/>
                <w:sz w:val="24"/>
              </w:rPr>
              <w:t>内河航道疏浚工程和码头复绿工程支出</w:t>
            </w:r>
            <w:r>
              <w:rPr>
                <w:rFonts w:hint="eastAsia" w:ascii="仿宋_GB2312" w:hAnsi="仿宋_GB2312" w:eastAsia="仿宋_GB2312" w:cs="仿宋_GB2312"/>
                <w:bCs/>
                <w:color w:val="auto"/>
                <w:sz w:val="24"/>
              </w:rPr>
              <w:t>，我办实际发生项目支出</w:t>
            </w:r>
            <w:r>
              <w:rPr>
                <w:rFonts w:hint="eastAsia" w:ascii="仿宋" w:hAnsi="仿宋" w:eastAsia="仿宋" w:cs="仿宋"/>
                <w:color w:val="auto"/>
                <w:sz w:val="24"/>
              </w:rPr>
              <w:t>3901.54</w:t>
            </w:r>
            <w:r>
              <w:rPr>
                <w:rFonts w:hint="eastAsia" w:ascii="仿宋_GB2312" w:hAnsi="仿宋_GB2312" w:eastAsia="仿宋_GB2312" w:cs="仿宋_GB2312"/>
                <w:bCs/>
                <w:color w:val="auto"/>
                <w:sz w:val="24"/>
              </w:rPr>
              <w:t>万元，项目支出安排率超过</w:t>
            </w:r>
            <w:r>
              <w:rPr>
                <w:rFonts w:ascii="仿宋_GB2312" w:hAnsi="仿宋_GB2312" w:eastAsia="仿宋_GB2312" w:cs="仿宋_GB2312"/>
                <w:bCs/>
                <w:color w:val="auto"/>
                <w:sz w:val="24"/>
              </w:rPr>
              <w:t>100%</w:t>
            </w:r>
            <w:r>
              <w:rPr>
                <w:rFonts w:hint="eastAsia" w:ascii="仿宋_GB2312" w:hAnsi="仿宋_GB2312" w:eastAsia="仿宋_GB2312" w:cs="仿宋_GB2312"/>
                <w:bCs/>
                <w:color w:val="auto"/>
                <w:sz w:val="24"/>
              </w:rPr>
              <w:t>。</w:t>
            </w:r>
          </w:p>
          <w:p>
            <w:pPr>
              <w:numPr>
                <w:ilvl w:val="0"/>
                <w:numId w:val="4"/>
              </w:numPr>
              <w:spacing w:line="560" w:lineRule="exact"/>
              <w:ind w:firstLine="480"/>
              <w:rPr>
                <w:rFonts w:ascii="仿宋_GB2312" w:hAnsi="仿宋_GB2312" w:eastAsia="仿宋_GB2312" w:cs="仿宋_GB2312"/>
                <w:bCs/>
                <w:color w:val="auto"/>
                <w:sz w:val="24"/>
              </w:rPr>
            </w:pPr>
            <w:r>
              <w:rPr>
                <w:rFonts w:hint="eastAsia" w:ascii="仿宋_GB2312" w:hAnsi="仿宋_GB2312" w:eastAsia="仿宋_GB2312" w:cs="仿宋_GB2312"/>
                <w:bCs/>
                <w:color w:val="auto"/>
                <w:sz w:val="24"/>
              </w:rPr>
              <w:t>专项资金实际使用情况分析</w:t>
            </w:r>
          </w:p>
          <w:p>
            <w:pPr>
              <w:autoSpaceDN w:val="0"/>
              <w:spacing w:line="320" w:lineRule="exact"/>
              <w:jc w:val="left"/>
              <w:textAlignment w:val="center"/>
              <w:rPr>
                <w:rFonts w:ascii="仿宋_GB2312" w:hAnsi="仿宋_GB2312" w:eastAsia="仿宋_GB2312" w:cs="仿宋_GB2312"/>
                <w:bCs/>
                <w:color w:val="auto"/>
                <w:sz w:val="24"/>
              </w:rPr>
            </w:pPr>
            <w:r>
              <w:rPr>
                <w:rFonts w:ascii="仿宋_GB2312" w:hAnsi="仿宋_GB2312" w:eastAsia="仿宋_GB2312" w:cs="仿宋_GB2312"/>
                <w:bCs/>
                <w:color w:val="auto"/>
                <w:sz w:val="24"/>
              </w:rPr>
              <w:t xml:space="preserve">      </w:t>
            </w:r>
            <w:r>
              <w:rPr>
                <w:rFonts w:hint="eastAsia" w:ascii="仿宋_GB2312" w:hAnsi="仿宋_GB2312" w:eastAsia="仿宋_GB2312" w:cs="仿宋_GB2312"/>
                <w:bCs/>
                <w:color w:val="auto"/>
                <w:sz w:val="24"/>
              </w:rPr>
              <w:t>我办专项资金主要用于全县</w:t>
            </w:r>
            <w:r>
              <w:rPr>
                <w:rFonts w:hint="eastAsia" w:ascii="仿宋_GB2312" w:hAnsi="仿宋_GB2312" w:eastAsia="仿宋_GB2312" w:cs="仿宋_GB2312"/>
                <w:color w:val="auto"/>
                <w:sz w:val="24"/>
              </w:rPr>
              <w:t>内河航道疏浚工程和码头复绿工程支出</w:t>
            </w:r>
            <w:r>
              <w:rPr>
                <w:rFonts w:hint="eastAsia" w:ascii="仿宋_GB2312" w:hAnsi="仿宋_GB2312" w:eastAsia="仿宋_GB2312" w:cs="仿宋_GB2312"/>
                <w:bCs/>
                <w:color w:val="auto"/>
                <w:sz w:val="24"/>
              </w:rPr>
              <w:t>，为提高</w:t>
            </w:r>
            <w:r>
              <w:rPr>
                <w:rFonts w:hint="eastAsia" w:ascii="仿宋_GB2312" w:hAnsi="仿宋_GB2312" w:eastAsia="仿宋_GB2312" w:cs="仿宋_GB2312"/>
                <w:color w:val="auto"/>
                <w:sz w:val="24"/>
              </w:rPr>
              <w:t>内河航运运输效率</w:t>
            </w:r>
            <w:r>
              <w:rPr>
                <w:rFonts w:hint="eastAsia" w:ascii="仿宋_GB2312" w:hAnsi="仿宋_GB2312" w:eastAsia="仿宋_GB2312" w:cs="仿宋_GB2312"/>
                <w:bCs/>
                <w:color w:val="auto"/>
                <w:sz w:val="24"/>
              </w:rPr>
              <w:t>，改善码头绿化生态环境，保障经济社会正常发展提供了坚实支持</w:t>
            </w:r>
            <w:r>
              <w:rPr>
                <w:rFonts w:hint="eastAsia" w:ascii="仿宋_GB2312" w:hAnsi="仿宋_GB2312" w:eastAsia="仿宋_GB2312" w:cs="仿宋_GB2312"/>
                <w:color w:val="auto"/>
                <w:sz w:val="24"/>
                <w:shd w:val="clear" w:color="auto" w:fill="FFFFFF"/>
              </w:rPr>
              <w:t>。</w:t>
            </w:r>
          </w:p>
          <w:p>
            <w:pPr>
              <w:numPr>
                <w:ilvl w:val="0"/>
                <w:numId w:val="5"/>
              </w:numPr>
              <w:spacing w:line="560" w:lineRule="exact"/>
              <w:ind w:firstLine="480" w:firstLineChars="200"/>
              <w:rPr>
                <w:rFonts w:ascii="仿宋_GB2312" w:hAnsi="仿宋_GB2312" w:eastAsia="仿宋_GB2312" w:cs="仿宋_GB2312"/>
                <w:bCs/>
                <w:color w:val="auto"/>
                <w:sz w:val="24"/>
              </w:rPr>
            </w:pPr>
            <w:r>
              <w:rPr>
                <w:rFonts w:hint="eastAsia" w:ascii="仿宋_GB2312" w:hAnsi="仿宋_GB2312" w:eastAsia="仿宋_GB2312" w:cs="仿宋_GB2312"/>
                <w:bCs/>
                <w:color w:val="auto"/>
                <w:sz w:val="24"/>
              </w:rPr>
              <w:t>专项资金管理情况分析</w:t>
            </w:r>
          </w:p>
          <w:p>
            <w:pPr>
              <w:spacing w:line="560" w:lineRule="exact"/>
              <w:rPr>
                <w:rFonts w:ascii="仿宋_GB2312" w:hAnsi="仿宋_GB2312" w:eastAsia="仿宋_GB2312" w:cs="仿宋_GB2312"/>
                <w:bCs/>
                <w:color w:val="auto"/>
                <w:sz w:val="24"/>
              </w:rPr>
            </w:pPr>
            <w:r>
              <w:rPr>
                <w:rFonts w:ascii="仿宋_GB2312" w:hAnsi="仿宋_GB2312" w:eastAsia="仿宋_GB2312" w:cs="仿宋_GB2312"/>
                <w:bCs/>
                <w:color w:val="auto"/>
                <w:sz w:val="24"/>
              </w:rPr>
              <w:t xml:space="preserve">       </w:t>
            </w:r>
            <w:r>
              <w:rPr>
                <w:rFonts w:hint="eastAsia" w:ascii="仿宋_GB2312" w:hAnsi="仿宋_GB2312" w:eastAsia="仿宋_GB2312" w:cs="仿宋_GB2312"/>
                <w:bCs/>
                <w:color w:val="auto"/>
                <w:sz w:val="24"/>
              </w:rPr>
              <w:t>我办专项资金实行专款专用、专项核算，费用支出严格按财务审批程序和会议进程等进行支付。</w:t>
            </w:r>
          </w:p>
          <w:p>
            <w:pPr>
              <w:spacing w:line="560" w:lineRule="exact"/>
              <w:ind w:firstLine="480" w:firstLineChars="200"/>
              <w:rPr>
                <w:rFonts w:ascii="黑体" w:hAnsi="黑体" w:eastAsia="黑体" w:cs="黑体"/>
                <w:bCs/>
                <w:color w:val="auto"/>
                <w:sz w:val="24"/>
              </w:rPr>
            </w:pPr>
            <w:r>
              <w:rPr>
                <w:rFonts w:hint="eastAsia" w:ascii="黑体" w:hAnsi="黑体" w:eastAsia="黑体" w:cs="黑体"/>
                <w:bCs/>
                <w:color w:val="auto"/>
                <w:sz w:val="24"/>
              </w:rPr>
              <w:t>三、部门（单位）专项组织实施情况</w:t>
            </w:r>
          </w:p>
          <w:p>
            <w:pPr>
              <w:spacing w:line="560" w:lineRule="exact"/>
              <w:ind w:firstLine="480" w:firstLineChars="200"/>
              <w:rPr>
                <w:rFonts w:ascii="仿宋_GB2312" w:hAnsi="仿宋_GB2312" w:eastAsia="仿宋_GB2312" w:cs="仿宋_GB2312"/>
                <w:bCs/>
                <w:color w:val="auto"/>
                <w:sz w:val="24"/>
              </w:rPr>
            </w:pPr>
            <w:r>
              <w:rPr>
                <w:rFonts w:hint="eastAsia" w:ascii="仿宋_GB2312" w:hAnsi="仿宋_GB2312" w:eastAsia="仿宋_GB2312" w:cs="仿宋_GB2312"/>
                <w:bCs/>
                <w:color w:val="auto"/>
                <w:sz w:val="24"/>
              </w:rPr>
              <w:t>（一）专项组织情况分析</w:t>
            </w:r>
          </w:p>
          <w:p>
            <w:pPr>
              <w:spacing w:line="560" w:lineRule="exact"/>
              <w:ind w:firstLine="720" w:firstLineChars="300"/>
              <w:rPr>
                <w:rFonts w:ascii="仿宋_GB2312" w:hAnsi="仿宋_GB2312" w:eastAsia="仿宋_GB2312" w:cs="仿宋_GB2312"/>
                <w:bCs/>
                <w:color w:val="auto"/>
                <w:sz w:val="24"/>
              </w:rPr>
            </w:pPr>
            <w:r>
              <w:rPr>
                <w:rFonts w:hint="eastAsia" w:ascii="仿宋_GB2312" w:hAnsi="仿宋_GB2312" w:eastAsia="仿宋_GB2312" w:cs="仿宋_GB2312"/>
                <w:bCs/>
                <w:color w:val="auto"/>
                <w:sz w:val="24"/>
              </w:rPr>
              <w:t>1、健全组织领导及机制，我单位成立了以张伍生为组长的岳阳县码头复绿工程领导小组，专项负责全县码头复绿工作。</w:t>
            </w:r>
          </w:p>
          <w:p>
            <w:pPr>
              <w:spacing w:line="560" w:lineRule="exact"/>
              <w:ind w:firstLine="720" w:firstLineChars="300"/>
              <w:rPr>
                <w:rFonts w:ascii="仿宋_GB2312" w:hAnsi="仿宋_GB2312" w:eastAsia="仿宋_GB2312" w:cs="仿宋_GB2312"/>
                <w:bCs/>
                <w:color w:val="auto"/>
                <w:sz w:val="24"/>
              </w:rPr>
            </w:pPr>
            <w:r>
              <w:rPr>
                <w:rFonts w:hint="eastAsia" w:ascii="仿宋_GB2312" w:hAnsi="仿宋_GB2312" w:eastAsia="仿宋_GB2312" w:cs="仿宋_GB2312"/>
                <w:bCs/>
                <w:color w:val="auto"/>
                <w:sz w:val="24"/>
              </w:rPr>
              <w:t>（二）专项管理情况分析</w:t>
            </w:r>
          </w:p>
          <w:p>
            <w:pPr>
              <w:spacing w:line="560" w:lineRule="exact"/>
              <w:ind w:firstLine="720" w:firstLineChars="300"/>
              <w:rPr>
                <w:rFonts w:ascii="仿宋_GB2312" w:hAnsi="仿宋_GB2312" w:eastAsia="仿宋_GB2312" w:cs="仿宋_GB2312"/>
                <w:bCs/>
                <w:color w:val="auto"/>
                <w:sz w:val="24"/>
              </w:rPr>
            </w:pPr>
            <w:r>
              <w:rPr>
                <w:rFonts w:hint="eastAsia" w:ascii="仿宋_GB2312" w:hAnsi="仿宋_GB2312" w:eastAsia="仿宋_GB2312" w:cs="仿宋_GB2312"/>
                <w:bCs/>
                <w:color w:val="auto"/>
                <w:sz w:val="24"/>
              </w:rPr>
              <w:t>2020年，我单位内河航运管理水平进一步提高，港口河道疏浚工程建设加快推进，码头复绿施工顺利开展，各专项工作按上级要求完满完成。</w:t>
            </w:r>
          </w:p>
          <w:p>
            <w:pPr>
              <w:spacing w:line="600" w:lineRule="exact"/>
              <w:ind w:firstLine="482" w:firstLineChars="200"/>
              <w:rPr>
                <w:rFonts w:ascii="仿宋_GB2312" w:hAnsi="仿宋_GB2312" w:eastAsia="仿宋_GB2312" w:cs="仿宋_GB2312"/>
                <w:b/>
                <w:bCs/>
                <w:color w:val="auto"/>
                <w:sz w:val="24"/>
                <w:shd w:val="clear" w:color="auto" w:fill="FFFFFF"/>
              </w:rPr>
            </w:pPr>
            <w:r>
              <w:rPr>
                <w:rFonts w:hint="eastAsia" w:ascii="仿宋_GB2312" w:hAnsi="仿宋_GB2312" w:eastAsia="仿宋_GB2312" w:cs="仿宋_GB2312"/>
                <w:b/>
                <w:bCs/>
                <w:color w:val="auto"/>
                <w:sz w:val="24"/>
                <w:shd w:val="clear" w:color="auto" w:fill="FFFFFF"/>
              </w:rPr>
              <w:t>四、部门（单位）整体支出绩效情况</w:t>
            </w:r>
          </w:p>
          <w:p>
            <w:pPr>
              <w:spacing w:line="560" w:lineRule="exact"/>
              <w:ind w:firstLine="720" w:firstLineChars="300"/>
              <w:rPr>
                <w:rFonts w:ascii="仿宋_GB2312" w:hAnsi="仿宋_GB2312" w:eastAsia="仿宋_GB2312" w:cs="仿宋_GB2312"/>
                <w:bCs/>
                <w:color w:val="auto"/>
                <w:sz w:val="24"/>
              </w:rPr>
            </w:pPr>
            <w:r>
              <w:rPr>
                <w:rFonts w:hint="eastAsia" w:ascii="仿宋_GB2312" w:hAnsi="仿宋_GB2312" w:eastAsia="仿宋_GB2312" w:cs="仿宋_GB2312"/>
                <w:bCs/>
                <w:color w:val="auto"/>
                <w:sz w:val="24"/>
              </w:rPr>
              <w:t>2020年，我单位内河航运管理水平进一步提高，港口河道疏浚工程建设加快推进，码头复绿施工顺利开展，各专项工作按上级要求完满完成。社会公众对于沿湖沿河生态环境满意度很高，同时，良好的内河航运水平对于提高岳阳县文明形象，促进旅游事业和招商引资工作发挥了重要作用，单位整体支出取得了良好的社会效益和经济效益。</w:t>
            </w:r>
          </w:p>
          <w:p>
            <w:pPr>
              <w:spacing w:line="560" w:lineRule="exact"/>
              <w:ind w:firstLine="480" w:firstLineChars="200"/>
              <w:rPr>
                <w:rFonts w:ascii="黑体" w:hAnsi="黑体" w:eastAsia="黑体" w:cs="黑体"/>
                <w:bCs/>
                <w:color w:val="auto"/>
                <w:sz w:val="24"/>
              </w:rPr>
            </w:pPr>
            <w:r>
              <w:rPr>
                <w:rFonts w:hint="eastAsia" w:ascii="黑体" w:hAnsi="黑体" w:eastAsia="黑体" w:cs="黑体"/>
                <w:bCs/>
                <w:color w:val="auto"/>
                <w:sz w:val="24"/>
              </w:rPr>
              <w:t>五、存在的主要问题</w:t>
            </w:r>
          </w:p>
          <w:p>
            <w:pPr>
              <w:spacing w:line="560" w:lineRule="exact"/>
              <w:ind w:firstLine="480" w:firstLineChars="200"/>
              <w:rPr>
                <w:rFonts w:ascii="仿宋_GB2312" w:hAnsi="仿宋_GB2312" w:eastAsia="仿宋_GB2312"/>
                <w:color w:val="auto"/>
                <w:sz w:val="24"/>
              </w:rPr>
            </w:pPr>
            <w:r>
              <w:rPr>
                <w:rFonts w:hint="eastAsia" w:ascii="仿宋_GB2312" w:hAnsi="仿宋_GB2312" w:eastAsia="仿宋_GB2312"/>
                <w:color w:val="auto"/>
                <w:sz w:val="24"/>
              </w:rPr>
              <w:t>（一）监督管理机制还有待加强。</w:t>
            </w:r>
          </w:p>
          <w:p>
            <w:pPr>
              <w:spacing w:line="560" w:lineRule="exact"/>
              <w:ind w:firstLine="480" w:firstLineChars="200"/>
              <w:rPr>
                <w:rFonts w:ascii="仿宋_GB2312" w:hAnsi="仿宋_GB2312" w:eastAsia="仿宋_GB2312"/>
                <w:color w:val="auto"/>
                <w:sz w:val="24"/>
              </w:rPr>
            </w:pPr>
            <w:r>
              <w:rPr>
                <w:rFonts w:hint="eastAsia" w:ascii="仿宋_GB2312" w:hAnsi="仿宋_GB2312" w:eastAsia="仿宋_GB2312"/>
                <w:color w:val="auto"/>
                <w:sz w:val="24"/>
              </w:rPr>
              <w:t>（二）财务工作是一个单位的命脉，创新机制正在逐步加强，要求财务工作水平越来越高。</w:t>
            </w:r>
          </w:p>
          <w:p>
            <w:pPr>
              <w:spacing w:line="560" w:lineRule="exact"/>
              <w:ind w:firstLine="480" w:firstLineChars="200"/>
              <w:rPr>
                <w:rFonts w:ascii="仿宋_GB2312" w:hAnsi="仿宋_GB2312" w:eastAsia="仿宋_GB2312"/>
                <w:color w:val="auto"/>
                <w:sz w:val="24"/>
              </w:rPr>
            </w:pPr>
            <w:r>
              <w:rPr>
                <w:rFonts w:hint="eastAsia" w:ascii="仿宋_GB2312" w:hAnsi="仿宋_GB2312" w:eastAsia="仿宋_GB2312"/>
                <w:color w:val="auto"/>
                <w:sz w:val="24"/>
              </w:rPr>
              <w:t>（三）会计基础工作还需要不断完善，报表数据与实际情况存在小误差。</w:t>
            </w:r>
          </w:p>
          <w:p>
            <w:pPr>
              <w:spacing w:line="560" w:lineRule="exact"/>
              <w:ind w:firstLine="480" w:firstLineChars="200"/>
              <w:rPr>
                <w:rFonts w:ascii="黑体" w:hAnsi="黑体" w:eastAsia="黑体" w:cs="黑体"/>
                <w:bCs/>
                <w:color w:val="auto"/>
                <w:sz w:val="24"/>
              </w:rPr>
            </w:pPr>
            <w:r>
              <w:rPr>
                <w:rFonts w:hint="eastAsia" w:ascii="黑体" w:hAnsi="黑体" w:eastAsia="黑体" w:cs="黑体"/>
                <w:bCs/>
                <w:color w:val="auto"/>
                <w:sz w:val="24"/>
              </w:rPr>
              <w:t>六、改进措施和有关建议</w:t>
            </w:r>
          </w:p>
          <w:p>
            <w:pPr>
              <w:spacing w:line="560" w:lineRule="exact"/>
              <w:ind w:firstLine="480" w:firstLineChars="200"/>
              <w:rPr>
                <w:rFonts w:ascii="仿宋_GB2312" w:hAnsi="仿宋_GB2312" w:eastAsia="仿宋_GB2312"/>
                <w:color w:val="auto"/>
                <w:sz w:val="24"/>
              </w:rPr>
            </w:pPr>
            <w:r>
              <w:rPr>
                <w:rFonts w:hint="eastAsia" w:ascii="仿宋_GB2312" w:hAnsi="仿宋_GB2312" w:eastAsia="仿宋_GB2312"/>
                <w:color w:val="auto"/>
                <w:sz w:val="24"/>
              </w:rPr>
              <w:t>（一</w:t>
            </w:r>
            <w:r>
              <w:rPr>
                <w:rFonts w:ascii="仿宋_GB2312" w:hAnsi="仿宋_GB2312" w:eastAsia="仿宋_GB2312"/>
                <w:color w:val="auto"/>
                <w:sz w:val="24"/>
              </w:rPr>
              <w:t>)</w:t>
            </w:r>
            <w:r>
              <w:rPr>
                <w:rFonts w:hint="eastAsia" w:ascii="仿宋_GB2312" w:hAnsi="仿宋_GB2312" w:eastAsia="仿宋_GB2312"/>
                <w:color w:val="auto"/>
                <w:sz w:val="24"/>
              </w:rPr>
              <w:t>加强监管，做到监管机制环环相扣，不出现断层、漏洞，坚决把权力关进制度的笼子。</w:t>
            </w:r>
          </w:p>
          <w:p>
            <w:pPr>
              <w:spacing w:line="560" w:lineRule="exact"/>
              <w:ind w:firstLine="480" w:firstLineChars="200"/>
              <w:rPr>
                <w:rFonts w:ascii="仿宋_GB2312" w:hAnsi="仿宋_GB2312" w:eastAsia="仿宋_GB2312"/>
                <w:color w:val="auto"/>
                <w:sz w:val="24"/>
              </w:rPr>
            </w:pPr>
            <w:r>
              <w:rPr>
                <w:rFonts w:hint="eastAsia" w:ascii="仿宋_GB2312" w:hAnsi="仿宋_GB2312" w:eastAsia="仿宋_GB2312"/>
                <w:color w:val="auto"/>
                <w:sz w:val="24"/>
              </w:rPr>
              <w:t>（二）进一步完善财务制度，规范财经纪律。</w:t>
            </w:r>
          </w:p>
          <w:p>
            <w:pPr>
              <w:spacing w:line="560" w:lineRule="exact"/>
              <w:ind w:firstLine="480" w:firstLineChars="200"/>
              <w:rPr>
                <w:rFonts w:ascii="仿宋_GB2312" w:hAnsi="仿宋_GB2312" w:eastAsia="仿宋_GB2312"/>
                <w:color w:val="auto"/>
                <w:sz w:val="24"/>
              </w:rPr>
            </w:pPr>
            <w:r>
              <w:rPr>
                <w:rFonts w:hint="eastAsia" w:ascii="仿宋_GB2312" w:hAnsi="仿宋_GB2312" w:eastAsia="仿宋_GB2312"/>
                <w:color w:val="auto"/>
                <w:sz w:val="24"/>
              </w:rPr>
              <w:t>（三）财务工作人员的业务能力要与时俱进，不断加强学习，县财政局多组织业务方面的培训，包括“走出去”，到异地专业院校封闭培训</w:t>
            </w:r>
            <w:r>
              <w:rPr>
                <w:rFonts w:ascii="仿宋_GB2312" w:hAnsi="仿宋_GB2312" w:eastAsia="仿宋_GB2312"/>
                <w:color w:val="auto"/>
                <w:sz w:val="24"/>
              </w:rPr>
              <w:t>,</w:t>
            </w:r>
            <w:r>
              <w:rPr>
                <w:rFonts w:hint="eastAsia" w:ascii="仿宋_GB2312" w:hAnsi="仿宋_GB2312" w:eastAsia="仿宋_GB2312"/>
                <w:color w:val="auto"/>
                <w:sz w:val="24"/>
              </w:rPr>
              <w:t>同时可去外地预算单位学习好的账务经验。</w:t>
            </w:r>
          </w:p>
          <w:p>
            <w:pPr>
              <w:rPr>
                <w:rFonts w:ascii="黑体" w:hAnsi="黑体" w:eastAsia="黑体" w:cs="黑体"/>
                <w:color w:val="auto"/>
                <w:sz w:val="24"/>
              </w:rPr>
            </w:pPr>
          </w:p>
          <w:p>
            <w:pPr>
              <w:spacing w:line="560" w:lineRule="exact"/>
              <w:rPr>
                <w:rFonts w:ascii="仿宋_GB2312" w:hAnsi="仿宋_GB2312" w:eastAsia="仿宋_GB2312"/>
                <w:color w:val="auto"/>
                <w:sz w:val="24"/>
              </w:rPr>
            </w:pPr>
            <w:r>
              <w:rPr>
                <w:rFonts w:ascii="黑体" w:hAnsi="黑体" w:eastAsia="黑体" w:cs="黑体"/>
                <w:color w:val="auto"/>
                <w:sz w:val="24"/>
              </w:rPr>
              <w:t xml:space="preserve"> </w:t>
            </w:r>
            <w:r>
              <w:rPr>
                <w:rFonts w:ascii="仿宋_GB2312" w:hAnsi="仿宋_GB2312" w:eastAsia="仿宋_GB2312"/>
                <w:color w:val="auto"/>
                <w:sz w:val="24"/>
              </w:rPr>
              <w:t xml:space="preserve">                                202</w:t>
            </w:r>
            <w:r>
              <w:rPr>
                <w:rFonts w:hint="eastAsia" w:ascii="仿宋_GB2312" w:hAnsi="仿宋_GB2312" w:eastAsia="仿宋_GB2312"/>
                <w:color w:val="auto"/>
                <w:sz w:val="24"/>
                <w:lang w:val="en-US" w:eastAsia="zh-CN"/>
              </w:rPr>
              <w:t>1</w:t>
            </w:r>
            <w:bookmarkStart w:id="0" w:name="_GoBack"/>
            <w:bookmarkEnd w:id="0"/>
            <w:r>
              <w:rPr>
                <w:rFonts w:hint="eastAsia" w:ascii="仿宋" w:hAnsi="仿宋" w:eastAsia="仿宋" w:cs="仿宋"/>
                <w:color w:val="auto"/>
                <w:sz w:val="24"/>
              </w:rPr>
              <w:t>年</w:t>
            </w:r>
            <w:r>
              <w:rPr>
                <w:rFonts w:ascii="仿宋" w:hAnsi="仿宋" w:eastAsia="仿宋" w:cs="仿宋"/>
                <w:color w:val="auto"/>
                <w:sz w:val="24"/>
              </w:rPr>
              <w:t>07</w:t>
            </w:r>
            <w:r>
              <w:rPr>
                <w:rFonts w:hint="eastAsia" w:ascii="仿宋" w:hAnsi="仿宋" w:eastAsia="仿宋" w:cs="仿宋"/>
                <w:color w:val="auto"/>
                <w:sz w:val="24"/>
              </w:rPr>
              <w:t>月</w:t>
            </w:r>
            <w:r>
              <w:rPr>
                <w:rFonts w:ascii="仿宋" w:hAnsi="仿宋" w:eastAsia="仿宋" w:cs="仿宋"/>
                <w:color w:val="auto"/>
                <w:sz w:val="24"/>
              </w:rPr>
              <w:t>12</w:t>
            </w:r>
            <w:r>
              <w:rPr>
                <w:rFonts w:hint="eastAsia" w:ascii="仿宋" w:hAnsi="仿宋" w:eastAsia="仿宋" w:cs="仿宋"/>
                <w:color w:val="auto"/>
                <w:sz w:val="24"/>
              </w:rPr>
              <w:t>日</w:t>
            </w:r>
          </w:p>
          <w:p>
            <w:pPr>
              <w:rPr>
                <w:rFonts w:eastAsia="楷体_GB2312"/>
                <w:bCs/>
                <w:color w:val="auto"/>
                <w:sz w:val="28"/>
                <w:szCs w:val="28"/>
              </w:rPr>
            </w:pPr>
          </w:p>
        </w:tc>
      </w:tr>
    </w:tbl>
    <w:p>
      <w:pPr>
        <w:spacing w:line="348" w:lineRule="auto"/>
        <w:rPr>
          <w:rFonts w:eastAsia="楷体_GB2312"/>
          <w:bCs/>
          <w:color w:val="auto"/>
          <w:sz w:val="28"/>
          <w:szCs w:val="28"/>
        </w:rPr>
      </w:pPr>
    </w:p>
    <w:p>
      <w:pPr>
        <w:rPr>
          <w:rFonts w:ascii="黑体" w:hAnsi="黑体" w:eastAsia="黑体"/>
          <w:color w:val="auto"/>
          <w:sz w:val="32"/>
          <w:szCs w:val="32"/>
        </w:rPr>
      </w:pPr>
      <w:r>
        <w:rPr>
          <w:rFonts w:eastAsia="楷体_GB2312"/>
          <w:bCs/>
          <w:color w:val="auto"/>
          <w:sz w:val="28"/>
          <w:szCs w:val="28"/>
        </w:rPr>
        <w:br w:type="page"/>
      </w:r>
    </w:p>
    <w:p>
      <w:pPr>
        <w:spacing w:beforeLines="100" w:afterLines="100"/>
        <w:jc w:val="center"/>
        <w:rPr>
          <w:rFonts w:ascii="方正小标宋简体" w:eastAsia="方正小标宋简体"/>
          <w:color w:val="auto"/>
          <w:sz w:val="38"/>
          <w:szCs w:val="38"/>
        </w:rPr>
      </w:pPr>
      <w:r>
        <w:rPr>
          <w:rFonts w:hint="eastAsia" w:ascii="方正小标宋简体" w:eastAsia="方正小标宋简体"/>
          <w:color w:val="auto"/>
          <w:sz w:val="38"/>
          <w:szCs w:val="38"/>
        </w:rPr>
        <w:t>部门整体支出绩效评价评分表</w:t>
      </w:r>
    </w:p>
    <w:tbl>
      <w:tblPr>
        <w:tblStyle w:val="6"/>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一级指标</w:t>
            </w:r>
          </w:p>
        </w:tc>
        <w:tc>
          <w:tcPr>
            <w:tcW w:w="9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color w:val="auto"/>
                <w:spacing w:val="-10"/>
                <w:kern w:val="0"/>
                <w:sz w:val="18"/>
                <w:szCs w:val="18"/>
              </w:rPr>
            </w:pPr>
            <w:r>
              <w:rPr>
                <w:rFonts w:hint="eastAsia" w:ascii="仿宋_GB2312" w:hAnsi="宋体" w:eastAsia="仿宋_GB2312" w:cs="宋体"/>
                <w:b/>
                <w:bCs/>
                <w:color w:val="auto"/>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投</w:t>
            </w:r>
            <w:r>
              <w:rPr>
                <w:rFonts w:ascii="仿宋_GB2312" w:hAnsi="宋体" w:eastAsia="仿宋_GB2312" w:cs="宋体"/>
                <w:color w:val="auto"/>
                <w:kern w:val="0"/>
                <w:sz w:val="18"/>
                <w:szCs w:val="18"/>
              </w:rPr>
              <w:t xml:space="preserve">  </w:t>
            </w:r>
            <w:r>
              <w:rPr>
                <w:rFonts w:hint="eastAsia" w:ascii="仿宋_GB2312" w:hAnsi="宋体" w:eastAsia="仿宋_GB2312" w:cs="宋体"/>
                <w:color w:val="auto"/>
                <w:kern w:val="0"/>
                <w:sz w:val="18"/>
                <w:szCs w:val="18"/>
              </w:rPr>
              <w:t>入</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w:t>
            </w:r>
            <w:r>
              <w:rPr>
                <w:rFonts w:ascii="仿宋_GB2312" w:hAnsi="宋体" w:eastAsia="仿宋_GB2312" w:cs="宋体"/>
                <w:color w:val="auto"/>
                <w:kern w:val="0"/>
                <w:sz w:val="18"/>
                <w:szCs w:val="18"/>
              </w:rPr>
              <w:t>15</w:t>
            </w:r>
            <w:r>
              <w:rPr>
                <w:rFonts w:hint="eastAsia" w:ascii="仿宋_GB2312" w:hAnsi="宋体" w:eastAsia="仿宋_GB2312" w:cs="宋体"/>
                <w:color w:val="auto"/>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预算配置</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w:t>
            </w:r>
            <w:r>
              <w:rPr>
                <w:rFonts w:ascii="仿宋_GB2312" w:hAnsi="宋体" w:eastAsia="仿宋_GB2312" w:cs="宋体"/>
                <w:color w:val="auto"/>
                <w:kern w:val="0"/>
                <w:sz w:val="18"/>
                <w:szCs w:val="18"/>
              </w:rPr>
              <w:t>15</w:t>
            </w:r>
            <w:r>
              <w:rPr>
                <w:rFonts w:hint="eastAsia" w:ascii="仿宋_GB2312" w:hAnsi="宋体" w:eastAsia="仿宋_GB2312" w:cs="宋体"/>
                <w:color w:val="auto"/>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财政供养人员</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以</w:t>
            </w:r>
            <w:r>
              <w:rPr>
                <w:rFonts w:ascii="仿宋_GB2312" w:hAnsi="宋体" w:eastAsia="仿宋_GB2312" w:cs="宋体"/>
                <w:color w:val="auto"/>
                <w:kern w:val="0"/>
                <w:sz w:val="18"/>
                <w:szCs w:val="18"/>
              </w:rPr>
              <w:t>100%</w:t>
            </w:r>
            <w:r>
              <w:rPr>
                <w:rFonts w:hint="eastAsia" w:ascii="仿宋_GB2312" w:hAnsi="宋体" w:eastAsia="仿宋_GB2312" w:cs="宋体"/>
                <w:color w:val="auto"/>
                <w:kern w:val="0"/>
                <w:sz w:val="18"/>
                <w:szCs w:val="18"/>
              </w:rPr>
              <w:t>为标准。在职人员控制率</w:t>
            </w:r>
            <w:r>
              <w:rPr>
                <w:rFonts w:hint="eastAsia" w:ascii="宋体" w:hAnsi="宋体" w:cs="宋体"/>
                <w:color w:val="auto"/>
                <w:kern w:val="0"/>
                <w:sz w:val="18"/>
                <w:szCs w:val="18"/>
              </w:rPr>
              <w:t>≦</w:t>
            </w:r>
            <w:r>
              <w:rPr>
                <w:rFonts w:ascii="仿宋_GB2312" w:hAnsi="宋体" w:eastAsia="仿宋_GB2312" w:cs="宋体"/>
                <w:color w:val="auto"/>
                <w:kern w:val="0"/>
                <w:sz w:val="18"/>
                <w:szCs w:val="18"/>
              </w:rPr>
              <w:t>100%</w:t>
            </w:r>
            <w:r>
              <w:rPr>
                <w:rFonts w:hint="eastAsia" w:ascii="仿宋_GB2312" w:hAnsi="宋体" w:eastAsia="仿宋_GB2312" w:cs="宋体"/>
                <w:color w:val="auto"/>
                <w:kern w:val="0"/>
                <w:sz w:val="18"/>
                <w:szCs w:val="18"/>
              </w:rPr>
              <w:t>，计</w:t>
            </w:r>
            <w:r>
              <w:rPr>
                <w:rFonts w:ascii="仿宋_GB2312" w:hAnsi="宋体" w:eastAsia="仿宋_GB2312" w:cs="宋体"/>
                <w:color w:val="auto"/>
                <w:kern w:val="0"/>
                <w:sz w:val="18"/>
                <w:szCs w:val="18"/>
              </w:rPr>
              <w:t>5</w:t>
            </w:r>
            <w:r>
              <w:rPr>
                <w:rFonts w:hint="eastAsia" w:ascii="仿宋_GB2312" w:hAnsi="宋体" w:eastAsia="仿宋_GB2312" w:cs="宋体"/>
                <w:color w:val="auto"/>
                <w:kern w:val="0"/>
                <w:sz w:val="18"/>
                <w:szCs w:val="18"/>
              </w:rPr>
              <w:t>分；每超过一个百分点扣</w:t>
            </w:r>
            <w:r>
              <w:rPr>
                <w:rFonts w:ascii="仿宋_GB2312" w:hAnsi="宋体" w:eastAsia="仿宋_GB2312" w:cs="宋体"/>
                <w:color w:val="auto"/>
                <w:kern w:val="0"/>
                <w:sz w:val="18"/>
                <w:szCs w:val="18"/>
              </w:rPr>
              <w:t>0.5</w:t>
            </w:r>
            <w:r>
              <w:rPr>
                <w:rFonts w:hint="eastAsia" w:ascii="仿宋_GB2312" w:hAnsi="宋体" w:eastAsia="仿宋_GB2312" w:cs="宋体"/>
                <w:color w:val="auto"/>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人员编制数55人，在职人数55人，在职人员控制率</w:t>
            </w:r>
            <w:r>
              <w:rPr>
                <w:rFonts w:hint="eastAsia" w:ascii="宋体" w:hAnsi="宋体" w:cs="宋体"/>
                <w:color w:val="auto"/>
                <w:sz w:val="18"/>
                <w:szCs w:val="18"/>
              </w:rPr>
              <w:t>≦</w:t>
            </w:r>
            <w:r>
              <w:rPr>
                <w:rFonts w:ascii="仿宋_GB2312" w:eastAsia="仿宋_GB2312"/>
                <w:color w:val="auto"/>
                <w:sz w:val="18"/>
                <w:szCs w:val="18"/>
              </w:rPr>
              <w:t>100%</w:t>
            </w:r>
            <w:r>
              <w:rPr>
                <w:rFonts w:hint="eastAsia" w:ascii="仿宋_GB2312" w:eastAsia="仿宋_GB2312"/>
                <w:color w:val="auto"/>
                <w:sz w:val="18"/>
                <w:szCs w:val="18"/>
              </w:rPr>
              <w:t>，未超编，根据评分标准，得</w:t>
            </w:r>
            <w:r>
              <w:rPr>
                <w:rFonts w:ascii="仿宋_GB2312" w:eastAsia="仿宋_GB2312"/>
                <w:color w:val="auto"/>
                <w:sz w:val="18"/>
                <w:szCs w:val="18"/>
              </w:rPr>
              <w:t>5</w:t>
            </w:r>
            <w:r>
              <w:rPr>
                <w:rFonts w:hint="eastAsia" w:ascii="仿宋_GB2312" w:eastAsia="仿宋_GB2312"/>
                <w:color w:val="auto"/>
                <w:sz w:val="18"/>
                <w:szCs w:val="18"/>
              </w:rPr>
              <w:t>分。</w:t>
            </w: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“三公经费”</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“三公经费”变动率</w:t>
            </w:r>
            <w:r>
              <w:rPr>
                <w:rFonts w:hint="eastAsia" w:ascii="宋体" w:hAnsi="宋体" w:cs="宋体"/>
                <w:color w:val="auto"/>
                <w:kern w:val="0"/>
                <w:sz w:val="18"/>
                <w:szCs w:val="18"/>
              </w:rPr>
              <w:t>≦</w:t>
            </w:r>
            <w:r>
              <w:rPr>
                <w:rFonts w:ascii="仿宋_GB2312" w:hAnsi="宋体" w:eastAsia="仿宋_GB2312" w:cs="宋体"/>
                <w:color w:val="auto"/>
                <w:kern w:val="0"/>
                <w:sz w:val="18"/>
                <w:szCs w:val="18"/>
              </w:rPr>
              <w:t>0,</w:t>
            </w:r>
            <w:r>
              <w:rPr>
                <w:rFonts w:hint="eastAsia" w:ascii="仿宋_GB2312" w:hAnsi="宋体" w:eastAsia="仿宋_GB2312" w:cs="宋体"/>
                <w:color w:val="auto"/>
                <w:kern w:val="0"/>
                <w:sz w:val="18"/>
                <w:szCs w:val="18"/>
              </w:rPr>
              <w:t>计</w:t>
            </w:r>
            <w:r>
              <w:rPr>
                <w:rFonts w:ascii="仿宋_GB2312" w:hAnsi="宋体" w:eastAsia="仿宋_GB2312" w:cs="宋体"/>
                <w:color w:val="auto"/>
                <w:kern w:val="0"/>
                <w:sz w:val="18"/>
                <w:szCs w:val="18"/>
              </w:rPr>
              <w:t>5</w:t>
            </w:r>
            <w:r>
              <w:rPr>
                <w:rFonts w:hint="eastAsia" w:ascii="仿宋_GB2312" w:hAnsi="宋体" w:eastAsia="仿宋_GB2312" w:cs="宋体"/>
                <w:color w:val="auto"/>
                <w:kern w:val="0"/>
                <w:sz w:val="18"/>
                <w:szCs w:val="18"/>
              </w:rPr>
              <w:t>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“三公经费”＞</w:t>
            </w:r>
            <w:r>
              <w:rPr>
                <w:rFonts w:ascii="仿宋_GB2312" w:hAnsi="宋体" w:eastAsia="仿宋_GB2312" w:cs="宋体"/>
                <w:color w:val="auto"/>
                <w:kern w:val="0"/>
                <w:sz w:val="18"/>
                <w:szCs w:val="18"/>
              </w:rPr>
              <w:t>0</w:t>
            </w:r>
            <w:r>
              <w:rPr>
                <w:rFonts w:hint="eastAsia" w:ascii="仿宋_GB2312" w:hAnsi="宋体" w:eastAsia="仿宋_GB2312" w:cs="宋体"/>
                <w:color w:val="auto"/>
                <w:kern w:val="0"/>
                <w:sz w:val="18"/>
                <w:szCs w:val="18"/>
              </w:rPr>
              <w:t>，每超过一个百分点扣</w:t>
            </w:r>
            <w:r>
              <w:rPr>
                <w:rFonts w:ascii="仿宋_GB2312" w:hAnsi="宋体" w:eastAsia="仿宋_GB2312" w:cs="宋体"/>
                <w:color w:val="auto"/>
                <w:kern w:val="0"/>
                <w:sz w:val="18"/>
                <w:szCs w:val="18"/>
              </w:rPr>
              <w:t>0.5</w:t>
            </w:r>
            <w:r>
              <w:rPr>
                <w:rFonts w:hint="eastAsia" w:ascii="仿宋_GB2312" w:hAnsi="宋体" w:eastAsia="仿宋_GB2312" w:cs="宋体"/>
                <w:color w:val="auto"/>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1080" w:type="dxa"/>
            <w:tcBorders>
              <w:top w:val="nil"/>
              <w:left w:val="nil"/>
              <w:bottom w:val="single" w:color="auto" w:sz="4" w:space="0"/>
              <w:right w:val="single" w:color="auto" w:sz="4" w:space="0"/>
            </w:tcBorders>
            <w:vAlign w:val="center"/>
          </w:tcPr>
          <w:p>
            <w:pPr>
              <w:rPr>
                <w:rFonts w:ascii="仿宋_GB2312" w:eastAsia="仿宋_GB2312"/>
                <w:color w:val="auto"/>
                <w:sz w:val="18"/>
                <w:szCs w:val="18"/>
              </w:rPr>
            </w:pPr>
            <w:r>
              <w:rPr>
                <w:rFonts w:hint="eastAsia" w:ascii="仿宋_GB2312" w:eastAsia="仿宋_GB2312"/>
                <w:color w:val="auto"/>
                <w:sz w:val="18"/>
                <w:szCs w:val="18"/>
              </w:rPr>
              <w:t>本年度三公经费</w:t>
            </w:r>
            <w:r>
              <w:rPr>
                <w:rFonts w:ascii="仿宋_GB2312" w:eastAsia="仿宋_GB2312"/>
                <w:color w:val="auto"/>
                <w:sz w:val="18"/>
                <w:szCs w:val="18"/>
              </w:rPr>
              <w:t xml:space="preserve"> </w:t>
            </w:r>
            <w:r>
              <w:rPr>
                <w:rFonts w:hint="eastAsia" w:ascii="仿宋_GB2312" w:eastAsia="仿宋_GB2312"/>
                <w:color w:val="auto"/>
                <w:sz w:val="18"/>
                <w:szCs w:val="18"/>
              </w:rPr>
              <w:t>4.77万元，上年度三公经费4.77万元。</w:t>
            </w:r>
          </w:p>
          <w:p>
            <w:pPr>
              <w:rPr>
                <w:rFonts w:ascii="仿宋_GB2312" w:eastAsia="仿宋_GB2312"/>
                <w:color w:val="auto"/>
                <w:sz w:val="18"/>
                <w:szCs w:val="18"/>
              </w:rPr>
            </w:pPr>
            <w:r>
              <w:rPr>
                <w:rFonts w:hint="eastAsia" w:ascii="仿宋_GB2312" w:eastAsia="仿宋_GB2312"/>
                <w:color w:val="auto"/>
                <w:sz w:val="18"/>
                <w:szCs w:val="18"/>
              </w:rPr>
              <w:t>“三公经费”变动率0</w:t>
            </w:r>
          </w:p>
          <w:p>
            <w:pPr>
              <w:rPr>
                <w:rFonts w:ascii="仿宋_GB2312" w:hAnsi="宋体" w:eastAsia="仿宋_GB2312" w:cs="宋体"/>
                <w:color w:val="auto"/>
                <w:sz w:val="18"/>
                <w:szCs w:val="18"/>
              </w:rPr>
            </w:pPr>
            <w:r>
              <w:rPr>
                <w:rFonts w:hint="eastAsia" w:ascii="仿宋_GB2312" w:eastAsia="仿宋_GB2312"/>
                <w:color w:val="auto"/>
                <w:sz w:val="18"/>
                <w:szCs w:val="18"/>
              </w:rPr>
              <w:t>根据评分标准，得</w:t>
            </w:r>
            <w:r>
              <w:rPr>
                <w:rFonts w:ascii="仿宋_GB2312" w:eastAsia="仿宋_GB2312"/>
                <w:color w:val="auto"/>
                <w:sz w:val="18"/>
                <w:szCs w:val="18"/>
              </w:rPr>
              <w:t>5</w:t>
            </w:r>
            <w:r>
              <w:rPr>
                <w:rFonts w:hint="eastAsia" w:ascii="仿宋_GB2312" w:eastAsia="仿宋_GB2312"/>
                <w:color w:val="auto"/>
                <w:sz w:val="18"/>
                <w:szCs w:val="18"/>
              </w:rPr>
              <w:t>分。</w:t>
            </w: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重点支出</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重点支出安排率≥</w:t>
            </w:r>
            <w:r>
              <w:rPr>
                <w:rFonts w:ascii="仿宋_GB2312" w:hAnsi="宋体" w:eastAsia="仿宋_GB2312" w:cs="宋体"/>
                <w:color w:val="auto"/>
                <w:kern w:val="0"/>
                <w:sz w:val="18"/>
                <w:szCs w:val="18"/>
              </w:rPr>
              <w:t>90%</w:t>
            </w:r>
            <w:r>
              <w:rPr>
                <w:rFonts w:hint="eastAsia" w:ascii="仿宋_GB2312" w:hAnsi="宋体" w:eastAsia="仿宋_GB2312" w:cs="宋体"/>
                <w:color w:val="auto"/>
                <w:kern w:val="0"/>
                <w:sz w:val="18"/>
                <w:szCs w:val="18"/>
              </w:rPr>
              <w:t>，计</w:t>
            </w:r>
            <w:r>
              <w:rPr>
                <w:rFonts w:ascii="仿宋_GB2312" w:hAnsi="宋体" w:eastAsia="仿宋_GB2312" w:cs="宋体"/>
                <w:color w:val="auto"/>
                <w:kern w:val="0"/>
                <w:sz w:val="18"/>
                <w:szCs w:val="18"/>
              </w:rPr>
              <w:t>5</w:t>
            </w:r>
            <w:r>
              <w:rPr>
                <w:rFonts w:hint="eastAsia" w:ascii="仿宋_GB2312" w:hAnsi="宋体" w:eastAsia="仿宋_GB2312" w:cs="宋体"/>
                <w:color w:val="auto"/>
                <w:kern w:val="0"/>
                <w:sz w:val="18"/>
                <w:szCs w:val="18"/>
              </w:rPr>
              <w:t>分；</w:t>
            </w:r>
            <w:r>
              <w:rPr>
                <w:rFonts w:ascii="仿宋_GB2312" w:hAnsi="宋体" w:eastAsia="仿宋_GB2312" w:cs="宋体"/>
                <w:color w:val="auto"/>
                <w:kern w:val="0"/>
                <w:sz w:val="18"/>
                <w:szCs w:val="18"/>
              </w:rPr>
              <w:t>80%</w:t>
            </w:r>
            <w:r>
              <w:rPr>
                <w:rFonts w:hint="eastAsia" w:ascii="仿宋_GB2312" w:hAnsi="宋体" w:eastAsia="仿宋_GB2312" w:cs="宋体"/>
                <w:color w:val="auto"/>
                <w:kern w:val="0"/>
                <w:sz w:val="18"/>
                <w:szCs w:val="18"/>
              </w:rPr>
              <w:t>（含）</w:t>
            </w:r>
            <w:r>
              <w:rPr>
                <w:rFonts w:ascii="仿宋_GB2312" w:hAnsi="宋体" w:eastAsia="仿宋_GB2312" w:cs="宋体"/>
                <w:color w:val="auto"/>
                <w:kern w:val="0"/>
                <w:sz w:val="18"/>
                <w:szCs w:val="18"/>
              </w:rPr>
              <w:t>-90%</w:t>
            </w:r>
            <w:r>
              <w:rPr>
                <w:rFonts w:hint="eastAsia" w:ascii="仿宋_GB2312" w:hAnsi="宋体" w:eastAsia="仿宋_GB2312" w:cs="宋体"/>
                <w:color w:val="auto"/>
                <w:kern w:val="0"/>
                <w:sz w:val="18"/>
                <w:szCs w:val="18"/>
              </w:rPr>
              <w:t>，计</w:t>
            </w:r>
            <w:r>
              <w:rPr>
                <w:rFonts w:ascii="仿宋_GB2312" w:hAnsi="宋体" w:eastAsia="仿宋_GB2312" w:cs="宋体"/>
                <w:color w:val="auto"/>
                <w:kern w:val="0"/>
                <w:sz w:val="18"/>
                <w:szCs w:val="18"/>
              </w:rPr>
              <w:t>4</w:t>
            </w:r>
            <w:r>
              <w:rPr>
                <w:rFonts w:hint="eastAsia" w:ascii="仿宋_GB2312" w:hAnsi="宋体" w:eastAsia="仿宋_GB2312" w:cs="宋体"/>
                <w:color w:val="auto"/>
                <w:kern w:val="0"/>
                <w:sz w:val="18"/>
                <w:szCs w:val="18"/>
              </w:rPr>
              <w:t>分；</w:t>
            </w:r>
            <w:r>
              <w:rPr>
                <w:rFonts w:ascii="仿宋_GB2312" w:hAnsi="宋体" w:eastAsia="仿宋_GB2312" w:cs="宋体"/>
                <w:color w:val="auto"/>
                <w:kern w:val="0"/>
                <w:sz w:val="18"/>
                <w:szCs w:val="18"/>
              </w:rPr>
              <w:t>70%</w:t>
            </w:r>
            <w:r>
              <w:rPr>
                <w:rFonts w:hint="eastAsia" w:ascii="仿宋_GB2312" w:hAnsi="宋体" w:eastAsia="仿宋_GB2312" w:cs="宋体"/>
                <w:color w:val="auto"/>
                <w:kern w:val="0"/>
                <w:sz w:val="18"/>
                <w:szCs w:val="18"/>
              </w:rPr>
              <w:t>（含）</w:t>
            </w:r>
            <w:r>
              <w:rPr>
                <w:rFonts w:ascii="仿宋_GB2312" w:hAnsi="宋体" w:eastAsia="仿宋_GB2312" w:cs="宋体"/>
                <w:color w:val="auto"/>
                <w:kern w:val="0"/>
                <w:sz w:val="18"/>
                <w:szCs w:val="18"/>
              </w:rPr>
              <w:t>-80%</w:t>
            </w:r>
            <w:r>
              <w:rPr>
                <w:rFonts w:hint="eastAsia" w:ascii="仿宋_GB2312" w:hAnsi="宋体" w:eastAsia="仿宋_GB2312" w:cs="宋体"/>
                <w:color w:val="auto"/>
                <w:kern w:val="0"/>
                <w:sz w:val="18"/>
                <w:szCs w:val="18"/>
              </w:rPr>
              <w:t>，计</w:t>
            </w:r>
            <w:r>
              <w:rPr>
                <w:rFonts w:ascii="仿宋_GB2312" w:hAnsi="宋体" w:eastAsia="仿宋_GB2312" w:cs="宋体"/>
                <w:color w:val="auto"/>
                <w:kern w:val="0"/>
                <w:sz w:val="18"/>
                <w:szCs w:val="18"/>
              </w:rPr>
              <w:t>3</w:t>
            </w:r>
            <w:r>
              <w:rPr>
                <w:rFonts w:hint="eastAsia" w:ascii="仿宋_GB2312" w:hAnsi="宋体" w:eastAsia="仿宋_GB2312" w:cs="宋体"/>
                <w:color w:val="auto"/>
                <w:kern w:val="0"/>
                <w:sz w:val="18"/>
                <w:szCs w:val="18"/>
              </w:rPr>
              <w:t>分；</w:t>
            </w:r>
            <w:r>
              <w:rPr>
                <w:rFonts w:ascii="仿宋_GB2312" w:hAnsi="宋体" w:eastAsia="仿宋_GB2312" w:cs="宋体"/>
                <w:color w:val="auto"/>
                <w:kern w:val="0"/>
                <w:sz w:val="18"/>
                <w:szCs w:val="18"/>
              </w:rPr>
              <w:t>60%</w:t>
            </w:r>
            <w:r>
              <w:rPr>
                <w:rFonts w:hint="eastAsia" w:ascii="仿宋_GB2312" w:hAnsi="宋体" w:eastAsia="仿宋_GB2312" w:cs="宋体"/>
                <w:color w:val="auto"/>
                <w:kern w:val="0"/>
                <w:sz w:val="18"/>
                <w:szCs w:val="18"/>
              </w:rPr>
              <w:t>（含）</w:t>
            </w:r>
            <w:r>
              <w:rPr>
                <w:rFonts w:ascii="仿宋_GB2312" w:hAnsi="宋体" w:eastAsia="仿宋_GB2312" w:cs="宋体"/>
                <w:color w:val="auto"/>
                <w:kern w:val="0"/>
                <w:sz w:val="18"/>
                <w:szCs w:val="18"/>
              </w:rPr>
              <w:t>-70%</w:t>
            </w:r>
            <w:r>
              <w:rPr>
                <w:rFonts w:hint="eastAsia" w:ascii="仿宋_GB2312" w:hAnsi="宋体" w:eastAsia="仿宋_GB2312" w:cs="宋体"/>
                <w:color w:val="auto"/>
                <w:kern w:val="0"/>
                <w:sz w:val="18"/>
                <w:szCs w:val="18"/>
              </w:rPr>
              <w:t>，计</w:t>
            </w:r>
            <w:r>
              <w:rPr>
                <w:rFonts w:ascii="仿宋_GB2312" w:hAnsi="宋体" w:eastAsia="仿宋_GB2312" w:cs="宋体"/>
                <w:color w:val="auto"/>
                <w:kern w:val="0"/>
                <w:sz w:val="18"/>
                <w:szCs w:val="18"/>
              </w:rPr>
              <w:t>2</w:t>
            </w:r>
            <w:r>
              <w:rPr>
                <w:rFonts w:hint="eastAsia" w:ascii="仿宋_GB2312" w:hAnsi="宋体" w:eastAsia="仿宋_GB2312" w:cs="宋体"/>
                <w:color w:val="auto"/>
                <w:kern w:val="0"/>
                <w:sz w:val="18"/>
                <w:szCs w:val="18"/>
              </w:rPr>
              <w:t>分；低于</w:t>
            </w:r>
            <w:r>
              <w:rPr>
                <w:rFonts w:ascii="仿宋_GB2312" w:hAnsi="宋体" w:eastAsia="仿宋_GB2312" w:cs="宋体"/>
                <w:color w:val="auto"/>
                <w:kern w:val="0"/>
                <w:sz w:val="18"/>
                <w:szCs w:val="18"/>
              </w:rPr>
              <w:t>60%</w:t>
            </w:r>
            <w:r>
              <w:rPr>
                <w:rFonts w:hint="eastAsia" w:ascii="仿宋_GB2312" w:hAnsi="宋体" w:eastAsia="仿宋_GB2312" w:cs="宋体"/>
                <w:color w:val="auto"/>
                <w:kern w:val="0"/>
                <w:sz w:val="18"/>
                <w:szCs w:val="18"/>
              </w:rPr>
              <w:t>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重点支出足额安排</w:t>
            </w: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过</w:t>
            </w:r>
            <w:r>
              <w:rPr>
                <w:rFonts w:ascii="仿宋_GB2312" w:hAnsi="宋体" w:eastAsia="仿宋_GB2312" w:cs="宋体"/>
                <w:color w:val="auto"/>
                <w:kern w:val="0"/>
                <w:sz w:val="18"/>
                <w:szCs w:val="18"/>
              </w:rPr>
              <w:t xml:space="preserve">  </w:t>
            </w:r>
            <w:r>
              <w:rPr>
                <w:rFonts w:hint="eastAsia" w:ascii="仿宋_GB2312" w:hAnsi="宋体" w:eastAsia="仿宋_GB2312" w:cs="宋体"/>
                <w:color w:val="auto"/>
                <w:kern w:val="0"/>
                <w:sz w:val="18"/>
                <w:szCs w:val="18"/>
              </w:rPr>
              <w:t>程</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w:t>
            </w:r>
            <w:r>
              <w:rPr>
                <w:rFonts w:ascii="仿宋_GB2312" w:hAnsi="宋体" w:eastAsia="仿宋_GB2312" w:cs="宋体"/>
                <w:color w:val="auto"/>
                <w:kern w:val="0"/>
                <w:sz w:val="18"/>
                <w:szCs w:val="18"/>
              </w:rPr>
              <w:t>40</w:t>
            </w:r>
            <w:r>
              <w:rPr>
                <w:rFonts w:hint="eastAsia" w:ascii="仿宋_GB2312" w:hAnsi="宋体" w:eastAsia="仿宋_GB2312" w:cs="宋体"/>
                <w:color w:val="auto"/>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预算执行</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w:t>
            </w:r>
            <w:r>
              <w:rPr>
                <w:rFonts w:ascii="仿宋_GB2312" w:hAnsi="宋体" w:eastAsia="仿宋_GB2312" w:cs="宋体"/>
                <w:color w:val="auto"/>
                <w:kern w:val="0"/>
                <w:sz w:val="18"/>
                <w:szCs w:val="18"/>
              </w:rPr>
              <w:t>15</w:t>
            </w:r>
            <w:r>
              <w:rPr>
                <w:rFonts w:hint="eastAsia" w:ascii="仿宋_GB2312" w:hAnsi="宋体" w:eastAsia="仿宋_GB2312" w:cs="宋体"/>
                <w:color w:val="auto"/>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预算调整率</w:t>
            </w:r>
            <w:r>
              <w:rPr>
                <w:rFonts w:ascii="仿宋_GB2312" w:hAnsi="宋体" w:eastAsia="仿宋_GB2312" w:cs="宋体"/>
                <w:color w:val="auto"/>
                <w:kern w:val="0"/>
                <w:sz w:val="18"/>
                <w:szCs w:val="18"/>
              </w:rPr>
              <w:t>=0</w:t>
            </w:r>
            <w:r>
              <w:rPr>
                <w:rFonts w:hint="eastAsia" w:ascii="仿宋_GB2312" w:hAnsi="宋体" w:eastAsia="仿宋_GB2312" w:cs="宋体"/>
                <w:color w:val="auto"/>
                <w:kern w:val="0"/>
                <w:sz w:val="18"/>
                <w:szCs w:val="18"/>
              </w:rPr>
              <w:t>，计</w:t>
            </w:r>
            <w:r>
              <w:rPr>
                <w:rFonts w:ascii="仿宋_GB2312" w:hAnsi="宋体" w:eastAsia="仿宋_GB2312" w:cs="宋体"/>
                <w:color w:val="auto"/>
                <w:kern w:val="0"/>
                <w:sz w:val="18"/>
                <w:szCs w:val="18"/>
              </w:rPr>
              <w:t>3</w:t>
            </w:r>
            <w:r>
              <w:rPr>
                <w:rFonts w:hint="eastAsia" w:ascii="仿宋_GB2312" w:hAnsi="宋体" w:eastAsia="仿宋_GB2312" w:cs="宋体"/>
                <w:color w:val="auto"/>
                <w:kern w:val="0"/>
                <w:sz w:val="18"/>
                <w:szCs w:val="18"/>
              </w:rPr>
              <w:t>分；</w:t>
            </w:r>
            <w:r>
              <w:rPr>
                <w:rFonts w:ascii="仿宋_GB2312" w:hAnsi="宋体" w:eastAsia="仿宋_GB2312" w:cs="宋体"/>
                <w:color w:val="auto"/>
                <w:kern w:val="0"/>
                <w:sz w:val="18"/>
                <w:szCs w:val="18"/>
              </w:rPr>
              <w:t>0-10%</w:t>
            </w:r>
            <w:r>
              <w:rPr>
                <w:rFonts w:hint="eastAsia" w:ascii="仿宋_GB2312" w:hAnsi="宋体" w:eastAsia="仿宋_GB2312" w:cs="宋体"/>
                <w:color w:val="auto"/>
                <w:kern w:val="0"/>
                <w:sz w:val="18"/>
                <w:szCs w:val="18"/>
              </w:rPr>
              <w:t>（含），计</w:t>
            </w:r>
            <w:r>
              <w:rPr>
                <w:rFonts w:ascii="仿宋_GB2312" w:hAnsi="宋体" w:eastAsia="仿宋_GB2312" w:cs="宋体"/>
                <w:color w:val="auto"/>
                <w:kern w:val="0"/>
                <w:sz w:val="18"/>
                <w:szCs w:val="18"/>
              </w:rPr>
              <w:t>2</w:t>
            </w:r>
            <w:r>
              <w:rPr>
                <w:rFonts w:hint="eastAsia" w:ascii="仿宋_GB2312" w:hAnsi="宋体" w:eastAsia="仿宋_GB2312" w:cs="宋体"/>
                <w:color w:val="auto"/>
                <w:kern w:val="0"/>
                <w:sz w:val="18"/>
                <w:szCs w:val="18"/>
              </w:rPr>
              <w:t>分；</w:t>
            </w:r>
            <w:r>
              <w:rPr>
                <w:rFonts w:ascii="仿宋_GB2312" w:hAnsi="宋体" w:eastAsia="仿宋_GB2312" w:cs="宋体"/>
                <w:color w:val="auto"/>
                <w:kern w:val="0"/>
                <w:sz w:val="18"/>
                <w:szCs w:val="18"/>
              </w:rPr>
              <w:t>10-20%</w:t>
            </w:r>
            <w:r>
              <w:rPr>
                <w:rFonts w:hint="eastAsia" w:ascii="仿宋_GB2312" w:hAnsi="宋体" w:eastAsia="仿宋_GB2312" w:cs="宋体"/>
                <w:color w:val="auto"/>
                <w:kern w:val="0"/>
                <w:sz w:val="18"/>
                <w:szCs w:val="18"/>
              </w:rPr>
              <w:t>（含），计</w:t>
            </w:r>
            <w:r>
              <w:rPr>
                <w:rFonts w:ascii="仿宋_GB2312" w:hAnsi="宋体" w:eastAsia="仿宋_GB2312" w:cs="宋体"/>
                <w:color w:val="auto"/>
                <w:kern w:val="0"/>
                <w:sz w:val="18"/>
                <w:szCs w:val="18"/>
              </w:rPr>
              <w:t>1</w:t>
            </w:r>
            <w:r>
              <w:rPr>
                <w:rFonts w:hint="eastAsia" w:ascii="仿宋_GB2312" w:hAnsi="宋体" w:eastAsia="仿宋_GB2312" w:cs="宋体"/>
                <w:color w:val="auto"/>
                <w:kern w:val="0"/>
                <w:sz w:val="18"/>
                <w:szCs w:val="18"/>
              </w:rPr>
              <w:t>分；</w:t>
            </w:r>
            <w:r>
              <w:rPr>
                <w:rFonts w:ascii="仿宋_GB2312" w:hAnsi="宋体" w:eastAsia="仿宋_GB2312" w:cs="宋体"/>
                <w:color w:val="auto"/>
                <w:kern w:val="0"/>
                <w:sz w:val="18"/>
                <w:szCs w:val="18"/>
              </w:rPr>
              <w:t>20-30%</w:t>
            </w:r>
            <w:r>
              <w:rPr>
                <w:rFonts w:hint="eastAsia" w:ascii="仿宋_GB2312" w:hAnsi="宋体" w:eastAsia="仿宋_GB2312" w:cs="宋体"/>
                <w:color w:val="auto"/>
                <w:kern w:val="0"/>
                <w:sz w:val="18"/>
                <w:szCs w:val="18"/>
              </w:rPr>
              <w:t>（含），计</w:t>
            </w:r>
            <w:r>
              <w:rPr>
                <w:rFonts w:ascii="仿宋_GB2312" w:hAnsi="宋体" w:eastAsia="仿宋_GB2312" w:cs="宋体"/>
                <w:color w:val="auto"/>
                <w:kern w:val="0"/>
                <w:sz w:val="18"/>
                <w:szCs w:val="18"/>
              </w:rPr>
              <w:t>0.5</w:t>
            </w:r>
            <w:r>
              <w:rPr>
                <w:rFonts w:hint="eastAsia" w:ascii="仿宋_GB2312" w:hAnsi="宋体" w:eastAsia="仿宋_GB2312" w:cs="宋体"/>
                <w:color w:val="auto"/>
                <w:kern w:val="0"/>
                <w:sz w:val="18"/>
                <w:szCs w:val="18"/>
              </w:rPr>
              <w:t>分；大于</w:t>
            </w:r>
            <w:r>
              <w:rPr>
                <w:rFonts w:ascii="仿宋_GB2312" w:hAnsi="宋体" w:eastAsia="仿宋_GB2312" w:cs="宋体"/>
                <w:color w:val="auto"/>
                <w:kern w:val="0"/>
                <w:sz w:val="18"/>
                <w:szCs w:val="18"/>
              </w:rPr>
              <w:t>30%</w:t>
            </w:r>
            <w:r>
              <w:rPr>
                <w:rFonts w:hint="eastAsia" w:ascii="仿宋_GB2312" w:hAnsi="宋体" w:eastAsia="仿宋_GB2312" w:cs="宋体"/>
                <w:color w:val="auto"/>
                <w:kern w:val="0"/>
                <w:sz w:val="18"/>
                <w:szCs w:val="18"/>
              </w:rPr>
              <w:t>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0</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auto"/>
                <w:sz w:val="18"/>
                <w:szCs w:val="18"/>
              </w:rPr>
            </w:pPr>
            <w:r>
              <w:rPr>
                <w:rFonts w:hint="eastAsia" w:ascii="仿宋_GB2312" w:hAnsi="宋体" w:eastAsia="仿宋_GB2312" w:cs="宋体"/>
                <w:color w:val="auto"/>
                <w:sz w:val="18"/>
                <w:szCs w:val="18"/>
              </w:rPr>
              <w:t>预算调整大于30%</w:t>
            </w: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春节前下达全部专项资金的</w:t>
            </w:r>
            <w:r>
              <w:rPr>
                <w:rFonts w:ascii="仿宋_GB2312" w:hAnsi="宋体" w:eastAsia="仿宋_GB2312" w:cs="宋体"/>
                <w:color w:val="auto"/>
                <w:kern w:val="0"/>
                <w:sz w:val="18"/>
                <w:szCs w:val="18"/>
              </w:rPr>
              <w:t>50%</w:t>
            </w:r>
            <w:r>
              <w:rPr>
                <w:rFonts w:hint="eastAsia" w:ascii="仿宋_GB2312" w:hAnsi="宋体" w:eastAsia="仿宋_GB2312" w:cs="宋体"/>
                <w:color w:val="auto"/>
                <w:kern w:val="0"/>
                <w:sz w:val="18"/>
                <w:szCs w:val="18"/>
              </w:rPr>
              <w:t>；</w:t>
            </w:r>
            <w:r>
              <w:rPr>
                <w:rFonts w:ascii="仿宋_GB2312" w:hAnsi="宋体" w:eastAsia="仿宋_GB2312" w:cs="宋体"/>
                <w:color w:val="auto"/>
                <w:kern w:val="0"/>
                <w:sz w:val="18"/>
                <w:szCs w:val="18"/>
              </w:rPr>
              <w:t>6</w:t>
            </w:r>
            <w:r>
              <w:rPr>
                <w:rFonts w:hint="eastAsia" w:ascii="仿宋_GB2312" w:hAnsi="宋体" w:eastAsia="仿宋_GB2312" w:cs="宋体"/>
                <w:color w:val="auto"/>
                <w:kern w:val="0"/>
                <w:sz w:val="18"/>
                <w:szCs w:val="18"/>
              </w:rPr>
              <w:t>月底前所有专项资金指标全部下达完。</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每出现一个专项未按进度完成资金下达扣</w:t>
            </w:r>
            <w:r>
              <w:rPr>
                <w:rFonts w:ascii="仿宋_GB2312" w:hAnsi="宋体" w:eastAsia="仿宋_GB2312" w:cs="宋体"/>
                <w:color w:val="auto"/>
                <w:kern w:val="0"/>
                <w:sz w:val="18"/>
                <w:szCs w:val="18"/>
              </w:rPr>
              <w:t>0.5</w:t>
            </w:r>
            <w:r>
              <w:rPr>
                <w:rFonts w:hint="eastAsia" w:ascii="仿宋_GB2312" w:hAnsi="宋体" w:eastAsia="仿宋_GB2312" w:cs="宋体"/>
                <w:color w:val="auto"/>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auto"/>
                <w:sz w:val="18"/>
                <w:szCs w:val="18"/>
              </w:rPr>
            </w:pPr>
            <w:r>
              <w:rPr>
                <w:rFonts w:hint="eastAsia" w:ascii="仿宋_GB2312" w:hAnsi="宋体" w:eastAsia="仿宋_GB2312" w:cs="宋体"/>
                <w:color w:val="auto"/>
                <w:sz w:val="18"/>
                <w:szCs w:val="18"/>
              </w:rPr>
              <w:t>按进度下达资金指标</w:t>
            </w: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无结余，</w:t>
            </w:r>
            <w:r>
              <w:rPr>
                <w:rFonts w:ascii="仿宋_GB2312" w:hAnsi="宋体" w:eastAsia="仿宋_GB2312" w:cs="宋体"/>
                <w:color w:val="auto"/>
                <w:kern w:val="0"/>
                <w:sz w:val="18"/>
                <w:szCs w:val="18"/>
              </w:rPr>
              <w:t>3</w:t>
            </w:r>
            <w:r>
              <w:rPr>
                <w:rFonts w:hint="eastAsia" w:ascii="仿宋_GB2312" w:hAnsi="宋体" w:eastAsia="仿宋_GB2312" w:cs="宋体"/>
                <w:color w:val="auto"/>
                <w:kern w:val="0"/>
                <w:sz w:val="18"/>
                <w:szCs w:val="18"/>
              </w:rPr>
              <w:t>分；有结余，但不超过上年结转，</w:t>
            </w:r>
            <w:r>
              <w:rPr>
                <w:rFonts w:ascii="仿宋_GB2312" w:hAnsi="宋体" w:eastAsia="仿宋_GB2312" w:cs="宋体"/>
                <w:color w:val="auto"/>
                <w:kern w:val="0"/>
                <w:sz w:val="18"/>
                <w:szCs w:val="18"/>
              </w:rPr>
              <w:t>2</w:t>
            </w:r>
            <w:r>
              <w:rPr>
                <w:rFonts w:hint="eastAsia" w:ascii="仿宋_GB2312" w:hAnsi="宋体" w:eastAsia="仿宋_GB2312" w:cs="宋体"/>
                <w:color w:val="auto"/>
                <w:kern w:val="0"/>
                <w:sz w:val="18"/>
                <w:szCs w:val="18"/>
              </w:rPr>
              <w:t>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2</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auto"/>
                <w:sz w:val="20"/>
                <w:szCs w:val="20"/>
              </w:rPr>
            </w:pPr>
            <w:r>
              <w:rPr>
                <w:rFonts w:hint="eastAsia" w:ascii="仿宋_GB2312" w:eastAsia="仿宋_GB2312"/>
                <w:color w:val="auto"/>
                <w:sz w:val="20"/>
                <w:szCs w:val="20"/>
              </w:rPr>
              <w:t>结余没有超过上年结转</w:t>
            </w: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“三公经费”</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以</w:t>
            </w:r>
            <w:r>
              <w:rPr>
                <w:rFonts w:ascii="仿宋_GB2312" w:hAnsi="宋体" w:eastAsia="仿宋_GB2312" w:cs="宋体"/>
                <w:color w:val="auto"/>
                <w:kern w:val="0"/>
                <w:sz w:val="18"/>
                <w:szCs w:val="18"/>
              </w:rPr>
              <w:t>100%</w:t>
            </w:r>
            <w:r>
              <w:rPr>
                <w:rFonts w:hint="eastAsia" w:ascii="仿宋_GB2312" w:hAnsi="宋体" w:eastAsia="仿宋_GB2312" w:cs="宋体"/>
                <w:color w:val="auto"/>
                <w:kern w:val="0"/>
                <w:sz w:val="18"/>
                <w:szCs w:val="18"/>
              </w:rPr>
              <w:t>为标准。三公经费控制率</w:t>
            </w:r>
            <w:r>
              <w:rPr>
                <w:rFonts w:hint="eastAsia" w:ascii="宋体" w:hAnsi="宋体" w:cs="宋体"/>
                <w:color w:val="auto"/>
                <w:kern w:val="0"/>
                <w:sz w:val="18"/>
                <w:szCs w:val="18"/>
              </w:rPr>
              <w:t>≦</w:t>
            </w:r>
            <w:r>
              <w:rPr>
                <w:rFonts w:ascii="仿宋_GB2312" w:hAnsi="宋体" w:eastAsia="仿宋_GB2312" w:cs="宋体"/>
                <w:color w:val="auto"/>
                <w:kern w:val="0"/>
                <w:sz w:val="18"/>
                <w:szCs w:val="18"/>
              </w:rPr>
              <w:t>100%</w:t>
            </w:r>
            <w:r>
              <w:rPr>
                <w:rFonts w:hint="eastAsia" w:ascii="仿宋_GB2312" w:hAnsi="宋体" w:eastAsia="仿宋_GB2312" w:cs="宋体"/>
                <w:color w:val="auto"/>
                <w:kern w:val="0"/>
                <w:sz w:val="18"/>
                <w:szCs w:val="18"/>
              </w:rPr>
              <w:t>，计</w:t>
            </w:r>
            <w:r>
              <w:rPr>
                <w:rFonts w:ascii="仿宋_GB2312" w:hAnsi="宋体" w:eastAsia="仿宋_GB2312" w:cs="宋体"/>
                <w:color w:val="auto"/>
                <w:kern w:val="0"/>
                <w:sz w:val="18"/>
                <w:szCs w:val="18"/>
              </w:rPr>
              <w:t>6</w:t>
            </w:r>
            <w:r>
              <w:rPr>
                <w:rFonts w:hint="eastAsia" w:ascii="仿宋_GB2312" w:hAnsi="宋体" w:eastAsia="仿宋_GB2312" w:cs="宋体"/>
                <w:color w:val="auto"/>
                <w:kern w:val="0"/>
                <w:sz w:val="18"/>
                <w:szCs w:val="18"/>
              </w:rPr>
              <w:t>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每超过一个百分点扣</w:t>
            </w:r>
            <w:r>
              <w:rPr>
                <w:rFonts w:ascii="仿宋_GB2312" w:hAnsi="宋体" w:eastAsia="仿宋_GB2312" w:cs="宋体"/>
                <w:color w:val="auto"/>
                <w:kern w:val="0"/>
                <w:sz w:val="18"/>
                <w:szCs w:val="18"/>
              </w:rPr>
              <w:t>1</w:t>
            </w:r>
            <w:r>
              <w:rPr>
                <w:rFonts w:hint="eastAsia" w:ascii="仿宋_GB2312" w:hAnsi="宋体" w:eastAsia="仿宋_GB2312" w:cs="宋体"/>
                <w:color w:val="auto"/>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6</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三公经费预算数4.77万元，实际支出4.77万元，三公经费控制率</w:t>
            </w:r>
            <w:r>
              <w:rPr>
                <w:rFonts w:ascii="仿宋_GB2312" w:eastAsia="仿宋_GB2312"/>
                <w:color w:val="auto"/>
                <w:sz w:val="18"/>
                <w:szCs w:val="18"/>
              </w:rPr>
              <w:t>100%</w:t>
            </w:r>
            <w:r>
              <w:rPr>
                <w:rFonts w:hint="eastAsia" w:ascii="仿宋_GB2312" w:eastAsia="仿宋_GB2312"/>
                <w:color w:val="auto"/>
                <w:sz w:val="18"/>
                <w:szCs w:val="18"/>
              </w:rPr>
              <w:t>，三公经费控制率</w:t>
            </w:r>
            <w:r>
              <w:rPr>
                <w:rFonts w:hint="eastAsia" w:ascii="宋体" w:hAnsi="宋体" w:cs="宋体"/>
                <w:color w:val="auto"/>
                <w:sz w:val="18"/>
                <w:szCs w:val="18"/>
              </w:rPr>
              <w:t>≦</w:t>
            </w:r>
            <w:r>
              <w:rPr>
                <w:rFonts w:ascii="仿宋_GB2312" w:eastAsia="仿宋_GB2312"/>
                <w:color w:val="auto"/>
                <w:sz w:val="18"/>
                <w:szCs w:val="18"/>
              </w:rPr>
              <w:t>100%</w:t>
            </w:r>
            <w:r>
              <w:rPr>
                <w:rFonts w:hint="eastAsia" w:ascii="仿宋_GB2312" w:eastAsia="仿宋_GB2312"/>
                <w:color w:val="auto"/>
                <w:sz w:val="18"/>
                <w:szCs w:val="18"/>
              </w:rPr>
              <w:t>，得</w:t>
            </w:r>
            <w:r>
              <w:rPr>
                <w:rFonts w:ascii="仿宋_GB2312" w:eastAsia="仿宋_GB2312"/>
                <w:color w:val="auto"/>
                <w:sz w:val="18"/>
                <w:szCs w:val="18"/>
              </w:rPr>
              <w:t>6</w:t>
            </w:r>
            <w:r>
              <w:rPr>
                <w:rFonts w:hint="eastAsia" w:ascii="仿宋_GB2312" w:eastAsia="仿宋_GB2312"/>
                <w:color w:val="auto"/>
                <w:sz w:val="18"/>
                <w:szCs w:val="18"/>
              </w:rPr>
              <w:t>分。</w:t>
            </w: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预算管理</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w:t>
            </w:r>
            <w:r>
              <w:rPr>
                <w:rFonts w:ascii="仿宋_GB2312" w:hAnsi="宋体" w:eastAsia="仿宋_GB2312" w:cs="宋体"/>
                <w:color w:val="auto"/>
                <w:kern w:val="0"/>
                <w:sz w:val="18"/>
                <w:szCs w:val="18"/>
              </w:rPr>
              <w:t>15</w:t>
            </w:r>
            <w:r>
              <w:rPr>
                <w:rFonts w:hint="eastAsia" w:ascii="仿宋_GB2312" w:hAnsi="宋体" w:eastAsia="仿宋_GB2312" w:cs="宋体"/>
                <w:color w:val="auto"/>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管理制度</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①已制定或具有预算资金管理办法，内部财务管理制度、会计核算制度等管理制度，</w:t>
            </w:r>
            <w:r>
              <w:rPr>
                <w:rFonts w:ascii="仿宋_GB2312" w:hAnsi="宋体" w:eastAsia="仿宋_GB2312" w:cs="宋体"/>
                <w:color w:val="auto"/>
                <w:kern w:val="0"/>
                <w:sz w:val="18"/>
                <w:szCs w:val="18"/>
              </w:rPr>
              <w:t>1</w:t>
            </w:r>
            <w:r>
              <w:rPr>
                <w:rFonts w:hint="eastAsia" w:ascii="仿宋_GB2312" w:hAnsi="宋体" w:eastAsia="仿宋_GB2312" w:cs="宋体"/>
                <w:color w:val="auto"/>
                <w:kern w:val="0"/>
                <w:sz w:val="18"/>
                <w:szCs w:val="18"/>
              </w:rPr>
              <w:t>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②相关管理制度合法、合规、完整，</w:t>
            </w:r>
            <w:r>
              <w:rPr>
                <w:rFonts w:ascii="仿宋_GB2312" w:hAnsi="宋体" w:eastAsia="仿宋_GB2312" w:cs="宋体"/>
                <w:color w:val="auto"/>
                <w:kern w:val="0"/>
                <w:sz w:val="18"/>
                <w:szCs w:val="18"/>
              </w:rPr>
              <w:t>1</w:t>
            </w:r>
            <w:r>
              <w:rPr>
                <w:rFonts w:hint="eastAsia" w:ascii="仿宋_GB2312" w:hAnsi="宋体" w:eastAsia="仿宋_GB2312" w:cs="宋体"/>
                <w:color w:val="auto"/>
                <w:kern w:val="0"/>
                <w:sz w:val="18"/>
                <w:szCs w:val="18"/>
              </w:rPr>
              <w:t>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③相关管理制度得到有效执行，</w:t>
            </w:r>
            <w:r>
              <w:rPr>
                <w:rFonts w:ascii="仿宋_GB2312" w:hAnsi="宋体" w:eastAsia="仿宋_GB2312" w:cs="宋体"/>
                <w:color w:val="auto"/>
                <w:kern w:val="0"/>
                <w:sz w:val="18"/>
                <w:szCs w:val="18"/>
              </w:rPr>
              <w:t>1</w:t>
            </w:r>
            <w:r>
              <w:rPr>
                <w:rFonts w:hint="eastAsia" w:ascii="仿宋_GB2312" w:hAnsi="宋体" w:eastAsia="仿宋_GB2312" w:cs="宋体"/>
                <w:color w:val="auto"/>
                <w:kern w:val="0"/>
                <w:sz w:val="18"/>
                <w:szCs w:val="18"/>
              </w:rPr>
              <w:t>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auto"/>
                <w:sz w:val="18"/>
                <w:szCs w:val="18"/>
              </w:rPr>
            </w:pPr>
            <w:r>
              <w:rPr>
                <w:rFonts w:hint="eastAsia" w:ascii="仿宋_GB2312" w:hAnsi="宋体" w:eastAsia="仿宋_GB2312" w:cs="宋体"/>
                <w:color w:val="auto"/>
                <w:sz w:val="18"/>
                <w:szCs w:val="18"/>
              </w:rPr>
              <w:t>制定了《财务管理制度》、《小车管理制度》等相关制度，制度合法合规完整，执行有效。</w:t>
            </w: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资金使用</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①支出符合国家财经法规和财务管理制度规定以及有关专项资金管理办法的规定；</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②资金拨付有完整的审批程序和手续；</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③项目支出按规定经过评估论证；</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④支出符合部门预算批复的用途；</w:t>
            </w:r>
          </w:p>
          <w:p>
            <w:pPr>
              <w:widowControl/>
              <w:spacing w:line="240" w:lineRule="exact"/>
              <w:jc w:val="left"/>
              <w:rPr>
                <w:rFonts w:ascii="仿宋_GB2312" w:hAnsi="宋体" w:eastAsia="仿宋_GB2312" w:cs="宋体"/>
                <w:color w:val="auto"/>
                <w:spacing w:val="-6"/>
                <w:kern w:val="0"/>
                <w:sz w:val="18"/>
                <w:szCs w:val="18"/>
              </w:rPr>
            </w:pPr>
            <w:r>
              <w:rPr>
                <w:rFonts w:hint="eastAsia" w:ascii="仿宋_GB2312" w:hAnsi="宋体" w:eastAsia="仿宋_GB2312" w:cs="宋体"/>
                <w:color w:val="auto"/>
                <w:spacing w:val="-6"/>
                <w:kern w:val="0"/>
                <w:sz w:val="18"/>
                <w:szCs w:val="18"/>
              </w:rPr>
              <w:t>⑤资金使用无截留、挤占、挪用、虚列支出等情况。</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spacing w:val="-6"/>
                <w:kern w:val="0"/>
                <w:sz w:val="18"/>
                <w:szCs w:val="18"/>
              </w:rPr>
              <w:t>以上情况每出现一例不符合要求的扣</w:t>
            </w:r>
            <w:r>
              <w:rPr>
                <w:rFonts w:ascii="仿宋_GB2312" w:hAnsi="宋体" w:eastAsia="仿宋_GB2312" w:cs="宋体"/>
                <w:color w:val="auto"/>
                <w:spacing w:val="-6"/>
                <w:kern w:val="0"/>
                <w:sz w:val="18"/>
                <w:szCs w:val="18"/>
              </w:rPr>
              <w:t>1</w:t>
            </w:r>
            <w:r>
              <w:rPr>
                <w:rFonts w:hint="eastAsia" w:ascii="仿宋_GB2312" w:hAnsi="宋体" w:eastAsia="仿宋_GB2312" w:cs="宋体"/>
                <w:color w:val="auto"/>
                <w:spacing w:val="-6"/>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auto"/>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预决算信息公开性和完善性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①按规定内容公开预决算信息，</w:t>
            </w:r>
            <w:r>
              <w:rPr>
                <w:rFonts w:ascii="仿宋_GB2312" w:hAnsi="宋体" w:eastAsia="仿宋_GB2312" w:cs="宋体"/>
                <w:color w:val="auto"/>
                <w:kern w:val="0"/>
                <w:sz w:val="18"/>
                <w:szCs w:val="18"/>
              </w:rPr>
              <w:t>1</w:t>
            </w:r>
            <w:r>
              <w:rPr>
                <w:rFonts w:hint="eastAsia" w:ascii="仿宋_GB2312" w:hAnsi="宋体" w:eastAsia="仿宋_GB2312" w:cs="宋体"/>
                <w:color w:val="auto"/>
                <w:kern w:val="0"/>
                <w:sz w:val="18"/>
                <w:szCs w:val="18"/>
              </w:rPr>
              <w:t>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②按规定时限公开预决算信息，</w:t>
            </w:r>
            <w:r>
              <w:rPr>
                <w:rFonts w:ascii="仿宋_GB2312" w:hAnsi="宋体" w:eastAsia="仿宋_GB2312" w:cs="宋体"/>
                <w:color w:val="auto"/>
                <w:kern w:val="0"/>
                <w:sz w:val="18"/>
                <w:szCs w:val="18"/>
              </w:rPr>
              <w:t>0.5</w:t>
            </w:r>
            <w:r>
              <w:rPr>
                <w:rFonts w:hint="eastAsia" w:ascii="仿宋_GB2312" w:hAnsi="宋体" w:eastAsia="仿宋_GB2312" w:cs="宋体"/>
                <w:color w:val="auto"/>
                <w:kern w:val="0"/>
                <w:sz w:val="18"/>
                <w:szCs w:val="18"/>
              </w:rPr>
              <w:t>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③基础数据信息和会计信息资料真实，</w:t>
            </w:r>
            <w:r>
              <w:rPr>
                <w:rFonts w:ascii="仿宋_GB2312" w:hAnsi="宋体" w:eastAsia="仿宋_GB2312" w:cs="宋体"/>
                <w:color w:val="auto"/>
                <w:kern w:val="0"/>
                <w:sz w:val="18"/>
                <w:szCs w:val="18"/>
              </w:rPr>
              <w:t>0.5</w:t>
            </w:r>
            <w:r>
              <w:rPr>
                <w:rFonts w:hint="eastAsia" w:ascii="仿宋_GB2312" w:hAnsi="宋体" w:eastAsia="仿宋_GB2312" w:cs="宋体"/>
                <w:color w:val="auto"/>
                <w:kern w:val="0"/>
                <w:sz w:val="18"/>
                <w:szCs w:val="18"/>
              </w:rPr>
              <w:t>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④基础数据信息和会计信息资料完整，</w:t>
            </w:r>
            <w:r>
              <w:rPr>
                <w:rFonts w:ascii="仿宋_GB2312" w:hAnsi="宋体" w:eastAsia="仿宋_GB2312" w:cs="宋体"/>
                <w:color w:val="auto"/>
                <w:kern w:val="0"/>
                <w:sz w:val="18"/>
                <w:szCs w:val="18"/>
              </w:rPr>
              <w:t>0.5</w:t>
            </w:r>
            <w:r>
              <w:rPr>
                <w:rFonts w:hint="eastAsia" w:ascii="仿宋_GB2312" w:hAnsi="宋体" w:eastAsia="仿宋_GB2312" w:cs="宋体"/>
                <w:color w:val="auto"/>
                <w:kern w:val="0"/>
                <w:sz w:val="18"/>
                <w:szCs w:val="18"/>
              </w:rPr>
              <w:t>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⑤基础数据信息和汇集信息资料准确，</w:t>
            </w:r>
            <w:r>
              <w:rPr>
                <w:rFonts w:ascii="仿宋_GB2312" w:hAnsi="宋体" w:eastAsia="仿宋_GB2312" w:cs="宋体"/>
                <w:color w:val="auto"/>
                <w:kern w:val="0"/>
                <w:sz w:val="18"/>
                <w:szCs w:val="18"/>
              </w:rPr>
              <w:t>0.5</w:t>
            </w:r>
            <w:r>
              <w:rPr>
                <w:rFonts w:hint="eastAsia" w:ascii="仿宋_GB2312" w:hAnsi="宋体" w:eastAsia="仿宋_GB2312" w:cs="宋体"/>
                <w:color w:val="auto"/>
                <w:kern w:val="0"/>
                <w:sz w:val="18"/>
                <w:szCs w:val="18"/>
              </w:rPr>
              <w:t>分。</w:t>
            </w:r>
            <w:r>
              <w:rPr>
                <w:rFonts w:ascii="仿宋_GB2312" w:hAnsi="宋体" w:eastAsia="仿宋_GB2312" w:cs="宋体"/>
                <w:color w:val="auto"/>
                <w:kern w:val="0"/>
                <w:sz w:val="18"/>
                <w:szCs w:val="18"/>
              </w:rPr>
              <w:t xml:space="preserve">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rPr>
                <w:rFonts w:ascii="仿宋_GB2312" w:hAnsi="宋体" w:eastAsia="仿宋_GB2312" w:cs="宋体"/>
                <w:color w:val="auto"/>
                <w:sz w:val="20"/>
                <w:szCs w:val="20"/>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政府采购</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执行率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政府采购执行率等于</w:t>
            </w:r>
            <w:r>
              <w:rPr>
                <w:rFonts w:ascii="仿宋_GB2312" w:hAnsi="宋体" w:eastAsia="仿宋_GB2312" w:cs="宋体"/>
                <w:color w:val="auto"/>
                <w:kern w:val="0"/>
                <w:sz w:val="18"/>
                <w:szCs w:val="18"/>
              </w:rPr>
              <w:t>100%</w:t>
            </w:r>
            <w:r>
              <w:rPr>
                <w:rFonts w:hint="eastAsia" w:ascii="仿宋_GB2312" w:hAnsi="宋体" w:eastAsia="仿宋_GB2312" w:cs="宋体"/>
                <w:color w:val="auto"/>
                <w:kern w:val="0"/>
                <w:sz w:val="18"/>
                <w:szCs w:val="18"/>
              </w:rPr>
              <w:t>的，得</w:t>
            </w:r>
            <w:r>
              <w:rPr>
                <w:rFonts w:ascii="仿宋_GB2312" w:hAnsi="宋体" w:eastAsia="仿宋_GB2312" w:cs="宋体"/>
                <w:color w:val="auto"/>
                <w:kern w:val="0"/>
                <w:sz w:val="18"/>
                <w:szCs w:val="18"/>
              </w:rPr>
              <w:t>3</w:t>
            </w:r>
            <w:r>
              <w:rPr>
                <w:rFonts w:hint="eastAsia" w:ascii="仿宋_GB2312" w:hAnsi="宋体" w:eastAsia="仿宋_GB2312" w:cs="宋体"/>
                <w:color w:val="auto"/>
                <w:kern w:val="0"/>
                <w:sz w:val="18"/>
                <w:szCs w:val="18"/>
              </w:rPr>
              <w:t>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每减少一个百分点，扣</w:t>
            </w:r>
            <w:r>
              <w:rPr>
                <w:rFonts w:ascii="仿宋_GB2312" w:hAnsi="宋体" w:eastAsia="仿宋_GB2312" w:cs="宋体"/>
                <w:color w:val="auto"/>
                <w:kern w:val="0"/>
                <w:sz w:val="18"/>
                <w:szCs w:val="18"/>
              </w:rPr>
              <w:t>0.2</w:t>
            </w:r>
            <w:r>
              <w:rPr>
                <w:rFonts w:hint="eastAsia" w:ascii="仿宋_GB2312" w:hAnsi="宋体" w:eastAsia="仿宋_GB2312" w:cs="宋体"/>
                <w:color w:val="auto"/>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rPr>
                <w:rFonts w:ascii="仿宋_GB2312" w:hAnsi="宋体" w:eastAsia="仿宋_GB2312" w:cs="宋体"/>
                <w:color w:val="auto"/>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公务卡刷卡率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公务卡刷卡率达</w:t>
            </w:r>
            <w:r>
              <w:rPr>
                <w:rFonts w:ascii="仿宋_GB2312" w:hAnsi="宋体" w:eastAsia="仿宋_GB2312" w:cs="宋体"/>
                <w:color w:val="auto"/>
                <w:kern w:val="0"/>
                <w:sz w:val="18"/>
                <w:szCs w:val="18"/>
              </w:rPr>
              <w:t>50</w:t>
            </w:r>
            <w:r>
              <w:rPr>
                <w:rFonts w:hint="eastAsia" w:ascii="仿宋_GB2312" w:hAnsi="宋体" w:eastAsia="仿宋_GB2312" w:cs="宋体"/>
                <w:color w:val="auto"/>
                <w:kern w:val="0"/>
                <w:sz w:val="18"/>
                <w:szCs w:val="18"/>
              </w:rPr>
              <w:t>％以上的，得</w:t>
            </w:r>
            <w:r>
              <w:rPr>
                <w:rFonts w:ascii="仿宋_GB2312" w:hAnsi="宋体" w:eastAsia="仿宋_GB2312" w:cs="宋体"/>
                <w:color w:val="auto"/>
                <w:kern w:val="0"/>
                <w:sz w:val="18"/>
                <w:szCs w:val="18"/>
              </w:rPr>
              <w:t>3</w:t>
            </w:r>
            <w:r>
              <w:rPr>
                <w:rFonts w:hint="eastAsia" w:ascii="仿宋_GB2312" w:hAnsi="宋体" w:eastAsia="仿宋_GB2312" w:cs="宋体"/>
                <w:color w:val="auto"/>
                <w:kern w:val="0"/>
                <w:sz w:val="18"/>
                <w:szCs w:val="18"/>
              </w:rPr>
              <w:t>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每减少一个百分点，扣</w:t>
            </w:r>
            <w:r>
              <w:rPr>
                <w:rFonts w:ascii="仿宋_GB2312" w:hAnsi="宋体" w:eastAsia="仿宋_GB2312" w:cs="宋体"/>
                <w:color w:val="auto"/>
                <w:kern w:val="0"/>
                <w:sz w:val="18"/>
                <w:szCs w:val="18"/>
              </w:rPr>
              <w:t>0.2</w:t>
            </w:r>
            <w:r>
              <w:rPr>
                <w:rFonts w:hint="eastAsia" w:ascii="仿宋_GB2312" w:hAnsi="宋体" w:eastAsia="仿宋_GB2312" w:cs="宋体"/>
                <w:color w:val="auto"/>
                <w:kern w:val="0"/>
                <w:sz w:val="18"/>
                <w:szCs w:val="18"/>
              </w:rPr>
              <w:t>分，扣完为止。</w:t>
            </w:r>
            <w:r>
              <w:rPr>
                <w:rFonts w:ascii="仿宋_GB2312" w:hAnsi="宋体" w:eastAsia="仿宋_GB2312" w:cs="宋体"/>
                <w:color w:val="auto"/>
                <w:kern w:val="0"/>
                <w:sz w:val="18"/>
                <w:szCs w:val="18"/>
              </w:rPr>
              <w:t xml:space="preserve">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rPr>
                <w:rFonts w:ascii="仿宋_GB2312" w:hAnsi="宋体" w:eastAsia="仿宋_GB2312" w:cs="宋体"/>
                <w:color w:val="auto"/>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资产管理</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w:t>
            </w:r>
            <w:r>
              <w:rPr>
                <w:rFonts w:ascii="仿宋_GB2312" w:hAnsi="宋体" w:eastAsia="仿宋_GB2312" w:cs="宋体"/>
                <w:color w:val="auto"/>
                <w:kern w:val="0"/>
                <w:sz w:val="18"/>
                <w:szCs w:val="18"/>
              </w:rPr>
              <w:t>10</w:t>
            </w:r>
            <w:r>
              <w:rPr>
                <w:rFonts w:hint="eastAsia" w:ascii="仿宋_GB2312" w:hAnsi="宋体" w:eastAsia="仿宋_GB2312" w:cs="宋体"/>
                <w:color w:val="auto"/>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管理制度</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①已制定或具有资产管理制度，且相关资产管理制度合法、合规、完整，</w:t>
            </w:r>
            <w:r>
              <w:rPr>
                <w:rFonts w:ascii="仿宋_GB2312" w:hAnsi="宋体" w:eastAsia="仿宋_GB2312" w:cs="宋体"/>
                <w:color w:val="auto"/>
                <w:kern w:val="0"/>
                <w:sz w:val="18"/>
                <w:szCs w:val="18"/>
              </w:rPr>
              <w:t>2</w:t>
            </w:r>
            <w:r>
              <w:rPr>
                <w:rFonts w:hint="eastAsia" w:ascii="仿宋_GB2312" w:hAnsi="宋体" w:eastAsia="仿宋_GB2312" w:cs="宋体"/>
                <w:color w:val="auto"/>
                <w:kern w:val="0"/>
                <w:sz w:val="18"/>
                <w:szCs w:val="18"/>
              </w:rPr>
              <w:t>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②相关资产管理制度得到有效执行，</w:t>
            </w:r>
            <w:r>
              <w:rPr>
                <w:rFonts w:ascii="仿宋_GB2312" w:hAnsi="宋体" w:eastAsia="仿宋_GB2312" w:cs="宋体"/>
                <w:color w:val="auto"/>
                <w:kern w:val="0"/>
                <w:sz w:val="18"/>
                <w:szCs w:val="18"/>
              </w:rPr>
              <w:t>1</w:t>
            </w:r>
            <w:r>
              <w:rPr>
                <w:rFonts w:hint="eastAsia" w:ascii="仿宋_GB2312" w:hAnsi="宋体" w:eastAsia="仿宋_GB2312" w:cs="宋体"/>
                <w:color w:val="auto"/>
                <w:kern w:val="0"/>
                <w:sz w:val="18"/>
                <w:szCs w:val="18"/>
              </w:rPr>
              <w:t>分。</w:t>
            </w:r>
            <w:r>
              <w:rPr>
                <w:rFonts w:ascii="仿宋_GB2312" w:hAnsi="宋体" w:eastAsia="仿宋_GB2312" w:cs="宋体"/>
                <w:color w:val="auto"/>
                <w:kern w:val="0"/>
                <w:sz w:val="18"/>
                <w:szCs w:val="18"/>
              </w:rPr>
              <w:t xml:space="preserve">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rPr>
                <w:rFonts w:ascii="仿宋_GB2312" w:hAnsi="宋体" w:eastAsia="仿宋_GB2312" w:cs="宋体"/>
                <w:color w:val="auto"/>
                <w:sz w:val="18"/>
                <w:szCs w:val="18"/>
              </w:rPr>
            </w:pPr>
          </w:p>
        </w:tc>
      </w:tr>
    </w:tbl>
    <w:p>
      <w:pPr>
        <w:rPr>
          <w:color w:val="auto"/>
        </w:rPr>
      </w:pPr>
      <w:r>
        <w:rPr>
          <w:color w:val="auto"/>
        </w:rPr>
        <w:t xml:space="preserve">     </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tbl>
      <w:tblPr>
        <w:tblStyle w:val="6"/>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p>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color w:val="auto"/>
                <w:spacing w:val="-12"/>
                <w:kern w:val="0"/>
                <w:sz w:val="18"/>
                <w:szCs w:val="18"/>
              </w:rPr>
            </w:pPr>
            <w:r>
              <w:rPr>
                <w:rFonts w:hint="eastAsia" w:ascii="仿宋_GB2312" w:hAnsi="宋体" w:eastAsia="仿宋_GB2312" w:cs="宋体"/>
                <w:b/>
                <w:bCs/>
                <w:color w:val="auto"/>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过</w:t>
            </w:r>
            <w:r>
              <w:rPr>
                <w:rFonts w:ascii="仿宋_GB2312" w:hAnsi="宋体" w:eastAsia="仿宋_GB2312" w:cs="宋体"/>
                <w:color w:val="auto"/>
                <w:kern w:val="0"/>
                <w:sz w:val="18"/>
                <w:szCs w:val="18"/>
              </w:rPr>
              <w:t xml:space="preserve">  </w:t>
            </w:r>
            <w:r>
              <w:rPr>
                <w:rFonts w:hint="eastAsia" w:ascii="仿宋_GB2312" w:hAnsi="宋体" w:eastAsia="仿宋_GB2312" w:cs="宋体"/>
                <w:color w:val="auto"/>
                <w:kern w:val="0"/>
                <w:sz w:val="18"/>
                <w:szCs w:val="18"/>
              </w:rPr>
              <w:t>程</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w:t>
            </w:r>
            <w:r>
              <w:rPr>
                <w:rFonts w:ascii="仿宋_GB2312" w:hAnsi="宋体" w:eastAsia="仿宋_GB2312" w:cs="宋体"/>
                <w:color w:val="auto"/>
                <w:kern w:val="0"/>
                <w:sz w:val="18"/>
                <w:szCs w:val="18"/>
              </w:rPr>
              <w:t>40</w:t>
            </w:r>
            <w:r>
              <w:rPr>
                <w:rFonts w:hint="eastAsia" w:ascii="仿宋_GB2312" w:hAnsi="宋体" w:eastAsia="仿宋_GB2312" w:cs="宋体"/>
                <w:color w:val="auto"/>
                <w:kern w:val="0"/>
                <w:sz w:val="18"/>
                <w:szCs w:val="18"/>
              </w:rPr>
              <w:t>分）</w:t>
            </w:r>
          </w:p>
        </w:tc>
        <w:tc>
          <w:tcPr>
            <w:tcW w:w="93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资产管理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w:t>
            </w:r>
            <w:r>
              <w:rPr>
                <w:rFonts w:ascii="仿宋_GB2312" w:hAnsi="宋体" w:eastAsia="仿宋_GB2312" w:cs="宋体"/>
                <w:color w:val="auto"/>
                <w:kern w:val="0"/>
                <w:sz w:val="18"/>
                <w:szCs w:val="18"/>
              </w:rPr>
              <w:t>10</w:t>
            </w:r>
            <w:r>
              <w:rPr>
                <w:rFonts w:hint="eastAsia" w:ascii="仿宋_GB2312" w:hAnsi="宋体" w:eastAsia="仿宋_GB2312" w:cs="宋体"/>
                <w:color w:val="auto"/>
                <w:kern w:val="0"/>
                <w:sz w:val="18"/>
                <w:szCs w:val="18"/>
              </w:rPr>
              <w:t>分）</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资产管理</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安全性</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①资产保存完整；</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②资产配置合理；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③资产处置规范；</w:t>
            </w:r>
            <w:r>
              <w:rPr>
                <w:rFonts w:ascii="仿宋_GB2312" w:hAnsi="宋体" w:eastAsia="仿宋_GB2312" w:cs="宋体"/>
                <w:color w:val="auto"/>
                <w:kern w:val="0"/>
                <w:sz w:val="18"/>
                <w:szCs w:val="18"/>
              </w:rPr>
              <w:t xml:space="preserve"> </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④资产账务管理合规，帐实相符；</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⑤资产有偿使用及处置收入及时足额上缴；</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以上情况每出现一例不符合有关要求的扣</w:t>
            </w:r>
            <w:r>
              <w:rPr>
                <w:rFonts w:ascii="仿宋_GB2312" w:hAnsi="宋体" w:eastAsia="仿宋_GB2312" w:cs="宋体"/>
                <w:color w:val="auto"/>
                <w:kern w:val="0"/>
                <w:sz w:val="18"/>
                <w:szCs w:val="18"/>
              </w:rPr>
              <w:t>1</w:t>
            </w:r>
            <w:r>
              <w:rPr>
                <w:rFonts w:hint="eastAsia" w:ascii="仿宋_GB2312" w:hAnsi="宋体" w:eastAsia="仿宋_GB2312" w:cs="宋体"/>
                <w:color w:val="auto"/>
                <w:kern w:val="0"/>
                <w:sz w:val="18"/>
                <w:szCs w:val="18"/>
              </w:rPr>
              <w:t>分，扣完为止。</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固定资产</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利用率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每低于</w:t>
            </w:r>
            <w:r>
              <w:rPr>
                <w:rFonts w:ascii="仿宋_GB2312" w:hAnsi="宋体" w:eastAsia="仿宋_GB2312" w:cs="宋体"/>
                <w:color w:val="auto"/>
                <w:kern w:val="0"/>
                <w:sz w:val="18"/>
                <w:szCs w:val="18"/>
              </w:rPr>
              <w:t>100%</w:t>
            </w:r>
            <w:r>
              <w:rPr>
                <w:rFonts w:hint="eastAsia" w:ascii="仿宋_GB2312" w:hAnsi="宋体" w:eastAsia="仿宋_GB2312" w:cs="宋体"/>
                <w:color w:val="auto"/>
                <w:kern w:val="0"/>
                <w:sz w:val="18"/>
                <w:szCs w:val="18"/>
              </w:rPr>
              <w:t>一个百分点扣</w:t>
            </w:r>
            <w:r>
              <w:rPr>
                <w:rFonts w:ascii="仿宋_GB2312" w:hAnsi="宋体" w:eastAsia="仿宋_GB2312" w:cs="宋体"/>
                <w:color w:val="auto"/>
                <w:kern w:val="0"/>
                <w:sz w:val="18"/>
                <w:szCs w:val="18"/>
              </w:rPr>
              <w:t>0.1</w:t>
            </w:r>
            <w:r>
              <w:rPr>
                <w:rFonts w:hint="eastAsia" w:ascii="仿宋_GB2312" w:hAnsi="宋体" w:eastAsia="仿宋_GB2312" w:cs="宋体"/>
                <w:color w:val="auto"/>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产</w:t>
            </w:r>
            <w:r>
              <w:rPr>
                <w:rFonts w:ascii="仿宋_GB2312" w:hAnsi="宋体" w:eastAsia="仿宋_GB2312" w:cs="宋体"/>
                <w:color w:val="auto"/>
                <w:kern w:val="0"/>
                <w:sz w:val="18"/>
                <w:szCs w:val="18"/>
              </w:rPr>
              <w:t xml:space="preserve">  </w:t>
            </w:r>
            <w:r>
              <w:rPr>
                <w:rFonts w:hint="eastAsia" w:ascii="仿宋_GB2312" w:hAnsi="宋体" w:eastAsia="仿宋_GB2312" w:cs="宋体"/>
                <w:color w:val="auto"/>
                <w:kern w:val="0"/>
                <w:sz w:val="18"/>
                <w:szCs w:val="18"/>
              </w:rPr>
              <w:t>出（</w:t>
            </w:r>
            <w:r>
              <w:rPr>
                <w:rFonts w:ascii="仿宋_GB2312" w:hAnsi="宋体" w:eastAsia="仿宋_GB2312" w:cs="宋体"/>
                <w:color w:val="auto"/>
                <w:kern w:val="0"/>
                <w:sz w:val="18"/>
                <w:szCs w:val="18"/>
              </w:rPr>
              <w:t>25</w:t>
            </w:r>
            <w:r>
              <w:rPr>
                <w:rFonts w:hint="eastAsia" w:ascii="仿宋_GB2312" w:hAnsi="宋体" w:eastAsia="仿宋_GB2312" w:cs="宋体"/>
                <w:color w:val="auto"/>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职责履行</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w:t>
            </w:r>
            <w:r>
              <w:rPr>
                <w:rFonts w:ascii="仿宋_GB2312" w:hAnsi="宋体" w:eastAsia="仿宋_GB2312" w:cs="宋体"/>
                <w:color w:val="auto"/>
                <w:kern w:val="0"/>
                <w:sz w:val="18"/>
                <w:szCs w:val="18"/>
              </w:rPr>
              <w:t>25</w:t>
            </w:r>
            <w:r>
              <w:rPr>
                <w:rFonts w:hint="eastAsia" w:ascii="仿宋_GB2312" w:hAnsi="宋体" w:eastAsia="仿宋_GB2312" w:cs="宋体"/>
                <w:color w:val="auto"/>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根据岳县办发（</w:t>
            </w:r>
            <w:r>
              <w:rPr>
                <w:rFonts w:ascii="仿宋_GB2312" w:hAnsi="宋体" w:eastAsia="仿宋_GB2312" w:cs="宋体"/>
                <w:color w:val="auto"/>
                <w:kern w:val="0"/>
                <w:sz w:val="18"/>
                <w:szCs w:val="18"/>
              </w:rPr>
              <w:t>2019</w:t>
            </w:r>
            <w:r>
              <w:rPr>
                <w:rFonts w:hint="eastAsia" w:ascii="仿宋_GB2312" w:hAnsi="宋体" w:eastAsia="仿宋_GB2312" w:cs="宋体"/>
                <w:color w:val="auto"/>
                <w:kern w:val="0"/>
                <w:sz w:val="18"/>
                <w:szCs w:val="18"/>
              </w:rPr>
              <w:t>年）</w:t>
            </w:r>
            <w:r>
              <w:rPr>
                <w:rFonts w:ascii="仿宋_GB2312" w:hAnsi="宋体" w:eastAsia="仿宋_GB2312" w:cs="宋体"/>
                <w:color w:val="auto"/>
                <w:kern w:val="0"/>
                <w:sz w:val="18"/>
                <w:szCs w:val="18"/>
              </w:rPr>
              <w:t>1</w:t>
            </w:r>
            <w:r>
              <w:rPr>
                <w:rFonts w:hint="eastAsia" w:ascii="仿宋_GB2312" w:hAnsi="宋体" w:eastAsia="仿宋_GB2312" w:cs="宋体"/>
                <w:color w:val="auto"/>
                <w:kern w:val="0"/>
                <w:sz w:val="18"/>
                <w:szCs w:val="18"/>
              </w:rPr>
              <w:t>号《全面建成小康社会综合绩效考评实施方案》的通知折算</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建设湖南新增及目标任务完成情况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省市县重点民生实事完成情况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省市县重点工程和重大项目建设完成情况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效</w:t>
            </w:r>
            <w:r>
              <w:rPr>
                <w:rFonts w:ascii="仿宋_GB2312" w:hAnsi="宋体" w:eastAsia="仿宋_GB2312" w:cs="宋体"/>
                <w:color w:val="auto"/>
                <w:kern w:val="0"/>
                <w:sz w:val="18"/>
                <w:szCs w:val="18"/>
              </w:rPr>
              <w:t xml:space="preserve">  </w:t>
            </w:r>
            <w:r>
              <w:rPr>
                <w:rFonts w:hint="eastAsia" w:ascii="仿宋_GB2312" w:hAnsi="宋体" w:eastAsia="仿宋_GB2312" w:cs="宋体"/>
                <w:color w:val="auto"/>
                <w:kern w:val="0"/>
                <w:sz w:val="18"/>
                <w:szCs w:val="18"/>
              </w:rPr>
              <w:t>果</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w:t>
            </w:r>
            <w:r>
              <w:rPr>
                <w:rFonts w:ascii="仿宋_GB2312" w:hAnsi="宋体" w:eastAsia="仿宋_GB2312" w:cs="宋体"/>
                <w:color w:val="auto"/>
                <w:kern w:val="0"/>
                <w:sz w:val="18"/>
                <w:szCs w:val="18"/>
              </w:rPr>
              <w:t>20</w:t>
            </w:r>
            <w:r>
              <w:rPr>
                <w:rFonts w:hint="eastAsia" w:ascii="仿宋_GB2312" w:hAnsi="宋体" w:eastAsia="仿宋_GB2312" w:cs="宋体"/>
                <w:color w:val="auto"/>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履职效益</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w:t>
            </w:r>
            <w:r>
              <w:rPr>
                <w:rFonts w:ascii="仿宋_GB2312" w:hAnsi="宋体" w:eastAsia="仿宋_GB2312" w:cs="宋体"/>
                <w:color w:val="auto"/>
                <w:kern w:val="0"/>
                <w:sz w:val="18"/>
                <w:szCs w:val="18"/>
              </w:rPr>
              <w:t>20</w:t>
            </w:r>
            <w:r>
              <w:rPr>
                <w:rFonts w:hint="eastAsia" w:ascii="仿宋_GB2312" w:hAnsi="宋体" w:eastAsia="仿宋_GB2312" w:cs="宋体"/>
                <w:color w:val="auto"/>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61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95%</w:t>
            </w:r>
            <w:r>
              <w:rPr>
                <w:rFonts w:hint="eastAsia" w:ascii="仿宋_GB2312" w:hAnsi="宋体" w:eastAsia="仿宋_GB2312" w:cs="宋体"/>
                <w:color w:val="auto"/>
                <w:kern w:val="0"/>
                <w:sz w:val="18"/>
                <w:szCs w:val="18"/>
              </w:rPr>
              <w:t>（含）以上计</w:t>
            </w:r>
            <w:r>
              <w:rPr>
                <w:rFonts w:ascii="仿宋_GB2312" w:hAnsi="宋体" w:eastAsia="仿宋_GB2312" w:cs="宋体"/>
                <w:color w:val="auto"/>
                <w:kern w:val="0"/>
                <w:sz w:val="18"/>
                <w:szCs w:val="18"/>
              </w:rPr>
              <w:t>5</w:t>
            </w:r>
            <w:r>
              <w:rPr>
                <w:rFonts w:hint="eastAsia" w:ascii="仿宋_GB2312" w:hAnsi="宋体" w:eastAsia="仿宋_GB2312" w:cs="宋体"/>
                <w:color w:val="auto"/>
                <w:kern w:val="0"/>
                <w:sz w:val="18"/>
                <w:szCs w:val="18"/>
              </w:rPr>
              <w:t>分；</w:t>
            </w:r>
          </w:p>
          <w:p>
            <w:pPr>
              <w:widowControl/>
              <w:spacing w:line="240" w:lineRule="exact"/>
              <w:jc w:val="left"/>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85%</w:t>
            </w:r>
            <w:r>
              <w:rPr>
                <w:rFonts w:hint="eastAsia" w:ascii="仿宋_GB2312" w:hAnsi="宋体" w:eastAsia="仿宋_GB2312" w:cs="宋体"/>
                <w:color w:val="auto"/>
                <w:kern w:val="0"/>
                <w:sz w:val="18"/>
                <w:szCs w:val="18"/>
              </w:rPr>
              <w:t>（含）</w:t>
            </w:r>
            <w:r>
              <w:rPr>
                <w:rFonts w:ascii="仿宋_GB2312" w:hAnsi="宋体" w:eastAsia="仿宋_GB2312" w:cs="宋体"/>
                <w:color w:val="auto"/>
                <w:kern w:val="0"/>
                <w:sz w:val="18"/>
                <w:szCs w:val="18"/>
              </w:rPr>
              <w:t>-95%</w:t>
            </w:r>
            <w:r>
              <w:rPr>
                <w:rFonts w:hint="eastAsia" w:ascii="仿宋_GB2312" w:hAnsi="宋体" w:eastAsia="仿宋_GB2312" w:cs="宋体"/>
                <w:color w:val="auto"/>
                <w:kern w:val="0"/>
                <w:sz w:val="18"/>
                <w:szCs w:val="18"/>
              </w:rPr>
              <w:t>，计</w:t>
            </w:r>
            <w:r>
              <w:rPr>
                <w:rFonts w:ascii="仿宋_GB2312" w:hAnsi="宋体" w:eastAsia="仿宋_GB2312" w:cs="宋体"/>
                <w:color w:val="auto"/>
                <w:kern w:val="0"/>
                <w:sz w:val="18"/>
                <w:szCs w:val="18"/>
              </w:rPr>
              <w:t>3</w:t>
            </w:r>
            <w:r>
              <w:rPr>
                <w:rFonts w:hint="eastAsia" w:ascii="仿宋_GB2312" w:hAnsi="宋体" w:eastAsia="仿宋_GB2312" w:cs="宋体"/>
                <w:color w:val="auto"/>
                <w:kern w:val="0"/>
                <w:sz w:val="18"/>
                <w:szCs w:val="18"/>
              </w:rPr>
              <w:t>分；</w:t>
            </w:r>
          </w:p>
          <w:p>
            <w:pPr>
              <w:widowControl/>
              <w:spacing w:line="240" w:lineRule="exact"/>
              <w:jc w:val="left"/>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75%</w:t>
            </w:r>
            <w:r>
              <w:rPr>
                <w:rFonts w:hint="eastAsia" w:ascii="仿宋_GB2312" w:hAnsi="宋体" w:eastAsia="仿宋_GB2312" w:cs="宋体"/>
                <w:color w:val="auto"/>
                <w:kern w:val="0"/>
                <w:sz w:val="18"/>
                <w:szCs w:val="18"/>
              </w:rPr>
              <w:t>（含）</w:t>
            </w:r>
            <w:r>
              <w:rPr>
                <w:rFonts w:ascii="仿宋_GB2312" w:hAnsi="宋体" w:eastAsia="仿宋_GB2312" w:cs="宋体"/>
                <w:color w:val="auto"/>
                <w:kern w:val="0"/>
                <w:sz w:val="18"/>
                <w:szCs w:val="18"/>
              </w:rPr>
              <w:t>-85%</w:t>
            </w:r>
            <w:r>
              <w:rPr>
                <w:rFonts w:hint="eastAsia" w:ascii="仿宋_GB2312" w:hAnsi="宋体" w:eastAsia="仿宋_GB2312" w:cs="宋体"/>
                <w:color w:val="auto"/>
                <w:kern w:val="0"/>
                <w:sz w:val="18"/>
                <w:szCs w:val="18"/>
              </w:rPr>
              <w:t>，计</w:t>
            </w:r>
            <w:r>
              <w:rPr>
                <w:rFonts w:ascii="仿宋_GB2312" w:hAnsi="宋体" w:eastAsia="仿宋_GB2312" w:cs="宋体"/>
                <w:color w:val="auto"/>
                <w:kern w:val="0"/>
                <w:sz w:val="18"/>
                <w:szCs w:val="18"/>
              </w:rPr>
              <w:t>1</w:t>
            </w:r>
            <w:r>
              <w:rPr>
                <w:rFonts w:hint="eastAsia" w:ascii="仿宋_GB2312" w:hAnsi="宋体" w:eastAsia="仿宋_GB2312" w:cs="宋体"/>
                <w:color w:val="auto"/>
                <w:kern w:val="0"/>
                <w:sz w:val="18"/>
                <w:szCs w:val="18"/>
              </w:rPr>
              <w:t>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低于</w:t>
            </w:r>
            <w:r>
              <w:rPr>
                <w:rFonts w:ascii="仿宋_GB2312" w:hAnsi="宋体" w:eastAsia="仿宋_GB2312" w:cs="宋体"/>
                <w:color w:val="auto"/>
                <w:kern w:val="0"/>
                <w:sz w:val="18"/>
                <w:szCs w:val="18"/>
              </w:rPr>
              <w:t>75%</w:t>
            </w:r>
            <w:r>
              <w:rPr>
                <w:rFonts w:hint="eastAsia" w:ascii="仿宋_GB2312" w:hAnsi="宋体" w:eastAsia="仿宋_GB2312" w:cs="宋体"/>
                <w:color w:val="auto"/>
                <w:kern w:val="0"/>
                <w:sz w:val="18"/>
                <w:szCs w:val="18"/>
              </w:rPr>
              <w:t>计</w:t>
            </w:r>
            <w:r>
              <w:rPr>
                <w:rFonts w:ascii="仿宋_GB2312" w:hAnsi="宋体" w:eastAsia="仿宋_GB2312" w:cs="宋体"/>
                <w:color w:val="auto"/>
                <w:kern w:val="0"/>
                <w:sz w:val="18"/>
                <w:szCs w:val="18"/>
              </w:rPr>
              <w:t>0</w:t>
            </w:r>
            <w:r>
              <w:rPr>
                <w:rFonts w:hint="eastAsia" w:ascii="仿宋_GB2312" w:hAnsi="宋体" w:eastAsia="仿宋_GB2312" w:cs="宋体"/>
                <w:color w:val="auto"/>
                <w:kern w:val="0"/>
                <w:sz w:val="18"/>
                <w:szCs w:val="18"/>
              </w:rPr>
              <w:t>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社会公众满意度达到</w:t>
            </w:r>
            <w:r>
              <w:rPr>
                <w:rFonts w:ascii="仿宋_GB2312" w:hAnsi="宋体" w:eastAsia="仿宋_GB2312" w:cs="宋体"/>
                <w:color w:val="auto"/>
                <w:kern w:val="0"/>
                <w:sz w:val="18"/>
                <w:szCs w:val="18"/>
              </w:rPr>
              <w:t>95%</w:t>
            </w:r>
            <w:r>
              <w:rPr>
                <w:rFonts w:hint="eastAsia" w:ascii="仿宋_GB2312" w:hAnsi="宋体" w:eastAsia="仿宋_GB2312" w:cs="宋体"/>
                <w:color w:val="auto"/>
                <w:kern w:val="0"/>
                <w:sz w:val="18"/>
                <w:szCs w:val="18"/>
              </w:rPr>
              <w:t>以上</w:t>
            </w: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总</w:t>
            </w:r>
            <w:r>
              <w:rPr>
                <w:rFonts w:ascii="仿宋_GB2312" w:hAnsi="宋体" w:eastAsia="仿宋_GB2312" w:cs="宋体"/>
                <w:b/>
                <w:bCs/>
                <w:color w:val="auto"/>
                <w:kern w:val="0"/>
                <w:sz w:val="18"/>
                <w:szCs w:val="18"/>
              </w:rPr>
              <w:t xml:space="preserve"> </w:t>
            </w:r>
            <w:r>
              <w:rPr>
                <w:rFonts w:hint="eastAsia" w:ascii="仿宋_GB2312" w:hAnsi="宋体" w:eastAsia="仿宋_GB2312" w:cs="宋体"/>
                <w:b/>
                <w:bCs/>
                <w:color w:val="auto"/>
                <w:kern w:val="0"/>
                <w:sz w:val="18"/>
                <w:szCs w:val="18"/>
              </w:rPr>
              <w:t>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spacing w:val="-8"/>
                <w:kern w:val="0"/>
                <w:sz w:val="18"/>
                <w:szCs w:val="18"/>
              </w:rPr>
            </w:pPr>
            <w:r>
              <w:rPr>
                <w:rFonts w:ascii="仿宋_GB2312" w:hAnsi="宋体" w:eastAsia="仿宋_GB2312" w:cs="宋体"/>
                <w:b/>
                <w:bCs/>
                <w:color w:val="auto"/>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r>
              <w:rPr>
                <w:rFonts w:ascii="仿宋_GB2312" w:hAnsi="宋体" w:eastAsia="仿宋_GB2312" w:cs="宋体"/>
                <w:b/>
                <w:bCs/>
                <w:color w:val="auto"/>
                <w:kern w:val="0"/>
                <w:sz w:val="18"/>
                <w:szCs w:val="18"/>
              </w:rPr>
              <w:t>9</w:t>
            </w:r>
            <w:r>
              <w:rPr>
                <w:rFonts w:hint="eastAsia" w:ascii="仿宋_GB2312" w:hAnsi="宋体" w:eastAsia="仿宋_GB2312" w:cs="宋体"/>
                <w:b/>
                <w:bCs/>
                <w:color w:val="auto"/>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p>
        </w:tc>
      </w:tr>
    </w:tbl>
    <w:p>
      <w:pPr>
        <w:spacing w:beforeLines="50"/>
        <w:rPr>
          <w:rFonts w:ascii="黑体" w:hAnsi="黑体" w:eastAsia="黑体"/>
          <w:color w:val="auto"/>
          <w:sz w:val="32"/>
          <w:szCs w:val="32"/>
        </w:rPr>
      </w:pPr>
      <w:r>
        <w:rPr>
          <w:rFonts w:hint="eastAsia" w:ascii="仿宋_GB2312" w:hAnsi="宋体" w:eastAsia="仿宋_GB2312" w:cs="宋体"/>
          <w:color w:val="auto"/>
          <w:kern w:val="0"/>
          <w:szCs w:val="21"/>
        </w:rPr>
        <w:t>备注：如部门（单位）根据本部门实际情况修改调整了附件</w:t>
      </w:r>
      <w:r>
        <w:rPr>
          <w:rFonts w:ascii="仿宋_GB2312" w:hAnsi="宋体" w:eastAsia="仿宋_GB2312" w:cs="宋体"/>
          <w:color w:val="auto"/>
          <w:kern w:val="0"/>
          <w:szCs w:val="21"/>
        </w:rPr>
        <w:t>3</w:t>
      </w:r>
      <w:r>
        <w:rPr>
          <w:rFonts w:hint="eastAsia" w:ascii="仿宋_GB2312" w:hAnsi="宋体" w:eastAsia="仿宋_GB2312" w:cs="宋体"/>
          <w:color w:val="auto"/>
          <w:kern w:val="0"/>
          <w:szCs w:val="21"/>
        </w:rPr>
        <w:t>《部门整体支出绩效评价指标体系（参考样表）》，须相应修改调整本表中的对应部分。</w:t>
      </w:r>
    </w:p>
    <w:p>
      <w:pPr>
        <w:spacing w:beforeLines="50"/>
        <w:rPr>
          <w:rFonts w:ascii="黑体" w:hAnsi="黑体" w:eastAsia="黑体"/>
          <w:color w:val="auto"/>
          <w:sz w:val="32"/>
          <w:szCs w:val="32"/>
        </w:rPr>
      </w:pPr>
    </w:p>
    <w:p>
      <w:pPr>
        <w:rPr>
          <w:color w:val="auto"/>
        </w:rPr>
      </w:pPr>
    </w:p>
    <w:sectPr>
      <w:pgSz w:w="11906" w:h="16838"/>
      <w:pgMar w:top="1418" w:right="1361"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F"/>
    <w:multiLevelType w:val="singleLevel"/>
    <w:tmpl w:val="FFFFFF7F"/>
    <w:lvl w:ilvl="0" w:tentative="0">
      <w:start w:val="1"/>
      <w:numFmt w:val="decimal"/>
      <w:pStyle w:val="17"/>
      <w:lvlText w:val="%1."/>
      <w:lvlJc w:val="left"/>
      <w:pPr>
        <w:tabs>
          <w:tab w:val="left" w:pos="780"/>
        </w:tabs>
        <w:ind w:left="780" w:hanging="360"/>
      </w:pPr>
      <w:rPr>
        <w:rFonts w:cs="Times New Roman"/>
      </w:rPr>
    </w:lvl>
  </w:abstractNum>
  <w:abstractNum w:abstractNumId="1">
    <w:nsid w:val="00000008"/>
    <w:multiLevelType w:val="singleLevel"/>
    <w:tmpl w:val="00000008"/>
    <w:lvl w:ilvl="0" w:tentative="0">
      <w:start w:val="1"/>
      <w:numFmt w:val="chineseCounting"/>
      <w:suff w:val="nothing"/>
      <w:lvlText w:val="（%1）"/>
      <w:lvlJc w:val="left"/>
      <w:rPr>
        <w:rFonts w:cs="Times New Roman"/>
      </w:rPr>
    </w:lvl>
  </w:abstractNum>
  <w:abstractNum w:abstractNumId="2">
    <w:nsid w:val="0000000A"/>
    <w:multiLevelType w:val="singleLevel"/>
    <w:tmpl w:val="0000000A"/>
    <w:lvl w:ilvl="0" w:tentative="0">
      <w:start w:val="2"/>
      <w:numFmt w:val="chineseCounting"/>
      <w:suff w:val="nothing"/>
      <w:lvlText w:val="（%1）"/>
      <w:lvlJc w:val="left"/>
      <w:rPr>
        <w:rFonts w:cs="Times New Roman"/>
      </w:rPr>
    </w:lvl>
  </w:abstractNum>
  <w:abstractNum w:abstractNumId="3">
    <w:nsid w:val="0000000C"/>
    <w:multiLevelType w:val="singleLevel"/>
    <w:tmpl w:val="0000000C"/>
    <w:lvl w:ilvl="0" w:tentative="0">
      <w:start w:val="3"/>
      <w:numFmt w:val="decimal"/>
      <w:suff w:val="nothing"/>
      <w:lvlText w:val="%1、"/>
      <w:lvlJc w:val="left"/>
      <w:rPr>
        <w:rFonts w:cs="Times New Roman"/>
      </w:rPr>
    </w:lvl>
  </w:abstractNum>
  <w:abstractNum w:abstractNumId="4">
    <w:nsid w:val="0000000D"/>
    <w:multiLevelType w:val="singleLevel"/>
    <w:tmpl w:val="0000000D"/>
    <w:lvl w:ilvl="0" w:tentative="0">
      <w:start w:val="2"/>
      <w:numFmt w:val="decimal"/>
      <w:suff w:val="nothing"/>
      <w:lvlText w:val="%1、"/>
      <w:lvlJc w:val="left"/>
      <w:pPr>
        <w:ind w:left="360"/>
      </w:pPr>
      <w:rPr>
        <w:rFonts w:cs="Times New Roman"/>
      </w:rPr>
    </w:lvl>
  </w:abstractNum>
  <w:num w:numId="1">
    <w:abstractNumId w:val="0"/>
    <w:lvlOverride w:ilvl="0">
      <w:startOverride w:val="1"/>
    </w:lvlOverride>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2ViMDc4YmVjYmQwNTZkNDZkMGE3Y2Q5ZjMzMzQyODEifQ=="/>
  </w:docVars>
  <w:rsids>
    <w:rsidRoot w:val="00C854FD"/>
    <w:rsid w:val="0000241F"/>
    <w:rsid w:val="000056A6"/>
    <w:rsid w:val="00005A3B"/>
    <w:rsid w:val="00005BA8"/>
    <w:rsid w:val="0000610C"/>
    <w:rsid w:val="00014921"/>
    <w:rsid w:val="00036EA4"/>
    <w:rsid w:val="0005701C"/>
    <w:rsid w:val="00073AAF"/>
    <w:rsid w:val="000757F8"/>
    <w:rsid w:val="00090417"/>
    <w:rsid w:val="00093B20"/>
    <w:rsid w:val="000A0E5C"/>
    <w:rsid w:val="000B33C3"/>
    <w:rsid w:val="000B4BEB"/>
    <w:rsid w:val="000B7DCB"/>
    <w:rsid w:val="000E3309"/>
    <w:rsid w:val="00100175"/>
    <w:rsid w:val="00107CC6"/>
    <w:rsid w:val="00122C2E"/>
    <w:rsid w:val="0014350A"/>
    <w:rsid w:val="001442A2"/>
    <w:rsid w:val="00146C23"/>
    <w:rsid w:val="00151B82"/>
    <w:rsid w:val="00157862"/>
    <w:rsid w:val="001634CA"/>
    <w:rsid w:val="00165E89"/>
    <w:rsid w:val="0017192D"/>
    <w:rsid w:val="001977ED"/>
    <w:rsid w:val="001A21D5"/>
    <w:rsid w:val="001A709B"/>
    <w:rsid w:val="001B0CF4"/>
    <w:rsid w:val="001B1869"/>
    <w:rsid w:val="001B2F7F"/>
    <w:rsid w:val="001B4EA7"/>
    <w:rsid w:val="001C4AD7"/>
    <w:rsid w:val="001C5954"/>
    <w:rsid w:val="001E26FB"/>
    <w:rsid w:val="001E39C6"/>
    <w:rsid w:val="001F2104"/>
    <w:rsid w:val="001F4F64"/>
    <w:rsid w:val="002318F0"/>
    <w:rsid w:val="00232EF8"/>
    <w:rsid w:val="00235B3A"/>
    <w:rsid w:val="00240F9A"/>
    <w:rsid w:val="00242262"/>
    <w:rsid w:val="00250D52"/>
    <w:rsid w:val="00253B1F"/>
    <w:rsid w:val="00254CF8"/>
    <w:rsid w:val="00255404"/>
    <w:rsid w:val="00257206"/>
    <w:rsid w:val="00292AC1"/>
    <w:rsid w:val="0029605B"/>
    <w:rsid w:val="002969D6"/>
    <w:rsid w:val="002A1388"/>
    <w:rsid w:val="002B26F1"/>
    <w:rsid w:val="002B569D"/>
    <w:rsid w:val="002B7EF4"/>
    <w:rsid w:val="002C4D24"/>
    <w:rsid w:val="002D5840"/>
    <w:rsid w:val="00315C29"/>
    <w:rsid w:val="00317858"/>
    <w:rsid w:val="00321D2B"/>
    <w:rsid w:val="0033659F"/>
    <w:rsid w:val="00351AD3"/>
    <w:rsid w:val="00354479"/>
    <w:rsid w:val="00356458"/>
    <w:rsid w:val="0039290C"/>
    <w:rsid w:val="00392F62"/>
    <w:rsid w:val="00394BC2"/>
    <w:rsid w:val="003A2363"/>
    <w:rsid w:val="003A2FC5"/>
    <w:rsid w:val="003B7876"/>
    <w:rsid w:val="003E4F5E"/>
    <w:rsid w:val="004036B5"/>
    <w:rsid w:val="004222D1"/>
    <w:rsid w:val="00422E14"/>
    <w:rsid w:val="00430153"/>
    <w:rsid w:val="00432C79"/>
    <w:rsid w:val="00440BD4"/>
    <w:rsid w:val="004503BD"/>
    <w:rsid w:val="00461395"/>
    <w:rsid w:val="00466871"/>
    <w:rsid w:val="00477933"/>
    <w:rsid w:val="004A44EA"/>
    <w:rsid w:val="004A51DC"/>
    <w:rsid w:val="004A671C"/>
    <w:rsid w:val="004B76D6"/>
    <w:rsid w:val="004C73DE"/>
    <w:rsid w:val="004E0A8E"/>
    <w:rsid w:val="004E3BE9"/>
    <w:rsid w:val="005072C9"/>
    <w:rsid w:val="00513037"/>
    <w:rsid w:val="00516F00"/>
    <w:rsid w:val="005210E6"/>
    <w:rsid w:val="00530E15"/>
    <w:rsid w:val="005314BA"/>
    <w:rsid w:val="005422E5"/>
    <w:rsid w:val="0054679D"/>
    <w:rsid w:val="005477E5"/>
    <w:rsid w:val="00560BC9"/>
    <w:rsid w:val="00563755"/>
    <w:rsid w:val="00566F17"/>
    <w:rsid w:val="0058432F"/>
    <w:rsid w:val="005865B1"/>
    <w:rsid w:val="005954F8"/>
    <w:rsid w:val="005A3532"/>
    <w:rsid w:val="005B4076"/>
    <w:rsid w:val="005C1690"/>
    <w:rsid w:val="005C50B2"/>
    <w:rsid w:val="005C68D7"/>
    <w:rsid w:val="005E2BC7"/>
    <w:rsid w:val="005F6DB6"/>
    <w:rsid w:val="005F7931"/>
    <w:rsid w:val="00607401"/>
    <w:rsid w:val="006320B1"/>
    <w:rsid w:val="0064544F"/>
    <w:rsid w:val="00664E76"/>
    <w:rsid w:val="006841C9"/>
    <w:rsid w:val="00684E4B"/>
    <w:rsid w:val="00690485"/>
    <w:rsid w:val="00696545"/>
    <w:rsid w:val="006A5D82"/>
    <w:rsid w:val="006B6330"/>
    <w:rsid w:val="006D65AD"/>
    <w:rsid w:val="006E7307"/>
    <w:rsid w:val="006F5735"/>
    <w:rsid w:val="006F5FD4"/>
    <w:rsid w:val="007204BA"/>
    <w:rsid w:val="00720E8F"/>
    <w:rsid w:val="007225D2"/>
    <w:rsid w:val="00735258"/>
    <w:rsid w:val="00742DAE"/>
    <w:rsid w:val="007461B3"/>
    <w:rsid w:val="00764B34"/>
    <w:rsid w:val="00774D83"/>
    <w:rsid w:val="007829F0"/>
    <w:rsid w:val="007865A2"/>
    <w:rsid w:val="007C77EE"/>
    <w:rsid w:val="007D5B9F"/>
    <w:rsid w:val="007E1392"/>
    <w:rsid w:val="007E6513"/>
    <w:rsid w:val="007F487F"/>
    <w:rsid w:val="00815FBF"/>
    <w:rsid w:val="00840351"/>
    <w:rsid w:val="00841CD0"/>
    <w:rsid w:val="00847D60"/>
    <w:rsid w:val="00860AFD"/>
    <w:rsid w:val="008669D1"/>
    <w:rsid w:val="00873CD8"/>
    <w:rsid w:val="008A2E6B"/>
    <w:rsid w:val="008A7515"/>
    <w:rsid w:val="008C039F"/>
    <w:rsid w:val="008E1F76"/>
    <w:rsid w:val="008E2ACB"/>
    <w:rsid w:val="008E57E1"/>
    <w:rsid w:val="008F5E0B"/>
    <w:rsid w:val="009006A1"/>
    <w:rsid w:val="00900E3F"/>
    <w:rsid w:val="00925486"/>
    <w:rsid w:val="00952065"/>
    <w:rsid w:val="00956508"/>
    <w:rsid w:val="00957360"/>
    <w:rsid w:val="00962EF0"/>
    <w:rsid w:val="0097320B"/>
    <w:rsid w:val="00977F7F"/>
    <w:rsid w:val="009815AA"/>
    <w:rsid w:val="00982CDC"/>
    <w:rsid w:val="009863CE"/>
    <w:rsid w:val="00995ED0"/>
    <w:rsid w:val="00996441"/>
    <w:rsid w:val="009A298D"/>
    <w:rsid w:val="009B217B"/>
    <w:rsid w:val="009B50F2"/>
    <w:rsid w:val="009D2E85"/>
    <w:rsid w:val="009D5C2C"/>
    <w:rsid w:val="009D72EA"/>
    <w:rsid w:val="009E5A8A"/>
    <w:rsid w:val="009F3479"/>
    <w:rsid w:val="00A13259"/>
    <w:rsid w:val="00A16D05"/>
    <w:rsid w:val="00A30E83"/>
    <w:rsid w:val="00A4501D"/>
    <w:rsid w:val="00A51AA2"/>
    <w:rsid w:val="00A54BCA"/>
    <w:rsid w:val="00A61FD7"/>
    <w:rsid w:val="00A726C3"/>
    <w:rsid w:val="00A76673"/>
    <w:rsid w:val="00A87BCE"/>
    <w:rsid w:val="00A94900"/>
    <w:rsid w:val="00A96DDC"/>
    <w:rsid w:val="00AA3FFE"/>
    <w:rsid w:val="00AA565C"/>
    <w:rsid w:val="00AA68AE"/>
    <w:rsid w:val="00AB7085"/>
    <w:rsid w:val="00AD4448"/>
    <w:rsid w:val="00AE1B6C"/>
    <w:rsid w:val="00AE1CEC"/>
    <w:rsid w:val="00AE3F46"/>
    <w:rsid w:val="00AF11BE"/>
    <w:rsid w:val="00AF1FC0"/>
    <w:rsid w:val="00AF38EC"/>
    <w:rsid w:val="00B0185B"/>
    <w:rsid w:val="00B15F92"/>
    <w:rsid w:val="00B161A4"/>
    <w:rsid w:val="00B21CFD"/>
    <w:rsid w:val="00B41813"/>
    <w:rsid w:val="00B427C3"/>
    <w:rsid w:val="00B43845"/>
    <w:rsid w:val="00B608DB"/>
    <w:rsid w:val="00B92E17"/>
    <w:rsid w:val="00B9518E"/>
    <w:rsid w:val="00BA392F"/>
    <w:rsid w:val="00BB1C78"/>
    <w:rsid w:val="00BB378C"/>
    <w:rsid w:val="00BB3C71"/>
    <w:rsid w:val="00BB6CF4"/>
    <w:rsid w:val="00BD02C0"/>
    <w:rsid w:val="00BD1DDD"/>
    <w:rsid w:val="00C11953"/>
    <w:rsid w:val="00C12B4A"/>
    <w:rsid w:val="00C32332"/>
    <w:rsid w:val="00C3281A"/>
    <w:rsid w:val="00C33347"/>
    <w:rsid w:val="00C354BD"/>
    <w:rsid w:val="00C37D62"/>
    <w:rsid w:val="00C704A3"/>
    <w:rsid w:val="00C71B07"/>
    <w:rsid w:val="00C74701"/>
    <w:rsid w:val="00C81D9F"/>
    <w:rsid w:val="00C854FD"/>
    <w:rsid w:val="00C873D8"/>
    <w:rsid w:val="00C8756E"/>
    <w:rsid w:val="00C87FDB"/>
    <w:rsid w:val="00C921BC"/>
    <w:rsid w:val="00C94085"/>
    <w:rsid w:val="00C971C1"/>
    <w:rsid w:val="00C97C43"/>
    <w:rsid w:val="00CA1CF9"/>
    <w:rsid w:val="00CA6065"/>
    <w:rsid w:val="00CB088C"/>
    <w:rsid w:val="00CB1A56"/>
    <w:rsid w:val="00CB4149"/>
    <w:rsid w:val="00CC00C8"/>
    <w:rsid w:val="00CD1CCF"/>
    <w:rsid w:val="00CE54A6"/>
    <w:rsid w:val="00CE5516"/>
    <w:rsid w:val="00D22353"/>
    <w:rsid w:val="00D255AA"/>
    <w:rsid w:val="00D2793C"/>
    <w:rsid w:val="00D37C32"/>
    <w:rsid w:val="00D42C80"/>
    <w:rsid w:val="00D523D6"/>
    <w:rsid w:val="00D54888"/>
    <w:rsid w:val="00D54CCA"/>
    <w:rsid w:val="00D57623"/>
    <w:rsid w:val="00D77EE9"/>
    <w:rsid w:val="00D81B1D"/>
    <w:rsid w:val="00D96AE9"/>
    <w:rsid w:val="00DA0456"/>
    <w:rsid w:val="00DB5442"/>
    <w:rsid w:val="00DB7907"/>
    <w:rsid w:val="00DC10F5"/>
    <w:rsid w:val="00DD1EB3"/>
    <w:rsid w:val="00DF1C77"/>
    <w:rsid w:val="00E142CB"/>
    <w:rsid w:val="00E35E48"/>
    <w:rsid w:val="00E40ED6"/>
    <w:rsid w:val="00E4198B"/>
    <w:rsid w:val="00E63914"/>
    <w:rsid w:val="00E95B71"/>
    <w:rsid w:val="00EB35F4"/>
    <w:rsid w:val="00EC40AF"/>
    <w:rsid w:val="00EC4115"/>
    <w:rsid w:val="00EC6E79"/>
    <w:rsid w:val="00EC6F27"/>
    <w:rsid w:val="00ED7ACA"/>
    <w:rsid w:val="00EE315F"/>
    <w:rsid w:val="00EE67E1"/>
    <w:rsid w:val="00F435F8"/>
    <w:rsid w:val="00F46C79"/>
    <w:rsid w:val="00F60EC8"/>
    <w:rsid w:val="00F61205"/>
    <w:rsid w:val="00F766DE"/>
    <w:rsid w:val="00F81CBB"/>
    <w:rsid w:val="00F947E3"/>
    <w:rsid w:val="00FA6EE7"/>
    <w:rsid w:val="00FB16AF"/>
    <w:rsid w:val="00FB2BA1"/>
    <w:rsid w:val="00FD21C0"/>
    <w:rsid w:val="00FD708D"/>
    <w:rsid w:val="00FF2D16"/>
    <w:rsid w:val="00FF3258"/>
    <w:rsid w:val="00FF605E"/>
    <w:rsid w:val="06B70F10"/>
    <w:rsid w:val="070E0998"/>
    <w:rsid w:val="0C1A7C3F"/>
    <w:rsid w:val="0D8634E3"/>
    <w:rsid w:val="12B422BC"/>
    <w:rsid w:val="13DF3FBF"/>
    <w:rsid w:val="16A3408E"/>
    <w:rsid w:val="1AA876C9"/>
    <w:rsid w:val="1E577636"/>
    <w:rsid w:val="1FC9239C"/>
    <w:rsid w:val="21820F5A"/>
    <w:rsid w:val="21EE5B91"/>
    <w:rsid w:val="22E851DA"/>
    <w:rsid w:val="23BE0013"/>
    <w:rsid w:val="24455956"/>
    <w:rsid w:val="24832922"/>
    <w:rsid w:val="254A1F6B"/>
    <w:rsid w:val="28610884"/>
    <w:rsid w:val="2F0401BB"/>
    <w:rsid w:val="309F5B82"/>
    <w:rsid w:val="32C672E1"/>
    <w:rsid w:val="39BB27EC"/>
    <w:rsid w:val="3AED1D7A"/>
    <w:rsid w:val="3B6274FD"/>
    <w:rsid w:val="3BD54939"/>
    <w:rsid w:val="3BF834E8"/>
    <w:rsid w:val="3C6A6ECC"/>
    <w:rsid w:val="3D165E8C"/>
    <w:rsid w:val="499058C0"/>
    <w:rsid w:val="4A0B218D"/>
    <w:rsid w:val="4BC62A71"/>
    <w:rsid w:val="4CDE1450"/>
    <w:rsid w:val="4F7D1499"/>
    <w:rsid w:val="51E715BD"/>
    <w:rsid w:val="51F33551"/>
    <w:rsid w:val="529822AA"/>
    <w:rsid w:val="5B074521"/>
    <w:rsid w:val="5B2A2BD4"/>
    <w:rsid w:val="5BD118C2"/>
    <w:rsid w:val="5C705F60"/>
    <w:rsid w:val="6403624E"/>
    <w:rsid w:val="66223497"/>
    <w:rsid w:val="6B787F06"/>
    <w:rsid w:val="712B4B58"/>
    <w:rsid w:val="727726F6"/>
    <w:rsid w:val="731720F8"/>
    <w:rsid w:val="74AE3A4F"/>
    <w:rsid w:val="761B43D4"/>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name="Body Text Indent 2"/>
    <w:lsdException w:uiPriority="99" w:name="Body Text Indent 3"/>
    <w:lsdException w:uiPriority="99" w:name="Block Text"/>
    <w:lsdException w:qFormat="1" w:unhideWhenUsed="0" w:uiPriority="99" w:name="Hyperlink"/>
    <w:lsdException w:qFormat="1" w:unhideWhenUsed="0"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iPriority w:val="99"/>
    <w:pPr>
      <w:ind w:left="100" w:leftChars="2500"/>
    </w:pPr>
  </w:style>
  <w:style w:type="paragraph" w:styleId="3">
    <w:name w:val="Body Text Indent 2"/>
    <w:basedOn w:val="1"/>
    <w:link w:val="14"/>
    <w:semiHidden/>
    <w:qFormat/>
    <w:uiPriority w:val="99"/>
    <w:pPr>
      <w:ind w:firstLine="588" w:firstLineChars="200"/>
    </w:pPr>
    <w:rPr>
      <w:rFonts w:ascii="仿宋_GB2312" w:hAnsi="Calibri" w:eastAsia="仿宋_GB2312"/>
      <w:sz w:val="32"/>
    </w:rPr>
  </w:style>
  <w:style w:type="paragraph" w:styleId="4">
    <w:name w:val="footer"/>
    <w:basedOn w:val="1"/>
    <w:link w:val="12"/>
    <w:semiHidden/>
    <w:qFormat/>
    <w:uiPriority w:val="99"/>
    <w:pPr>
      <w:tabs>
        <w:tab w:val="center" w:pos="4153"/>
        <w:tab w:val="right" w:pos="8306"/>
      </w:tabs>
      <w:snapToGrid w:val="0"/>
      <w:jc w:val="left"/>
    </w:pPr>
    <w:rPr>
      <w:kern w:val="0"/>
      <w:sz w:val="18"/>
      <w:szCs w:val="18"/>
    </w:rPr>
  </w:style>
  <w:style w:type="paragraph" w:styleId="5">
    <w:name w:val="header"/>
    <w:basedOn w:val="1"/>
    <w:link w:val="10"/>
    <w:semiHidden/>
    <w:qFormat/>
    <w:uiPriority w:val="99"/>
    <w:pPr>
      <w:tabs>
        <w:tab w:val="center" w:pos="4153"/>
        <w:tab w:val="right" w:pos="8306"/>
      </w:tabs>
      <w:snapToGrid w:val="0"/>
      <w:jc w:val="center"/>
    </w:pPr>
    <w:rPr>
      <w:sz w:val="18"/>
      <w:szCs w:val="18"/>
    </w:rPr>
  </w:style>
  <w:style w:type="character" w:styleId="8">
    <w:name w:val="FollowedHyperlink"/>
    <w:basedOn w:val="7"/>
    <w:semiHidden/>
    <w:qFormat/>
    <w:uiPriority w:val="99"/>
    <w:rPr>
      <w:rFonts w:cs="Times New Roman"/>
      <w:color w:val="800080"/>
      <w:u w:val="single"/>
    </w:rPr>
  </w:style>
  <w:style w:type="character" w:styleId="9">
    <w:name w:val="Hyperlink"/>
    <w:basedOn w:val="7"/>
    <w:semiHidden/>
    <w:qFormat/>
    <w:uiPriority w:val="99"/>
    <w:rPr>
      <w:rFonts w:cs="Times New Roman"/>
      <w:color w:val="0000FF"/>
      <w:u w:val="single"/>
    </w:rPr>
  </w:style>
  <w:style w:type="character" w:customStyle="1" w:styleId="10">
    <w:name w:val="页眉 Char"/>
    <w:basedOn w:val="7"/>
    <w:link w:val="5"/>
    <w:semiHidden/>
    <w:qFormat/>
    <w:locked/>
    <w:uiPriority w:val="99"/>
    <w:rPr>
      <w:rFonts w:ascii="Times New Roman" w:hAnsi="Times New Roman" w:eastAsia="宋体" w:cs="Times New Roman"/>
      <w:sz w:val="18"/>
      <w:szCs w:val="18"/>
    </w:rPr>
  </w:style>
  <w:style w:type="character" w:customStyle="1" w:styleId="11">
    <w:name w:val="Footer Char"/>
    <w:basedOn w:val="7"/>
    <w:link w:val="4"/>
    <w:semiHidden/>
    <w:qFormat/>
    <w:locked/>
    <w:uiPriority w:val="99"/>
    <w:rPr>
      <w:rFonts w:ascii="Times New Roman" w:hAnsi="Times New Roman" w:eastAsia="宋体" w:cs="Times New Roman"/>
      <w:kern w:val="0"/>
      <w:sz w:val="18"/>
      <w:szCs w:val="18"/>
    </w:rPr>
  </w:style>
  <w:style w:type="character" w:customStyle="1" w:styleId="12">
    <w:name w:val="页脚 Char"/>
    <w:basedOn w:val="7"/>
    <w:link w:val="4"/>
    <w:semiHidden/>
    <w:qFormat/>
    <w:locked/>
    <w:uiPriority w:val="99"/>
    <w:rPr>
      <w:rFonts w:ascii="Times New Roman" w:hAnsi="Times New Roman" w:eastAsia="宋体" w:cs="Times New Roman"/>
      <w:sz w:val="18"/>
      <w:szCs w:val="18"/>
    </w:rPr>
  </w:style>
  <w:style w:type="character" w:customStyle="1" w:styleId="13">
    <w:name w:val="日期 Char"/>
    <w:basedOn w:val="7"/>
    <w:link w:val="2"/>
    <w:semiHidden/>
    <w:qFormat/>
    <w:locked/>
    <w:uiPriority w:val="99"/>
    <w:rPr>
      <w:rFonts w:ascii="Times New Roman" w:hAnsi="Times New Roman" w:eastAsia="宋体" w:cs="Times New Roman"/>
      <w:sz w:val="24"/>
      <w:szCs w:val="24"/>
    </w:rPr>
  </w:style>
  <w:style w:type="character" w:customStyle="1" w:styleId="14">
    <w:name w:val="正文文本缩进 2 Char"/>
    <w:basedOn w:val="7"/>
    <w:link w:val="3"/>
    <w:semiHidden/>
    <w:qFormat/>
    <w:locked/>
    <w:uiPriority w:val="99"/>
    <w:rPr>
      <w:rFonts w:ascii="仿宋_GB2312" w:hAnsi="Calibri" w:eastAsia="仿宋_GB2312" w:cs="Times New Roman"/>
      <w:sz w:val="24"/>
      <w:szCs w:val="24"/>
    </w:rPr>
  </w:style>
  <w:style w:type="paragraph" w:customStyle="1" w:styleId="15">
    <w:name w:val="Char"/>
    <w:basedOn w:val="1"/>
    <w:qFormat/>
    <w:uiPriority w:val="99"/>
    <w:pPr>
      <w:autoSpaceDE w:val="0"/>
      <w:autoSpaceDN w:val="0"/>
      <w:adjustRightInd w:val="0"/>
    </w:pPr>
    <w:rPr>
      <w:rFonts w:ascii="宋体" w:cs="宋体"/>
      <w:kern w:val="0"/>
      <w:sz w:val="20"/>
      <w:szCs w:val="20"/>
      <w:lang w:val="zh-CN"/>
    </w:rPr>
  </w:style>
  <w:style w:type="paragraph" w:customStyle="1" w:styleId="16">
    <w:name w:val="Char1"/>
    <w:basedOn w:val="1"/>
    <w:qFormat/>
    <w:uiPriority w:val="99"/>
    <w:rPr>
      <w:rFonts w:ascii="仿宋_GB2312" w:eastAsia="仿宋_GB2312"/>
      <w:sz w:val="32"/>
    </w:rPr>
  </w:style>
  <w:style w:type="paragraph" w:customStyle="1" w:styleId="17">
    <w:name w:val="Char Char Char Char Char Char Char Char Char Char Char Char1 Char Char Char Char"/>
    <w:basedOn w:val="1"/>
    <w:qFormat/>
    <w:uiPriority w:val="99"/>
    <w:pPr>
      <w:numPr>
        <w:ilvl w:val="0"/>
        <w:numId w:val="1"/>
      </w:numPr>
      <w:tabs>
        <w:tab w:val="left" w:pos="720"/>
      </w:tabs>
    </w:pPr>
    <w:rPr>
      <w:szCs w:val="20"/>
    </w:rPr>
  </w:style>
  <w:style w:type="character" w:customStyle="1" w:styleId="18">
    <w:name w:val="标题 3 Char Char"/>
    <w:qFormat/>
    <w:uiPriority w:val="99"/>
    <w:rPr>
      <w:rFonts w:ascii="楷体_GB2312" w:eastAsia="楷体_GB2312"/>
      <w:b/>
      <w:kern w:val="2"/>
      <w:sz w:val="24"/>
      <w:lang w:val="en-US" w:eastAsia="zh-CN"/>
    </w:rPr>
  </w:style>
  <w:style w:type="paragraph" w:customStyle="1" w:styleId="19">
    <w:name w:val="默认段落字体 Para Char Char Char Char Char Char Char"/>
    <w:basedOn w:val="1"/>
    <w:qFormat/>
    <w:uiPriority w:val="99"/>
    <w:rPr>
      <w:rFonts w:ascii="Calibri" w:hAnsi="Calibr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12</Pages>
  <Words>4361</Words>
  <Characters>4794</Characters>
  <Lines>14</Lines>
  <Paragraphs>12</Paragraphs>
  <TotalTime>3</TotalTime>
  <ScaleCrop>false</ScaleCrop>
  <LinksUpToDate>false</LinksUpToDate>
  <CharactersWithSpaces>5346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2020-05-20T01:02:00Z</dcterms:created>
  <dc:creator>许节来 10.105.116.156</dc:creator>
  <cp:lastModifiedBy>Administrator</cp:lastModifiedBy>
  <dcterms:modified xsi:type="dcterms:W3CDTF">2022-08-27T09:27:19Z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A540C1E62831465EB1B6D2D417B0BDC3</vt:lpwstr>
  </property>
</Properties>
</file>