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144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岳阳县病残吸毒人员收治中心单位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202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年</w:t>
      </w:r>
      <w:r>
        <w:rPr>
          <w:rFonts w:hint="eastAsia" w:ascii="微软雅黑" w:hAnsi="微软雅黑" w:eastAsia="微软雅黑" w:cs="微软雅黑"/>
          <w:kern w:val="0"/>
          <w:sz w:val="72"/>
          <w:szCs w:val="72"/>
        </w:rPr>
        <w:t>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单位预算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eastAsia="楷体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rFonts w:hint="eastAsia"/>
          <w:b/>
          <w:bCs/>
          <w:color w:val="auto"/>
          <w:kern w:val="0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44"/>
          <w:szCs w:val="44"/>
          <w:u w:val="none"/>
        </w:rPr>
      </w:pPr>
      <w:r>
        <w:rPr>
          <w:rFonts w:hint="eastAsia" w:ascii="黑体" w:hAnsi="黑体" w:eastAsia="黑体" w:cs="黑体"/>
          <w:color w:val="auto"/>
          <w:kern w:val="0"/>
          <w:sz w:val="44"/>
          <w:szCs w:val="44"/>
          <w:u w:val="none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b/>
          <w:bCs/>
          <w:color w:val="auto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  <w:u w:val="none"/>
        </w:rPr>
      </w:pPr>
      <w:r>
        <w:rPr>
          <w:rFonts w:hint="eastAsia" w:eastAsia="黑体" w:cs="黑体"/>
          <w:color w:val="auto"/>
          <w:kern w:val="0"/>
          <w:sz w:val="32"/>
          <w:szCs w:val="32"/>
          <w:u w:val="none"/>
        </w:rPr>
        <w:t>第一部分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eastAsia="zh-CN"/>
        </w:rPr>
        <w:t>202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eastAsia="zh-CN"/>
        </w:rPr>
        <w:t>年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val="en-US" w:eastAsia="zh-CN"/>
        </w:rPr>
        <w:t>单位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  <w:u w:val="none"/>
        </w:rPr>
      </w:pPr>
      <w:r>
        <w:rPr>
          <w:rFonts w:hint="eastAsia" w:eastAsia="黑体" w:cs="黑体"/>
          <w:color w:val="auto"/>
          <w:kern w:val="0"/>
          <w:sz w:val="32"/>
          <w:szCs w:val="32"/>
          <w:u w:val="none"/>
        </w:rPr>
        <w:t>第二部分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val="en-US" w:eastAsia="zh-CN"/>
        </w:rPr>
        <w:t xml:space="preserve">  单位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</w:rPr>
        <w:t>公开表格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1、收支总表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2、收入总表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3、支出总表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4、支出预算分类汇总表（按政府预算经济分类）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5、支出预算分类汇总表（按部门预算经济分类）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6、财政拨款收支总表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7、一般公共预算支出表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8、一般公共预算基本支出表-人员经费（工资福利支出）（按政府预算经济分类）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9、一般公共预算基本支出表-人员经费（工资福利支出）（按部门预算经济分类）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10、一般公共预算基本支出表-人员经费（对个人和家庭的补助）（按政府预算经济分类）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11、一般公共预算基本支出表-人员经费（对个人和家庭的补助）（按部门预算经济分类）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12、一般公共预算基本支出表-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公用</w:t>
      </w:r>
      <w:r>
        <w:rPr>
          <w:rFonts w:eastAsia="仿宋_GB2312"/>
          <w:color w:val="auto"/>
          <w:sz w:val="32"/>
          <w:szCs w:val="32"/>
          <w:u w:val="none"/>
        </w:rPr>
        <w:t>经费（商品和服务支出）（按政府预算经济分类）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13、一般公共预算基本支出表-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公用</w:t>
      </w:r>
      <w:r>
        <w:rPr>
          <w:rFonts w:eastAsia="仿宋_GB2312"/>
          <w:color w:val="auto"/>
          <w:sz w:val="32"/>
          <w:szCs w:val="32"/>
          <w:u w:val="none"/>
        </w:rPr>
        <w:t>经费（商品和服务支出）（按部门预算经济分类）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14、一般公共预算“三公”经费支出表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15、政府性基金预算支出表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16、政府性基金预算支出分类汇总表（按政府预算经济分类）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17、政府性基金预算支出分类汇总表（按部门预算经济分类）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18、国有资本经营预算支出表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19、财政专户管理资金预算支出表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20、专项资金预算汇总表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2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项目支出</w:t>
      </w:r>
      <w:r>
        <w:rPr>
          <w:rFonts w:eastAsia="仿宋_GB2312"/>
          <w:color w:val="auto"/>
          <w:sz w:val="32"/>
          <w:szCs w:val="32"/>
          <w:u w:val="none"/>
        </w:rPr>
        <w:t>绩效目标表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22、部门整体支出绩效目标表</w:t>
      </w:r>
    </w:p>
    <w:p>
      <w:pPr>
        <w:widowControl/>
        <w:spacing w:line="600" w:lineRule="exact"/>
        <w:ind w:firstLine="640" w:firstLineChars="200"/>
        <w:jc w:val="left"/>
        <w:rPr>
          <w:color w:val="auto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2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eastAsia="仿宋_GB2312"/>
          <w:color w:val="auto"/>
          <w:sz w:val="32"/>
          <w:szCs w:val="32"/>
          <w:u w:val="none"/>
        </w:rPr>
        <w:t>、</w:t>
      </w:r>
      <w:r>
        <w:rPr>
          <w:rFonts w:hint="eastAsia" w:eastAsia="仿宋_GB2312"/>
          <w:color w:val="auto"/>
          <w:sz w:val="32"/>
          <w:szCs w:val="32"/>
          <w:u w:val="none"/>
        </w:rPr>
        <w:t>其他资金绩效目标表</w:t>
      </w:r>
    </w:p>
    <w:p>
      <w:pPr>
        <w:widowControl/>
        <w:spacing w:line="600" w:lineRule="exact"/>
        <w:ind w:firstLine="643" w:firstLineChars="200"/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eastAsia="仿宋_GB2312"/>
          <w:b/>
          <w:bCs w:val="0"/>
          <w:color w:val="auto"/>
          <w:kern w:val="0"/>
          <w:sz w:val="32"/>
          <w:szCs w:val="32"/>
          <w:u w:val="none"/>
        </w:rPr>
        <w:t>注：以上</w:t>
      </w:r>
      <w:r>
        <w:rPr>
          <w:rFonts w:hint="eastAsia" w:eastAsia="仿宋_GB2312"/>
          <w:b/>
          <w:bCs w:val="0"/>
          <w:color w:val="auto"/>
          <w:kern w:val="0"/>
          <w:sz w:val="32"/>
          <w:szCs w:val="32"/>
          <w:u w:val="none"/>
          <w:lang w:val="en-US" w:eastAsia="zh-CN"/>
        </w:rPr>
        <w:t>单位</w:t>
      </w:r>
      <w:r>
        <w:rPr>
          <w:rFonts w:hint="eastAsia" w:eastAsia="仿宋_GB2312"/>
          <w:b/>
          <w:bCs w:val="0"/>
          <w:color w:val="auto"/>
          <w:kern w:val="0"/>
          <w:sz w:val="32"/>
          <w:szCs w:val="32"/>
          <w:u w:val="none"/>
          <w:lang w:eastAsia="zh-CN"/>
        </w:rPr>
        <w:t>预算</w:t>
      </w:r>
      <w:r>
        <w:rPr>
          <w:rFonts w:hint="eastAsia" w:eastAsia="仿宋_GB2312"/>
          <w:b/>
          <w:bCs w:val="0"/>
          <w:color w:val="auto"/>
          <w:kern w:val="0"/>
          <w:sz w:val="32"/>
          <w:szCs w:val="32"/>
          <w:u w:val="none"/>
          <w:lang w:val="en-US" w:eastAsia="zh-CN"/>
        </w:rPr>
        <w:t>公开</w:t>
      </w:r>
      <w:r>
        <w:rPr>
          <w:rFonts w:eastAsia="仿宋_GB2312"/>
          <w:b/>
          <w:bCs w:val="0"/>
          <w:color w:val="auto"/>
          <w:kern w:val="0"/>
          <w:sz w:val="32"/>
          <w:szCs w:val="32"/>
          <w:u w:val="none"/>
        </w:rPr>
        <w:t>报表中，空表表示本</w:t>
      </w:r>
      <w:r>
        <w:rPr>
          <w:rFonts w:hint="eastAsia" w:eastAsia="仿宋_GB2312"/>
          <w:b/>
          <w:bCs w:val="0"/>
          <w:color w:val="auto"/>
          <w:kern w:val="0"/>
          <w:sz w:val="32"/>
          <w:szCs w:val="32"/>
          <w:u w:val="none"/>
          <w:lang w:val="en-US" w:eastAsia="zh-CN"/>
        </w:rPr>
        <w:t>单位</w:t>
      </w:r>
      <w:r>
        <w:rPr>
          <w:rFonts w:eastAsia="仿宋_GB2312"/>
          <w:b/>
          <w:bCs w:val="0"/>
          <w:color w:val="auto"/>
          <w:kern w:val="0"/>
          <w:sz w:val="32"/>
          <w:szCs w:val="32"/>
          <w:u w:val="none"/>
        </w:rPr>
        <w:t>无相关收支情况。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color w:val="auto"/>
          <w:kern w:val="0"/>
          <w:sz w:val="32"/>
          <w:szCs w:val="32"/>
          <w:u w:val="none"/>
        </w:rPr>
      </w:pPr>
      <w:r>
        <w:rPr>
          <w:rFonts w:hint="eastAsia" w:eastAsia="黑体" w:cs="黑体"/>
          <w:color w:val="auto"/>
          <w:kern w:val="0"/>
          <w:sz w:val="32"/>
          <w:szCs w:val="32"/>
          <w:u w:val="none"/>
        </w:rPr>
        <w:br w:type="page"/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第一部分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eastAsia="zh-CN"/>
        </w:rPr>
        <w:t>202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eastAsia="zh-CN"/>
        </w:rPr>
        <w:t>年单位预算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一、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单位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（一）职能职责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楷体_GB2312"/>
          <w:b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1、对患有癌症、尿毒症、艾滋病等传染及严重疾病的吸、贩毒人员进行集中收治。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（二）机构设置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岳阳县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eastAsia="zh-CN"/>
        </w:rPr>
        <w:t>病残吸收人员收治中心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是岳阳县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eastAsia="zh-CN"/>
        </w:rPr>
        <w:t>司法局的二级机构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，主管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eastAsia="zh-CN"/>
        </w:rPr>
        <w:t>病残吸毒人员的收治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。收治中心现在职人员23人。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二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单位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</w:rPr>
        <w:t>（一）收入预算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包括一般公共预算、政府性基金、国有资本经营预算等财政拨款收入，以及经营收入、事业收入等单位资金。202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年本单位收入预算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374.14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万元，其中，一般公共预算拨款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374.14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万元，政府性基金预算拨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万元，国有资本经营预算拨款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万元，财政专户管理资金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万元，上级补助收入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万元，事业单位经营收入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万元，上年结转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79.06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万元。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见表2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。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“本单位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20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23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年没有政府性基金预算拨款和纳入专户管理的非税收入拨款收入，也没有使用政府性基金预算拨款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国有资本经营预算收入和纳入专户管理的非税收入拨款安排的支出，所以公开的附件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15-17（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政府性基金预算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18（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国有资本经营预算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19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表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财政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专户管理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资金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均为空。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”）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收入较去年增加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了123.5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万元，主要是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因为将上年结转结余纳入收支记算之中。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</w:rPr>
        <w:t>（二）支出预算</w:t>
      </w:r>
    </w:p>
    <w:p>
      <w:pPr>
        <w:widowControl/>
        <w:spacing w:line="600" w:lineRule="exact"/>
        <w:ind w:firstLine="627" w:firstLineChars="196"/>
        <w:jc w:val="left"/>
        <w:rPr>
          <w:rFonts w:hint="default" w:eastAsia="仿宋_GB2312" w:cs="仿宋_GB2312"/>
          <w:color w:val="auto"/>
          <w:kern w:val="0"/>
          <w:sz w:val="32"/>
          <w:szCs w:val="32"/>
          <w:u w:val="none"/>
          <w:lang w:val="en-US"/>
        </w:rPr>
      </w:pP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2023年本单位</w:t>
      </w:r>
      <w:r>
        <w:rPr>
          <w:rFonts w:eastAsia="仿宋_GB2312"/>
          <w:color w:val="auto"/>
          <w:sz w:val="32"/>
          <w:szCs w:val="32"/>
          <w:u w:val="none"/>
        </w:rPr>
        <w:t>支出预算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453.2</w:t>
      </w:r>
      <w:r>
        <w:rPr>
          <w:rFonts w:eastAsia="仿宋_GB2312"/>
          <w:color w:val="auto"/>
          <w:sz w:val="32"/>
          <w:szCs w:val="32"/>
          <w:u w:val="none"/>
        </w:rPr>
        <w:t>万元，其中，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公共安全支出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407.15</w:t>
      </w:r>
      <w:r>
        <w:rPr>
          <w:rFonts w:eastAsia="仿宋_GB2312"/>
          <w:color w:val="auto"/>
          <w:sz w:val="32"/>
          <w:szCs w:val="32"/>
          <w:u w:val="none"/>
        </w:rPr>
        <w:t>万元，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社会保障和就业支出20.33万元，卫生健康支出11.36万元，住房保障支出14.35万元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按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类级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功能科目列出支出预算明细，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u w:val="none"/>
          <w:lang w:val="en-US" w:eastAsia="zh-CN"/>
        </w:rPr>
        <w:t>见表6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eastAsia="仿宋_GB2312"/>
          <w:color w:val="auto"/>
          <w:sz w:val="32"/>
          <w:szCs w:val="32"/>
          <w:u w:val="none"/>
        </w:rPr>
        <w:t>。</w:t>
      </w:r>
      <w:r>
        <w:rPr>
          <w:rFonts w:hint="eastAsia" w:eastAsia="仿宋_GB2312"/>
          <w:color w:val="auto"/>
          <w:sz w:val="32"/>
          <w:szCs w:val="32"/>
          <w:u w:val="none"/>
        </w:rPr>
        <w:t>支出较去年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增加了123.5</w:t>
      </w:r>
      <w:r>
        <w:rPr>
          <w:rFonts w:hint="eastAsia" w:eastAsia="仿宋_GB2312"/>
          <w:color w:val="auto"/>
          <w:sz w:val="32"/>
          <w:szCs w:val="32"/>
          <w:u w:val="none"/>
        </w:rPr>
        <w:t>万元，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其中</w:t>
      </w:r>
      <w:r>
        <w:rPr>
          <w:rFonts w:hint="eastAsia" w:eastAsia="仿宋_GB2312"/>
          <w:color w:val="auto"/>
          <w:sz w:val="32"/>
          <w:szCs w:val="32"/>
          <w:u w:val="none"/>
        </w:rPr>
        <w:t>基本支出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增加了15.88</w:t>
      </w:r>
      <w:r>
        <w:rPr>
          <w:rFonts w:hint="eastAsia" w:eastAsia="仿宋_GB2312"/>
          <w:color w:val="auto"/>
          <w:sz w:val="32"/>
          <w:szCs w:val="32"/>
          <w:u w:val="none"/>
        </w:rPr>
        <w:t>万元，项目支出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107.62</w:t>
      </w:r>
      <w:r>
        <w:rPr>
          <w:rFonts w:hint="eastAsia" w:eastAsia="仿宋_GB2312"/>
          <w:color w:val="auto"/>
          <w:sz w:val="32"/>
          <w:szCs w:val="32"/>
          <w:u w:val="none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u w:val="none"/>
          <w:lang w:val="en-US" w:eastAsia="zh-CN"/>
        </w:rPr>
        <w:t>见表7、15、18、19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，将其基本支出、项目支出相加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/>
          <w:color w:val="auto"/>
          <w:sz w:val="32"/>
          <w:szCs w:val="32"/>
          <w:u w:val="none"/>
        </w:rPr>
        <w:t>。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其中基本支出较上年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增加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主要是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因为将公务交通补贴纳入预算，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项目支出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主要是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因为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将值班及加班津贴纳入预算。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三、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2023年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一般公共预算拨款支出预算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453.2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万元，其中</w:t>
      </w:r>
      <w:r>
        <w:rPr>
          <w:rFonts w:eastAsia="仿宋_GB2312"/>
          <w:color w:val="auto"/>
          <w:sz w:val="32"/>
          <w:szCs w:val="32"/>
          <w:u w:val="none"/>
        </w:rPr>
        <w:t>，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2040601行政运行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407.15</w:t>
      </w:r>
      <w:r>
        <w:rPr>
          <w:rFonts w:eastAsia="仿宋_GB2312"/>
          <w:color w:val="auto"/>
          <w:sz w:val="32"/>
          <w:szCs w:val="32"/>
          <w:u w:val="none"/>
        </w:rPr>
        <w:t>万元，占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89.84</w:t>
      </w:r>
      <w:r>
        <w:rPr>
          <w:rFonts w:hint="eastAsia" w:eastAsia="仿宋_GB2312"/>
          <w:color w:val="auto"/>
          <w:sz w:val="32"/>
          <w:szCs w:val="32"/>
          <w:u w:val="none"/>
        </w:rPr>
        <w:t>%</w:t>
      </w:r>
      <w:r>
        <w:rPr>
          <w:rFonts w:eastAsia="仿宋_GB2312"/>
          <w:color w:val="auto"/>
          <w:sz w:val="32"/>
          <w:szCs w:val="32"/>
          <w:u w:val="none"/>
        </w:rPr>
        <w:t>；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2080505机关事业单位基本养老保险缴费支出19.14万元，占4.22%；2089999其他社会保障和就业支出1.19万元，占0.26%；2101101 行政单位医疗支出11.36万元，占2.51%； 2210201 住房公积金支出14.35万元，占3.16%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u w:val="none"/>
          <w:lang w:val="en-US" w:eastAsia="zh-CN"/>
        </w:rPr>
        <w:t>见表7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）具体安排情况如下：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（一）基本支出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：2023年基本支出年初预算数为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271.58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u w:val="none"/>
          <w:lang w:val="en-US" w:eastAsia="zh-CN"/>
        </w:rPr>
        <w:t>见表5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hint="default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（二）项目支出：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2023年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项目支出年初预算数为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181.62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u w:val="none"/>
          <w:lang w:val="en-US" w:eastAsia="zh-CN"/>
        </w:rPr>
        <w:t>见表5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，是指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单位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为完成特定行政工作任务或事业发展目标而发生的支出，包括有关业务工作经费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  <w:u w:val="none"/>
        </w:rPr>
        <w:t>运行维护经费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等</w:t>
      </w:r>
      <w:r>
        <w:rPr>
          <w:rFonts w:hint="eastAsia" w:eastAsia="仿宋_GB2312"/>
          <w:color w:val="auto"/>
          <w:sz w:val="32"/>
          <w:szCs w:val="32"/>
          <w:u w:val="none"/>
        </w:rPr>
        <w:t>。其中：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收治中心运行68.53万元、伙食费84.53万元、值班及加班津贴28.56万元。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2023年政府性基金预算拨款支出预算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u w:val="none"/>
          <w:lang w:val="en-US" w:eastAsia="zh-CN"/>
        </w:rPr>
        <w:t xml:space="preserve">见表15 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)2023年度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无政府性基金安排的支出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所以公开的附件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15-17（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政府性基金预算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为空。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”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</w:rPr>
        <w:t>（一）机关运行经费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本单位2023年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机关运行经费当年一般公共预算拨款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26.88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u w:val="none"/>
          <w:lang w:val="en-US" w:eastAsia="zh-CN"/>
        </w:rPr>
        <w:t>见表13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，比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了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14.46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了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116.42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%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。主要原因是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公务交通补贴放在机关运行经费中计算。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</w:rPr>
        <w:t>（二）“三公”经费预算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本单位2023年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“三公”经费预算数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u w:val="none"/>
          <w:lang w:val="en-US" w:eastAsia="zh-CN"/>
        </w:rPr>
        <w:t>见表14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，其中，公务接待费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万元，因公出国（境）费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万元，公务用车购置及运行费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其中公务用车购置费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万元，公务用车运行费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与上年持平。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  <w:t>（三）一般性支出情况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本单位2023年会议费预算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u w:val="none"/>
          <w:lang w:val="en-US" w:eastAsia="zh-CN"/>
        </w:rPr>
        <w:t>见表13会议费+培训费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，拟召开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次会议，人数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人，培训费预算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  <w:t>（四）政府采购情况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本单位2023年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政府采购预算总额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18.35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万元，其中工程类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万元，货物类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17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万元，服务类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1.35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  <w:t>（五）国有资产占有使用及新增资产配置情况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截至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12月底，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共有车辆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辆，其中领导干部用车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辆，一般公务用车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辆，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其它用车0辆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。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单位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价值50万元以上通用设备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台，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单位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价值100万元以上专用设备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2023年</w:t>
      </w:r>
      <w:r>
        <w:rPr>
          <w:rFonts w:eastAsia="仿宋_GB2312"/>
          <w:bCs/>
          <w:color w:val="auto"/>
          <w:kern w:val="0"/>
          <w:sz w:val="32"/>
          <w:szCs w:val="32"/>
          <w:u w:val="none"/>
        </w:rPr>
        <w:t>拟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none"/>
          <w:lang w:eastAsia="zh-CN"/>
        </w:rPr>
        <w:t>报废处置公务用车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none"/>
          <w:lang w:val="en-US" w:eastAsia="zh-CN"/>
        </w:rPr>
        <w:t>0辆，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拟新增配置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车辆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辆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，其中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领导干部用车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辆，一般公务用车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辆，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其它用车0辆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2023年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拟新增配备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单位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价值50万元以上通用设备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台，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单位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价值100万元以上专用设备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台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color w:val="auto"/>
          <w:kern w:val="0"/>
          <w:sz w:val="36"/>
          <w:szCs w:val="36"/>
          <w:u w:val="none"/>
          <w:lang w:val="en-US"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“2023年度本单位未计划处置或新增车辆、设备等。”）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  <w:t>（六）预算绩效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目标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仿宋_GB2312"/>
          <w:bCs/>
          <w:color w:val="auto"/>
          <w:kern w:val="0"/>
          <w:sz w:val="32"/>
          <w:szCs w:val="32"/>
          <w:u w:val="none"/>
          <w:lang w:eastAsia="zh-CN"/>
        </w:rPr>
        <w:t>本单位</w:t>
      </w:r>
      <w:r>
        <w:rPr>
          <w:rFonts w:eastAsia="仿宋_GB2312"/>
          <w:bCs/>
          <w:color w:val="auto"/>
          <w:kern w:val="0"/>
          <w:sz w:val="32"/>
          <w:szCs w:val="32"/>
          <w:u w:val="none"/>
        </w:rPr>
        <w:t>所有支出实行绩效目标管理。纳入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none"/>
          <w:lang w:eastAsia="zh-CN"/>
        </w:rPr>
        <w:t>2023年单位</w:t>
      </w:r>
      <w:r>
        <w:rPr>
          <w:rFonts w:eastAsia="仿宋_GB2312"/>
          <w:bCs/>
          <w:color w:val="auto"/>
          <w:kern w:val="0"/>
          <w:sz w:val="32"/>
          <w:szCs w:val="32"/>
          <w:u w:val="none"/>
        </w:rPr>
        <w:t>整体支出绩效目标的金额为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453.2</w:t>
      </w:r>
      <w:r>
        <w:rPr>
          <w:rFonts w:eastAsia="仿宋_GB2312"/>
          <w:bCs/>
          <w:color w:val="auto"/>
          <w:kern w:val="0"/>
          <w:sz w:val="32"/>
          <w:szCs w:val="32"/>
          <w:u w:val="none"/>
        </w:rPr>
        <w:t>万元，其中，基本支出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271.58</w:t>
      </w:r>
      <w:r>
        <w:rPr>
          <w:rFonts w:eastAsia="仿宋_GB2312"/>
          <w:bCs/>
          <w:color w:val="auto"/>
          <w:kern w:val="0"/>
          <w:sz w:val="32"/>
          <w:szCs w:val="32"/>
          <w:u w:val="none"/>
        </w:rPr>
        <w:t>万元，项目支出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181.62</w:t>
      </w:r>
      <w:r>
        <w:rPr>
          <w:rFonts w:eastAsia="仿宋_GB2312"/>
          <w:bCs/>
          <w:color w:val="auto"/>
          <w:kern w:val="0"/>
          <w:sz w:val="32"/>
          <w:szCs w:val="32"/>
          <w:u w:val="none"/>
        </w:rPr>
        <w:t>元，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详见文尾附表中单位预算公开表格的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表21-23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u w:val="none"/>
        </w:rPr>
        <w:t>1、机关运行经费：是指各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单位</w:t>
      </w:r>
      <w:r>
        <w:rPr>
          <w:rFonts w:hint="eastAsia" w:eastAsia="仿宋_GB2312"/>
          <w:color w:val="auto"/>
          <w:kern w:val="0"/>
          <w:sz w:val="32"/>
          <w:szCs w:val="32"/>
          <w:u w:val="none"/>
        </w:rPr>
        <w:t>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u w:val="none"/>
        </w:rPr>
        <w:t>2、“三公”经费：纳入财政预算管理的“三公“经费，是指用一般公共预算拨款安排的公务接待费、公务用车购置及运行维护费和因公出国（境）费。其中，公务接待费反映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单位</w:t>
      </w:r>
      <w:r>
        <w:rPr>
          <w:rFonts w:hint="eastAsia" w:eastAsia="仿宋_GB2312"/>
          <w:color w:val="auto"/>
          <w:kern w:val="0"/>
          <w:sz w:val="32"/>
          <w:szCs w:val="32"/>
          <w:u w:val="none"/>
        </w:rPr>
        <w:t>按规定开支的各类公务接待支出；公务用车购置及运行费反映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单位</w:t>
      </w:r>
      <w:r>
        <w:rPr>
          <w:rFonts w:hint="eastAsia" w:eastAsia="仿宋_GB2312"/>
          <w:color w:val="auto"/>
          <w:kern w:val="0"/>
          <w:sz w:val="32"/>
          <w:szCs w:val="32"/>
          <w:u w:val="none"/>
        </w:rPr>
        <w:t>公务用车车辆购置支出（含车辆购置税），以及燃料费、维修费、保险费等支出；因公出国（境）费反映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单位</w:t>
      </w:r>
      <w:r>
        <w:rPr>
          <w:rFonts w:hint="eastAsia" w:eastAsia="仿宋_GB2312"/>
          <w:color w:val="auto"/>
          <w:kern w:val="0"/>
          <w:sz w:val="32"/>
          <w:szCs w:val="32"/>
          <w:u w:val="none"/>
        </w:rPr>
        <w:t>公务出国（境）的国际旅费、国外城市间交通费、食宿费等支出。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黑体" w:cs="黑体"/>
          <w:color w:val="auto"/>
          <w:kern w:val="0"/>
          <w:sz w:val="32"/>
          <w:szCs w:val="32"/>
          <w:u w:val="none"/>
        </w:rPr>
        <w:br w:type="page"/>
      </w:r>
      <w:r>
        <w:rPr>
          <w:rFonts w:hint="eastAsia" w:eastAsia="黑体" w:cs="黑体"/>
          <w:color w:val="auto"/>
          <w:kern w:val="0"/>
          <w:sz w:val="32"/>
          <w:szCs w:val="32"/>
          <w:u w:val="none"/>
        </w:rPr>
        <w:t>第二部分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eastAsia="zh-CN"/>
        </w:rPr>
        <w:t>单位预算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val="en-US" w:eastAsia="zh-CN"/>
        </w:rPr>
        <w:t>公开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</w:rPr>
        <w:t>表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val="en-US" w:eastAsia="zh-CN"/>
        </w:rPr>
        <w:t>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11520" w:firstLineChars="3600"/>
        <w:textAlignment w:val="auto"/>
        <w:rPr>
          <w:rFonts w:hint="default" w:eastAsia="黑体" w:cs="黑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黑体" w:cs="黑体"/>
          <w:color w:val="auto"/>
          <w:kern w:val="0"/>
          <w:sz w:val="32"/>
          <w:szCs w:val="32"/>
          <w:u w:val="none"/>
          <w:lang w:eastAsia="zh-CN"/>
        </w:rPr>
        <w:t>附件：岳阳县病残吸毒人员收治中心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val="en-US" w:eastAsia="zh-CN"/>
        </w:rPr>
        <w:t>预算公开表格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035CDBB-D22D-43C7-99E4-820846F6938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94A6864F-B598-477A-89A0-29325D26788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1B75DF35-78C2-4FFE-BC27-33AC7CB5E19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D278059-3264-438D-8D61-A28D08684EE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9F18F8DF-93AD-4CBB-BF3E-6B3CA6C8B12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7BF0BCD4-B832-4915-9C0D-2E5FF7285552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ODQ2YmE4YjQ2ODA4MDViYTI4N2EzZDA0MTFhZjMifQ=="/>
  </w:docVars>
  <w:rsids>
    <w:rsidRoot w:val="00CA5057"/>
    <w:rsid w:val="00001697"/>
    <w:rsid w:val="000034D6"/>
    <w:rsid w:val="0006270B"/>
    <w:rsid w:val="00065DA2"/>
    <w:rsid w:val="00117900"/>
    <w:rsid w:val="001336FC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44D3D"/>
    <w:rsid w:val="003457B4"/>
    <w:rsid w:val="00355284"/>
    <w:rsid w:val="003C0AE2"/>
    <w:rsid w:val="003C0E16"/>
    <w:rsid w:val="003C62F5"/>
    <w:rsid w:val="003E6642"/>
    <w:rsid w:val="00452611"/>
    <w:rsid w:val="00464A20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E6320"/>
    <w:rsid w:val="006137D9"/>
    <w:rsid w:val="00617392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43CB"/>
    <w:rsid w:val="0093410B"/>
    <w:rsid w:val="00990520"/>
    <w:rsid w:val="00995AF1"/>
    <w:rsid w:val="009D1CA3"/>
    <w:rsid w:val="009D450C"/>
    <w:rsid w:val="009E5041"/>
    <w:rsid w:val="009E7921"/>
    <w:rsid w:val="00A0350C"/>
    <w:rsid w:val="00A03C0E"/>
    <w:rsid w:val="00A867C6"/>
    <w:rsid w:val="00AA481C"/>
    <w:rsid w:val="00AB576D"/>
    <w:rsid w:val="00AB6861"/>
    <w:rsid w:val="00AC160E"/>
    <w:rsid w:val="00B0403C"/>
    <w:rsid w:val="00B21CBD"/>
    <w:rsid w:val="00B366B4"/>
    <w:rsid w:val="00B445A6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A5C43"/>
    <w:rsid w:val="00EC052E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154000B"/>
    <w:rsid w:val="025F6535"/>
    <w:rsid w:val="02696A24"/>
    <w:rsid w:val="02DF562C"/>
    <w:rsid w:val="032D48E5"/>
    <w:rsid w:val="039837D0"/>
    <w:rsid w:val="04497920"/>
    <w:rsid w:val="05DA1096"/>
    <w:rsid w:val="069419C6"/>
    <w:rsid w:val="081929B8"/>
    <w:rsid w:val="08281851"/>
    <w:rsid w:val="08A36CAE"/>
    <w:rsid w:val="0AF15A72"/>
    <w:rsid w:val="0C0C6008"/>
    <w:rsid w:val="0C4F7AFC"/>
    <w:rsid w:val="0D5B6622"/>
    <w:rsid w:val="0E064421"/>
    <w:rsid w:val="0ED234CD"/>
    <w:rsid w:val="0EE44EC8"/>
    <w:rsid w:val="0F654CC7"/>
    <w:rsid w:val="0F9951B2"/>
    <w:rsid w:val="0F9E0A26"/>
    <w:rsid w:val="119B7DE2"/>
    <w:rsid w:val="12A61E39"/>
    <w:rsid w:val="15D9563A"/>
    <w:rsid w:val="174A36DB"/>
    <w:rsid w:val="189D68C0"/>
    <w:rsid w:val="19420C90"/>
    <w:rsid w:val="19D5374E"/>
    <w:rsid w:val="1A0B1C7C"/>
    <w:rsid w:val="1AB77AA9"/>
    <w:rsid w:val="1AC31CB7"/>
    <w:rsid w:val="1BEF6124"/>
    <w:rsid w:val="1C8E7152"/>
    <w:rsid w:val="1F1F1226"/>
    <w:rsid w:val="1F884BDD"/>
    <w:rsid w:val="2268336E"/>
    <w:rsid w:val="23346D9D"/>
    <w:rsid w:val="253C6407"/>
    <w:rsid w:val="26570D53"/>
    <w:rsid w:val="27D848B8"/>
    <w:rsid w:val="2905456B"/>
    <w:rsid w:val="2CDB483B"/>
    <w:rsid w:val="2FBA66EC"/>
    <w:rsid w:val="2FC40521"/>
    <w:rsid w:val="30546E25"/>
    <w:rsid w:val="31FE5924"/>
    <w:rsid w:val="3405688C"/>
    <w:rsid w:val="34E11E02"/>
    <w:rsid w:val="387A2C6F"/>
    <w:rsid w:val="388764A3"/>
    <w:rsid w:val="3AD60BC6"/>
    <w:rsid w:val="3BC82B6A"/>
    <w:rsid w:val="3CC66D60"/>
    <w:rsid w:val="3E4D3BDD"/>
    <w:rsid w:val="41DA7DB9"/>
    <w:rsid w:val="447637E8"/>
    <w:rsid w:val="49EF4858"/>
    <w:rsid w:val="4AE9742D"/>
    <w:rsid w:val="4B8D7D45"/>
    <w:rsid w:val="4BA67C06"/>
    <w:rsid w:val="4BBE68F1"/>
    <w:rsid w:val="4BC94D4F"/>
    <w:rsid w:val="4C393985"/>
    <w:rsid w:val="4CA46ED7"/>
    <w:rsid w:val="4D013E21"/>
    <w:rsid w:val="4D057467"/>
    <w:rsid w:val="4D8D7228"/>
    <w:rsid w:val="4DDD2C7F"/>
    <w:rsid w:val="4E251660"/>
    <w:rsid w:val="4EC83910"/>
    <w:rsid w:val="4F1826FF"/>
    <w:rsid w:val="50103163"/>
    <w:rsid w:val="506C2AB0"/>
    <w:rsid w:val="52901CCB"/>
    <w:rsid w:val="53344C63"/>
    <w:rsid w:val="55295806"/>
    <w:rsid w:val="55D3446A"/>
    <w:rsid w:val="593F63D3"/>
    <w:rsid w:val="5B2B638A"/>
    <w:rsid w:val="5B35798F"/>
    <w:rsid w:val="5B423ECD"/>
    <w:rsid w:val="5C637526"/>
    <w:rsid w:val="5CDA4DA9"/>
    <w:rsid w:val="5E1F6786"/>
    <w:rsid w:val="5F9A4160"/>
    <w:rsid w:val="601B6F8F"/>
    <w:rsid w:val="60252573"/>
    <w:rsid w:val="62606C2B"/>
    <w:rsid w:val="62820F98"/>
    <w:rsid w:val="64035B71"/>
    <w:rsid w:val="64DB31B9"/>
    <w:rsid w:val="681842B0"/>
    <w:rsid w:val="6AE87D9C"/>
    <w:rsid w:val="6B61739E"/>
    <w:rsid w:val="6BE73A4A"/>
    <w:rsid w:val="6CCD20F0"/>
    <w:rsid w:val="6F8561D3"/>
    <w:rsid w:val="70271B5B"/>
    <w:rsid w:val="70A379FF"/>
    <w:rsid w:val="71AC0C24"/>
    <w:rsid w:val="731F06ED"/>
    <w:rsid w:val="73473B43"/>
    <w:rsid w:val="773C67F0"/>
    <w:rsid w:val="797C5CDA"/>
    <w:rsid w:val="7B2B3AD3"/>
    <w:rsid w:val="7DFA5EB0"/>
    <w:rsid w:val="7E3E736E"/>
    <w:rsid w:val="7F0C63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Body Text"/>
    <w:basedOn w:val="1"/>
    <w:link w:val="1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Body Text Char"/>
    <w:basedOn w:val="10"/>
    <w:link w:val="3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Date Char"/>
    <w:basedOn w:val="10"/>
    <w:link w:val="4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3">
    <w:name w:val="Balloon Text Char"/>
    <w:basedOn w:val="10"/>
    <w:link w:val="5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oter Char"/>
    <w:basedOn w:val="10"/>
    <w:link w:val="6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Header Char"/>
    <w:basedOn w:val="10"/>
    <w:link w:val="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表格内容"/>
    <w:basedOn w:val="3"/>
    <w:qFormat/>
    <w:uiPriority w:val="0"/>
    <w:pPr>
      <w:suppressLineNumbers/>
      <w:suppressAutoHyphens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9</Pages>
  <Words>2583</Words>
  <Characters>2871</Characters>
  <Lines>38</Lines>
  <Paragraphs>10</Paragraphs>
  <TotalTime>17</TotalTime>
  <ScaleCrop>false</ScaleCrop>
  <LinksUpToDate>false</LinksUpToDate>
  <CharactersWithSpaces>2898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2018-08-09T00:21:00Z</dcterms:created>
  <dc:creator>周继恩 10.105.113.143</dc:creator>
  <cp:lastModifiedBy>Administrator</cp:lastModifiedBy>
  <cp:lastPrinted>2019-05-05T07:55:00Z</cp:lastPrinted>
  <dcterms:modified xsi:type="dcterms:W3CDTF">2023-03-20T07:17:02Z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EDDE09FB254A48578C82330D672C7C94</vt:lpwstr>
  </property>
</Properties>
</file>