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textAlignment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岳阳县文联2021年整体绩效自评报告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部门(单位)名称：岳阳县文学艺界联合会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预算编码：506001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评价方式：岳阳县文学艺界联合会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评价机构：岳阳县文学艺界联合会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报告日期：2022年6月20日</w:t>
      </w:r>
    </w:p>
    <w:tbl>
      <w:tblPr>
        <w:tblW w:w="858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764"/>
        <w:gridCol w:w="478"/>
        <w:gridCol w:w="839"/>
        <w:gridCol w:w="404"/>
        <w:gridCol w:w="750"/>
        <w:gridCol w:w="270"/>
        <w:gridCol w:w="1018"/>
        <w:gridCol w:w="973"/>
        <w:gridCol w:w="314"/>
        <w:gridCol w:w="314"/>
        <w:gridCol w:w="673"/>
        <w:gridCol w:w="329"/>
        <w:gridCol w:w="210"/>
        <w:gridCol w:w="389"/>
        <w:gridCol w:w="8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联系人</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李胜军</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联络电话</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13873077718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人员编制</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4</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实有人数</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职能职责概述</w:t>
            </w:r>
          </w:p>
        </w:tc>
        <w:tc>
          <w:tcPr>
            <w:tcW w:w="7320"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1、贯彻执行党和国家关于文艺工作的方针、政策 2、组织全县文学艺术创作，扶植新人新作3、开展少而精的文艺活动；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43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工作内容</w:t>
            </w:r>
          </w:p>
        </w:tc>
        <w:tc>
          <w:tcPr>
            <w:tcW w:w="7320"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1、在省级以上发表有影响的文艺作品3篇，在市级以上发表有影响的作品9篇。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2、编辑出版《巴陵文学》《巴陵诗词》《巴陵楹联》等杂志。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3、大力开展文学艺术创作及采风活动。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4、开展学习交流活动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9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年度部门（单位）总体运行情况及取得的成绩</w:t>
            </w:r>
          </w:p>
        </w:tc>
        <w:tc>
          <w:tcPr>
            <w:tcW w:w="7320"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2021 年度县文联总体运行情况良好，圆满完成了预定的各项工作任务。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机构名称</w:t>
            </w:r>
          </w:p>
        </w:tc>
        <w:tc>
          <w:tcPr>
            <w:tcW w:w="123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收入合计</w:t>
            </w:r>
          </w:p>
        </w:tc>
        <w:tc>
          <w:tcPr>
            <w:tcW w:w="6090"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60" w:hRule="atLeast"/>
        </w:trPr>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23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上年结转</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政拨款</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政府基金拨款</w:t>
            </w:r>
          </w:p>
        </w:tc>
        <w:tc>
          <w:tcPr>
            <w:tcW w:w="163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纳入专户管理的非税收入拨款</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局机关及二级机构汇总</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118.91</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 8.41</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105.5</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63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1、局机关</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118.91</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 8.41</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105.5</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63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2、二级机构1</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63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3、二级机构2</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63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45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71" w:hRule="atLeast"/>
        </w:trPr>
        <w:tc>
          <w:tcPr>
            <w:tcW w:w="124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机构名称</w:t>
            </w:r>
          </w:p>
        </w:tc>
        <w:tc>
          <w:tcPr>
            <w:tcW w:w="123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支出合计</w:t>
            </w:r>
          </w:p>
        </w:tc>
        <w:tc>
          <w:tcPr>
            <w:tcW w:w="430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其中：</w:t>
            </w:r>
          </w:p>
        </w:tc>
        <w:tc>
          <w:tcPr>
            <w:tcW w:w="178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23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基本支出</w:t>
            </w:r>
          </w:p>
        </w:tc>
        <w:tc>
          <w:tcPr>
            <w:tcW w:w="229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其中：</w:t>
            </w:r>
          </w:p>
        </w:tc>
        <w:tc>
          <w:tcPr>
            <w:tcW w:w="99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项目支出</w:t>
            </w:r>
          </w:p>
        </w:tc>
        <w:tc>
          <w:tcPr>
            <w:tcW w:w="93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当年结余</w:t>
            </w:r>
          </w:p>
        </w:tc>
        <w:tc>
          <w:tcPr>
            <w:tcW w:w="85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23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人员支出</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公用支出</w:t>
            </w:r>
          </w:p>
        </w:tc>
        <w:tc>
          <w:tcPr>
            <w:tcW w:w="99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93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85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局机关及二级机构汇总</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118.91</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118.01</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46.89</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71.12</w:t>
            </w:r>
          </w:p>
        </w:tc>
        <w:tc>
          <w:tcPr>
            <w:tcW w:w="9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1、局机关</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118.91</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118.01</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46.89</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71.12</w:t>
            </w:r>
          </w:p>
        </w:tc>
        <w:tc>
          <w:tcPr>
            <w:tcW w:w="9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2、二级机构1</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3、二级机构2</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93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机构名称</w:t>
            </w:r>
          </w:p>
        </w:tc>
        <w:tc>
          <w:tcPr>
            <w:tcW w:w="123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合计</w:t>
            </w:r>
          </w:p>
        </w:tc>
        <w:tc>
          <w:tcPr>
            <w:tcW w:w="6090"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23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公务接待费</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公务用车运维费</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公务用车购置费</w:t>
            </w:r>
          </w:p>
        </w:tc>
        <w:tc>
          <w:tcPr>
            <w:tcW w:w="277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局机关及二级机构汇总</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0.35</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0.35</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1、局机关</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0.35</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0.35</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2、二级机构1</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3、二级机构2</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77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95" w:hRule="atLeast"/>
        </w:trPr>
        <w:tc>
          <w:tcPr>
            <w:tcW w:w="124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机构名称</w:t>
            </w:r>
          </w:p>
        </w:tc>
        <w:tc>
          <w:tcPr>
            <w:tcW w:w="123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合计</w:t>
            </w:r>
          </w:p>
        </w:tc>
        <w:tc>
          <w:tcPr>
            <w:tcW w:w="4845"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其中：</w:t>
            </w:r>
          </w:p>
        </w:tc>
        <w:tc>
          <w:tcPr>
            <w:tcW w:w="124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10" w:hRule="atLeast"/>
        </w:trPr>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23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0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在用固定资产</w:t>
            </w:r>
          </w:p>
        </w:tc>
        <w:tc>
          <w:tcPr>
            <w:tcW w:w="280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出租固定资产</w:t>
            </w:r>
          </w:p>
        </w:tc>
        <w:tc>
          <w:tcPr>
            <w:tcW w:w="124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局机关及二级机构汇总</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12.4</w:t>
            </w:r>
          </w:p>
        </w:tc>
        <w:tc>
          <w:tcPr>
            <w:tcW w:w="20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12.4</w:t>
            </w:r>
          </w:p>
        </w:tc>
        <w:tc>
          <w:tcPr>
            <w:tcW w:w="280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1、局机关</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12.4</w:t>
            </w:r>
          </w:p>
        </w:tc>
        <w:tc>
          <w:tcPr>
            <w:tcW w:w="20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12.4</w:t>
            </w:r>
          </w:p>
        </w:tc>
        <w:tc>
          <w:tcPr>
            <w:tcW w:w="280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2、二级机构1</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0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80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3、二级机构2</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0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80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76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整体支出绩效定性目标及实施计划完成情况</w:t>
            </w:r>
          </w:p>
        </w:tc>
        <w:tc>
          <w:tcPr>
            <w:tcW w:w="37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预期目标</w:t>
            </w:r>
          </w:p>
        </w:tc>
        <w:tc>
          <w:tcPr>
            <w:tcW w:w="405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606"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750"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1：在省级以上发表有影响的文艺作品3篇，在市级以上发表有影响的作品9篇。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2：编辑出版《巴陵文学》《巴陵诗词》《巴陵楹联》等杂志。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3：大力开展文学艺术创作及采风活动。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405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今年以来，县文联组织开展一系列具有影响力的文艺活动，获得了上级领导和各界群众的一致好评。例如，为庆祝建党100周年，结合全县实际，我们举办了“奋斗百年路·启航新征程”美术书法摄影大展，在全县共征集到相关作品1362幅，经市县专家评选，精选了114幅优秀作品，在县美术馆布展，吸引了各文艺爱好者、社会人士纷纷前来观摩，并特别邀请展出了岳阳县籍全国知名书画家作品12幅，同时将作品集结成册宣传推广。3月，我们承办了岳阳市诗词楹联散曲工作现场经验交流会；5月，举办了庆祝建党百周年诗词楹联大赛；7月，联合县旗袍协会、音乐舞蹈家协会、摄影家协会开展了“红色百年国际瑜伽”、“百首经典”红色革命歌曲传唱比赛等系列庆祝活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71" w:hRule="atLeast"/>
        </w:trPr>
        <w:tc>
          <w:tcPr>
            <w:tcW w:w="76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绩效定量目标及实施计划完成情况</w:t>
            </w:r>
          </w:p>
        </w:tc>
        <w:tc>
          <w:tcPr>
            <w:tcW w:w="246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评价内容</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绩效目标</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16"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（部门工作实绩，包含上级部门和市委市政府布置的重点工作、实事任务等，根据部门实际进行调整细化）</w:t>
            </w:r>
          </w:p>
        </w:tc>
        <w:tc>
          <w:tcPr>
            <w:tcW w:w="115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质量指标</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固定资产利用率</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三公经费控制率</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数量指标</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省级以上发表作品3篇</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市级以上发表作品9篇</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时效指标</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12月底前已完成</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86"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成本指标</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301"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（预期实现的效益）</w:t>
            </w:r>
          </w:p>
        </w:tc>
        <w:tc>
          <w:tcPr>
            <w:tcW w:w="11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社会效益</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经济效益</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生态效益</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80" w:hRule="atLeast"/>
        </w:trPr>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30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15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社会公众或服务对象满意度</w:t>
            </w:r>
          </w:p>
        </w:tc>
        <w:tc>
          <w:tcPr>
            <w:tcW w:w="288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社会公众或服务对象满意度</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25" w:hRule="atLeast"/>
        </w:trPr>
        <w:tc>
          <w:tcPr>
            <w:tcW w:w="20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绩效自评综合得分</w:t>
            </w:r>
          </w:p>
        </w:tc>
        <w:tc>
          <w:tcPr>
            <w:tcW w:w="6495"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207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评价等次</w:t>
            </w:r>
          </w:p>
        </w:tc>
        <w:tc>
          <w:tcPr>
            <w:tcW w:w="6495"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姓  名</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职务/职称</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单  位</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罗海波</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主席党组书记</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县文联</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唐荣平</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副主席</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县文联</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李胜军</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出纳</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县文联</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124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327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59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246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4546"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026" w:hRule="atLeast"/>
        </w:trPr>
        <w:tc>
          <w:tcPr>
            <w:tcW w:w="8565" w:type="dxa"/>
            <w:gridSpan w:val="1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部门（单位）负责人（签章）:罗海波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2022年  6  月  20  日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271" w:hRule="atLeast"/>
        </w:trPr>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4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7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9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2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3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both"/>
              <w:rPr>
                <w:rFonts w:hint="eastAsia" w:ascii="微软雅黑" w:hAnsi="微软雅黑" w:eastAsia="微软雅黑" w:cs="微软雅黑"/>
                <w:i w:val="0"/>
                <w:iCs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填报人（签名）李胜军                          联系电话：13873077718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117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岳阳县文学艺术界联合会成立于1987年6月，是中共岳阳县委领导下的人民团体，其主要职责是：贯彻党的文艺方针政策，充分发挥党和政府联系文艺界的桥梁和纽带作用；负责对所属各文艺家协会的联络、协调、服务和管理工作；团结全县文学艺术家和文艺工作者，反映和听取文艺界的情况和意见；组织召开岳阳县文学艺术界代表大会，理事会和主席团会议；依法维护团体会员和文学艺术家及文艺工作者的知识产权等合法权益。县文联现有人数4人，其中在职4人。内设职能股室有2个分别是办公室、组联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2021年收入为118.91万元，其中财政拨款105.5万元，上年结转8.41万元，其它收入5万元。支出118..91万元，主要用于机关行政运行各文艺家协会文化交流与合作支出等。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2021年，县文联严格按照中央八项规定”和省、市、县有关文件精神，坚持“依章办事、服务大局、围绕中心、突出重点、求真务实”的工作方针，压缩非生产开支，进一步规范会计核算行为，成立了财务管理工作领导小组，制定了一系列财务管理制度，实行会计出纳分工管理。在资金使用上,我们一直按照国家财经法规和机关财务管理制度规定，以及有关专项资金管理办法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报分管财务领导签字，再由主要负责人签字同意报账后方可结算。加强预算管理和执行力度，确保资金安全，有效运行，积极服务本单位发展，实现了年度收支平衡。2021总支出为118.91万元，人员支出为46.89万元，公用支出71.12万元，年未结转0.9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（二）专项支出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没有专项支出。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三、部门（单位）整体支出绩效情况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一）“三公”经费控制率。公务接待费支出决算为0.35万元，完成预算的175%，与上年相比增加0.2万元，，增长130%，增长的主要主要原因是举办了建党一百周年书法美术摄影大型展览工作协调产生的招待费用。公务用车运行维护费 0 万元（其中，公务用车购置费0万元，公务用车运行费0万元），公务用车保有量0辆，同比2020年公务用车运行维护费0万元，下降0万元 ，主要原因是岳阳县实行公车改革制度，本单位没有公务车，没有公务车运行维护费，公务出行费用即公务交通补贴统计在“基本支出”中的“其他交通费用中；2021年因公出国（境）费用 0  万元，因公出国（境）团组数 0 个，因公出国（境）人次 0 人。2021年因公出国（境）费用 0 万元，因公出国（境）团组数0  个，因公出国（境）人次 0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（二）政府采购执行率。本部门2021年度政府采购支出总额0.76万元，其中主要是用于政府采购服务支出0.4万元，其他办公用品购置0.36万元。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（三）公务卡刷卡率。2021年积极推行公务卡结算制度，严格控制现金提取，缩小现金结算范围，提高公务卡使用频率。公务卡刷卡率为50%。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（四）固定资产利用率。单位加强资产管理，充分利用现有固定资产，固定资产利用率为100%。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（五）财政供养人员控制率。2021年我单位编制人数为4人，年初年末实有人数为4人，控制率为100%以上，没有超编现象。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（六）履职情况。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1、在省级以上发表有影响的文艺作品3篇，在市级以上发表有影响的作品9篇。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2、编辑出版《巴陵文学》2期，《巴陵诗词》1期，《巴陵楹联》1期。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3、组织各文艺家协会开展采风活动和学习义流活动。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四、存在的主要问题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1、我单位工作人员少，经费有限，文艺创作活动难以开展。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2、文艺创作没有激励机制，导致优秀文艺人才较少，创作激情不高。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五、改进措施和有关建议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1、增加本级预算经费，加大工作推动力度。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2、增加工作人员。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微软雅黑" w:hAnsi="微软雅黑" w:eastAsia="微软雅黑" w:cs="微软雅黑"/>
                <w:i w:val="0"/>
                <w:iCs w:val="0"/>
                <w:caps w:val="0"/>
                <w:color w:val="333333"/>
                <w:spacing w:val="0"/>
                <w:sz w:val="24"/>
                <w:szCs w:val="24"/>
                <w:bdr w:val="none" w:color="auto" w:sz="0" w:space="0"/>
              </w:rPr>
              <w:t>预算绩效管理是一项综合性很强的工作，也是一项技术水平要求比较高的工作。通过开展绩效评价工作，我们也发现了绩效管理中所存在的问题，以后将不断的改进和完善,希望县财政局多组织业务培训，对我单位多加强业务指导，促进我单位不断提升预算管理水平。</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MWIzMjhhNjdlODdjOTY3YzY4NGViZTY2M2M4NDEifQ=="/>
  </w:docVars>
  <w:rsids>
    <w:rsidRoot w:val="00000000"/>
    <w:rsid w:val="6CDE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2023-09-16T14:09:38Z</dcterms:created>
  <dc:creator>NINGMEI</dc:creator>
  <cp:lastModifiedBy>江巍</cp:lastModifiedBy>
  <dcterms:modified xsi:type="dcterms:W3CDTF">2023-09-16T14:09:52Z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EB879C3FDBB742B49C046A789293EECA_12</vt:lpwstr>
  </property>
</Properties>
</file>