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u w:val="single"/>
        </w:rPr>
        <w:t>21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szCs w:val="32"/>
          <w:u w:val="single"/>
        </w:rPr>
        <w:t>岳阳县交通运输局</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pacing w:val="20"/>
          <w:sz w:val="32"/>
          <w:szCs w:val="32"/>
          <w:u w:val="single"/>
        </w:rPr>
        <w:t>273001</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 xml:space="preserve"> </w:t>
      </w:r>
      <w:r>
        <w:rPr>
          <w:rFonts w:hint="eastAsia" w:eastAsia="仿宋_GB2312"/>
          <w:sz w:val="32"/>
        </w:rPr>
        <w:t>2022</w:t>
      </w:r>
      <w:r>
        <w:rPr>
          <w:rFonts w:eastAsia="仿宋_GB2312"/>
          <w:sz w:val="32"/>
        </w:rPr>
        <w:t xml:space="preserve">  </w:t>
      </w:r>
      <w:r>
        <w:rPr>
          <w:rFonts w:hint="eastAsia" w:eastAsia="仿宋_GB2312"/>
          <w:sz w:val="32"/>
        </w:rPr>
        <w:t>年</w:t>
      </w:r>
      <w:r>
        <w:rPr>
          <w:rFonts w:eastAsia="仿宋_GB2312"/>
          <w:sz w:val="32"/>
        </w:rPr>
        <w:t xml:space="preserve"> </w:t>
      </w:r>
      <w:r>
        <w:rPr>
          <w:rFonts w:hint="eastAsia" w:eastAsia="仿宋_GB2312"/>
          <w:sz w:val="32"/>
        </w:rPr>
        <w:t>6</w:t>
      </w:r>
      <w:r>
        <w:rPr>
          <w:rFonts w:eastAsia="仿宋_GB2312"/>
          <w:sz w:val="32"/>
        </w:rPr>
        <w:t xml:space="preserve">  </w:t>
      </w:r>
      <w:r>
        <w:rPr>
          <w:rFonts w:hint="eastAsia" w:eastAsia="仿宋_GB2312"/>
          <w:sz w:val="32"/>
        </w:rPr>
        <w:t>月</w:t>
      </w:r>
      <w:r>
        <w:rPr>
          <w:rFonts w:eastAsia="仿宋_GB2312"/>
          <w:sz w:val="32"/>
        </w:rPr>
        <w:t xml:space="preserve">  </w:t>
      </w:r>
      <w:r>
        <w:rPr>
          <w:rFonts w:hint="eastAsia" w:eastAsia="仿宋_GB2312"/>
          <w:sz w:val="32"/>
        </w:rPr>
        <w:t>29</w:t>
      </w:r>
      <w:r>
        <w:rPr>
          <w:rFonts w:eastAsia="仿宋_GB2312"/>
          <w:sz w:val="32"/>
        </w:rPr>
        <w:t xml:space="preserve"> </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岳阳县交通运输</w:t>
      </w:r>
      <w:r>
        <w:rPr>
          <w:rFonts w:hint="eastAsia" w:eastAsia="仿宋_GB2312"/>
          <w:sz w:val="32"/>
          <w:szCs w:val="32"/>
        </w:rPr>
        <w:t>局（制）</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5"/>
        <w:tblW w:w="104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545"/>
        <w:gridCol w:w="640"/>
        <w:gridCol w:w="625"/>
        <w:gridCol w:w="1333"/>
        <w:gridCol w:w="1450"/>
        <w:gridCol w:w="277"/>
        <w:gridCol w:w="24"/>
        <w:gridCol w:w="1316"/>
        <w:gridCol w:w="484"/>
        <w:gridCol w:w="975"/>
        <w:gridCol w:w="357"/>
        <w:gridCol w:w="234"/>
        <w:gridCol w:w="600"/>
        <w:gridCol w:w="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0460" w:type="dxa"/>
            <w:gridSpan w:val="14"/>
            <w:vAlign w:val="center"/>
          </w:tcPr>
          <w:p>
            <w:pPr>
              <w:autoSpaceDN w:val="0"/>
              <w:spacing w:line="400" w:lineRule="exact"/>
              <w:jc w:val="center"/>
              <w:textAlignment w:val="center"/>
              <w:rPr>
                <w:rFonts w:ascii="宋体" w:cs="仿宋_GB2312"/>
                <w:b/>
                <w:color w:val="000000"/>
                <w:sz w:val="24"/>
              </w:rPr>
            </w:pPr>
            <w:r>
              <w:rPr>
                <w:rFonts w:hint="eastAsia" w:ascii="宋体" w:hAnsi="宋体" w:cs="黑体"/>
                <w:b/>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80" w:hRule="atLeast"/>
          <w:jc w:val="center"/>
        </w:trPr>
        <w:tc>
          <w:tcPr>
            <w:tcW w:w="2185" w:type="dxa"/>
            <w:gridSpan w:val="2"/>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联系人</w:t>
            </w:r>
          </w:p>
        </w:tc>
        <w:tc>
          <w:tcPr>
            <w:tcW w:w="3685" w:type="dxa"/>
            <w:gridSpan w:val="4"/>
            <w:vAlign w:val="center"/>
          </w:tcPr>
          <w:p>
            <w:pPr>
              <w:autoSpaceDN w:val="0"/>
              <w:spacing w:line="400" w:lineRule="exact"/>
              <w:jc w:val="center"/>
              <w:textAlignment w:val="center"/>
              <w:rPr>
                <w:rFonts w:ascii="宋体" w:cs="仿宋_GB2312"/>
                <w:color w:val="000000"/>
                <w:sz w:val="24"/>
              </w:rPr>
            </w:pPr>
            <w:r>
              <w:rPr>
                <w:rFonts w:hint="eastAsia" w:ascii="宋体" w:hAnsi="宋体"/>
                <w:sz w:val="32"/>
                <w:szCs w:val="32"/>
              </w:rPr>
              <w:t>陈芳</w:t>
            </w:r>
          </w:p>
        </w:tc>
        <w:tc>
          <w:tcPr>
            <w:tcW w:w="2799" w:type="dxa"/>
            <w:gridSpan w:val="4"/>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联络电话</w:t>
            </w:r>
          </w:p>
        </w:tc>
        <w:tc>
          <w:tcPr>
            <w:tcW w:w="1791" w:type="dxa"/>
            <w:gridSpan w:val="4"/>
            <w:vAlign w:val="center"/>
          </w:tcPr>
          <w:p>
            <w:pPr>
              <w:spacing w:beforeLines="50" w:line="348" w:lineRule="auto"/>
              <w:rPr>
                <w:rFonts w:ascii="宋体"/>
                <w:sz w:val="28"/>
                <w:szCs w:val="28"/>
              </w:rPr>
            </w:pPr>
            <w:r>
              <w:rPr>
                <w:rFonts w:ascii="宋体" w:hAnsi="宋体"/>
                <w:sz w:val="28"/>
                <w:szCs w:val="28"/>
              </w:rPr>
              <w:t>19873066669</w:t>
            </w:r>
          </w:p>
          <w:p>
            <w:pPr>
              <w:autoSpaceDN w:val="0"/>
              <w:spacing w:line="400" w:lineRule="exact"/>
              <w:jc w:val="center"/>
              <w:textAlignment w:val="center"/>
              <w:rPr>
                <w:rFonts w:ascii="宋体"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185" w:type="dxa"/>
            <w:gridSpan w:val="2"/>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人员编制</w:t>
            </w:r>
          </w:p>
        </w:tc>
        <w:tc>
          <w:tcPr>
            <w:tcW w:w="3685" w:type="dxa"/>
            <w:gridSpan w:val="4"/>
            <w:vAlign w:val="center"/>
          </w:tcPr>
          <w:p>
            <w:pPr>
              <w:autoSpaceDN w:val="0"/>
              <w:spacing w:line="400" w:lineRule="exact"/>
              <w:jc w:val="center"/>
              <w:textAlignment w:val="center"/>
              <w:rPr>
                <w:rFonts w:ascii="宋体" w:cs="仿宋_GB2312"/>
                <w:color w:val="000000"/>
                <w:sz w:val="24"/>
              </w:rPr>
            </w:pPr>
            <w:r>
              <w:rPr>
                <w:rFonts w:ascii="宋体" w:hAnsi="宋体" w:cs="仿宋_GB2312"/>
                <w:color w:val="000000"/>
                <w:sz w:val="24"/>
              </w:rPr>
              <w:t>1</w:t>
            </w:r>
            <w:r>
              <w:rPr>
                <w:rFonts w:hint="eastAsia" w:ascii="宋体" w:hAnsi="宋体" w:cs="仿宋_GB2312"/>
                <w:color w:val="000000"/>
                <w:sz w:val="24"/>
              </w:rPr>
              <w:t>8</w:t>
            </w:r>
          </w:p>
        </w:tc>
        <w:tc>
          <w:tcPr>
            <w:tcW w:w="2799" w:type="dxa"/>
            <w:gridSpan w:val="4"/>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实有人数</w:t>
            </w:r>
          </w:p>
        </w:tc>
        <w:tc>
          <w:tcPr>
            <w:tcW w:w="1791" w:type="dxa"/>
            <w:gridSpan w:val="4"/>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2185" w:type="dxa"/>
            <w:gridSpan w:val="2"/>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职能职责概述</w:t>
            </w:r>
          </w:p>
        </w:tc>
        <w:tc>
          <w:tcPr>
            <w:tcW w:w="8275" w:type="dxa"/>
            <w:gridSpan w:val="12"/>
            <w:vAlign w:val="center"/>
          </w:tcPr>
          <w:p>
            <w:pPr>
              <w:autoSpaceDN w:val="0"/>
              <w:spacing w:line="400" w:lineRule="exact"/>
              <w:jc w:val="left"/>
              <w:textAlignment w:val="center"/>
              <w:rPr>
                <w:rFonts w:ascii="宋体" w:cs="仿宋_GB2312"/>
                <w:color w:val="000000"/>
                <w:sz w:val="24"/>
              </w:rPr>
            </w:pPr>
            <w:r>
              <w:rPr>
                <w:rFonts w:ascii="宋体" w:hAnsi="宋体" w:cs="仿宋_GB2312"/>
                <w:color w:val="000000"/>
                <w:sz w:val="24"/>
              </w:rPr>
              <w:t>1</w:t>
            </w:r>
            <w:r>
              <w:rPr>
                <w:rFonts w:hint="eastAsia" w:ascii="宋体" w:hAnsi="宋体" w:cs="仿宋_GB2312"/>
                <w:color w:val="000000"/>
                <w:sz w:val="24"/>
              </w:rPr>
              <w:t>、全县公路水路交通基础设施规划建设</w:t>
            </w:r>
          </w:p>
          <w:p>
            <w:pPr>
              <w:autoSpaceDN w:val="0"/>
              <w:spacing w:line="400" w:lineRule="exact"/>
              <w:jc w:val="left"/>
              <w:textAlignment w:val="center"/>
              <w:rPr>
                <w:rFonts w:ascii="宋体" w:cs="仿宋_GB2312"/>
                <w:color w:val="000000"/>
                <w:sz w:val="24"/>
              </w:rPr>
            </w:pPr>
            <w:r>
              <w:rPr>
                <w:rFonts w:ascii="宋体" w:hAnsi="宋体" w:cs="仿宋_GB2312"/>
                <w:color w:val="000000"/>
                <w:sz w:val="24"/>
              </w:rPr>
              <w:t>2</w:t>
            </w:r>
            <w:r>
              <w:rPr>
                <w:rFonts w:hint="eastAsia" w:ascii="宋体" w:hAnsi="宋体" w:cs="仿宋_GB2312"/>
                <w:color w:val="000000"/>
                <w:sz w:val="24"/>
              </w:rPr>
              <w:t>、道路水路运输市场管理</w:t>
            </w:r>
          </w:p>
          <w:p>
            <w:pPr>
              <w:autoSpaceDN w:val="0"/>
              <w:spacing w:line="400" w:lineRule="exact"/>
              <w:jc w:val="left"/>
              <w:textAlignment w:val="center"/>
              <w:rPr>
                <w:rFonts w:ascii="宋体" w:cs="仿宋_GB2312"/>
                <w:color w:val="000000"/>
                <w:sz w:val="24"/>
              </w:rPr>
            </w:pPr>
            <w:r>
              <w:rPr>
                <w:rFonts w:ascii="宋体" w:hAnsi="宋体" w:cs="仿宋_GB2312"/>
                <w:color w:val="000000"/>
                <w:sz w:val="24"/>
              </w:rPr>
              <w:t>3</w:t>
            </w:r>
            <w:r>
              <w:rPr>
                <w:rFonts w:hint="eastAsia" w:ascii="宋体" w:hAnsi="宋体" w:cs="仿宋_GB2312"/>
                <w:color w:val="000000"/>
                <w:sz w:val="24"/>
              </w:rPr>
              <w:t>、交通工程质量安全监督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2185" w:type="dxa"/>
            <w:gridSpan w:val="2"/>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年度主要工作内容</w:t>
            </w:r>
          </w:p>
        </w:tc>
        <w:tc>
          <w:tcPr>
            <w:tcW w:w="8275" w:type="dxa"/>
            <w:gridSpan w:val="12"/>
            <w:vAlign w:val="center"/>
          </w:tcPr>
          <w:p>
            <w:pPr>
              <w:autoSpaceDN w:val="0"/>
              <w:spacing w:line="400" w:lineRule="exact"/>
              <w:jc w:val="left"/>
              <w:textAlignment w:val="center"/>
              <w:rPr>
                <w:rFonts w:ascii="宋体" w:cs="仿宋_GB2312"/>
                <w:color w:val="000000"/>
                <w:sz w:val="24"/>
              </w:rPr>
            </w:pPr>
            <w:r>
              <w:rPr>
                <w:rFonts w:hint="eastAsia" w:ascii="宋体" w:hAnsi="宋体" w:cs="仿宋_GB2312"/>
                <w:color w:val="000000"/>
                <w:sz w:val="24"/>
              </w:rPr>
              <w:t>任务</w:t>
            </w:r>
            <w:r>
              <w:rPr>
                <w:rFonts w:ascii="宋体" w:hAnsi="宋体" w:cs="仿宋_GB2312"/>
                <w:color w:val="000000"/>
                <w:sz w:val="24"/>
              </w:rPr>
              <w:t>1</w:t>
            </w:r>
            <w:r>
              <w:rPr>
                <w:rFonts w:hint="eastAsia" w:ascii="宋体" w:hAnsi="宋体" w:cs="仿宋_GB2312"/>
                <w:color w:val="000000"/>
                <w:sz w:val="24"/>
              </w:rPr>
              <w:t>：完成好重点交通项目建设协调工作；</w:t>
            </w:r>
          </w:p>
          <w:p>
            <w:pPr>
              <w:autoSpaceDN w:val="0"/>
              <w:spacing w:line="400" w:lineRule="exact"/>
              <w:jc w:val="left"/>
              <w:textAlignment w:val="center"/>
              <w:rPr>
                <w:rFonts w:ascii="宋体" w:cs="仿宋_GB2312"/>
                <w:color w:val="000000"/>
                <w:sz w:val="24"/>
              </w:rPr>
            </w:pPr>
            <w:r>
              <w:rPr>
                <w:rFonts w:hint="eastAsia" w:ascii="宋体" w:hAnsi="宋体" w:cs="仿宋_GB2312"/>
                <w:color w:val="000000"/>
                <w:sz w:val="24"/>
              </w:rPr>
              <w:t>任务</w:t>
            </w:r>
            <w:r>
              <w:rPr>
                <w:rFonts w:ascii="宋体" w:hAnsi="宋体" w:cs="仿宋_GB2312"/>
                <w:color w:val="000000"/>
                <w:sz w:val="24"/>
              </w:rPr>
              <w:t>2</w:t>
            </w:r>
            <w:r>
              <w:rPr>
                <w:rFonts w:hint="eastAsia" w:ascii="宋体" w:hAnsi="宋体" w:cs="仿宋_GB2312"/>
                <w:color w:val="000000"/>
                <w:sz w:val="24"/>
              </w:rPr>
              <w:t>：完成好年度省下达民生实事实施工作；</w:t>
            </w:r>
          </w:p>
          <w:p>
            <w:pPr>
              <w:autoSpaceDN w:val="0"/>
              <w:spacing w:line="400" w:lineRule="exact"/>
              <w:jc w:val="left"/>
              <w:textAlignment w:val="center"/>
              <w:rPr>
                <w:rFonts w:ascii="宋体" w:cs="仿宋_GB2312"/>
                <w:color w:val="000000"/>
                <w:sz w:val="24"/>
              </w:rPr>
            </w:pPr>
            <w:r>
              <w:rPr>
                <w:rFonts w:hint="eastAsia" w:ascii="宋体" w:hAnsi="宋体" w:cs="仿宋_GB2312"/>
                <w:color w:val="000000"/>
                <w:sz w:val="24"/>
              </w:rPr>
              <w:t>任务</w:t>
            </w:r>
            <w:r>
              <w:rPr>
                <w:rFonts w:ascii="宋体" w:hAnsi="宋体" w:cs="仿宋_GB2312"/>
                <w:color w:val="000000"/>
                <w:sz w:val="24"/>
              </w:rPr>
              <w:t>3</w:t>
            </w:r>
            <w:r>
              <w:rPr>
                <w:rFonts w:hint="eastAsia" w:ascii="宋体" w:hAnsi="宋体" w:cs="仿宋_GB2312"/>
                <w:color w:val="000000"/>
                <w:sz w:val="24"/>
              </w:rPr>
              <w:t>：落实好道路水路交通安全和市场监管责任；</w:t>
            </w:r>
          </w:p>
          <w:p>
            <w:pPr>
              <w:autoSpaceDN w:val="0"/>
              <w:spacing w:line="400" w:lineRule="exact"/>
              <w:jc w:val="left"/>
              <w:textAlignment w:val="center"/>
              <w:rPr>
                <w:rFonts w:ascii="宋体" w:cs="仿宋_GB2312"/>
                <w:color w:val="000000"/>
                <w:sz w:val="24"/>
              </w:rPr>
            </w:pPr>
            <w:r>
              <w:rPr>
                <w:rFonts w:hint="eastAsia" w:ascii="宋体" w:hAnsi="宋体" w:cs="仿宋_GB2312"/>
                <w:color w:val="000000"/>
                <w:sz w:val="24"/>
              </w:rPr>
              <w:t>任务</w:t>
            </w:r>
            <w:r>
              <w:rPr>
                <w:rFonts w:ascii="宋体" w:hAnsi="宋体" w:cs="仿宋_GB2312"/>
                <w:color w:val="000000"/>
                <w:sz w:val="24"/>
              </w:rPr>
              <w:t>4</w:t>
            </w:r>
            <w:r>
              <w:rPr>
                <w:rFonts w:hint="eastAsia" w:ascii="宋体" w:hAnsi="宋体" w:cs="仿宋_GB2312"/>
                <w:color w:val="000000"/>
                <w:sz w:val="24"/>
              </w:rPr>
              <w:t>：其他日常工作事务及临时性工作。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2185" w:type="dxa"/>
            <w:gridSpan w:val="2"/>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年度部门（单位）总体运行情况及取得的成绩</w:t>
            </w:r>
          </w:p>
        </w:tc>
        <w:tc>
          <w:tcPr>
            <w:tcW w:w="8275" w:type="dxa"/>
            <w:gridSpan w:val="12"/>
            <w:vAlign w:val="center"/>
          </w:tcPr>
          <w:p>
            <w:pPr>
              <w:autoSpaceDN w:val="0"/>
              <w:spacing w:line="400" w:lineRule="exact"/>
              <w:jc w:val="left"/>
              <w:textAlignment w:val="center"/>
              <w:rPr>
                <w:rFonts w:ascii="宋体" w:cs="仿宋_GB2312"/>
                <w:sz w:val="24"/>
              </w:rPr>
            </w:pPr>
            <w:r>
              <w:rPr>
                <w:rFonts w:hint="eastAsia" w:ascii="宋体" w:hAnsi="宋体" w:cs="仿宋_GB2312"/>
                <w:sz w:val="24"/>
              </w:rPr>
              <w:t>岳阳县交通运输局</w:t>
            </w:r>
            <w:r>
              <w:rPr>
                <w:rFonts w:ascii="宋体" w:hAnsi="宋体" w:cs="仿宋_GB2312"/>
                <w:sz w:val="24"/>
              </w:rPr>
              <w:t>2020</w:t>
            </w:r>
            <w:r>
              <w:rPr>
                <w:rFonts w:hint="eastAsia" w:ascii="宋体" w:hAnsi="宋体" w:cs="仿宋_GB2312"/>
                <w:sz w:val="24"/>
              </w:rPr>
              <w:t>年总收入7646</w:t>
            </w:r>
            <w:r>
              <w:rPr>
                <w:rFonts w:ascii="宋体" w:cs="仿宋_GB2312"/>
                <w:sz w:val="24"/>
              </w:rPr>
              <w:t>.</w:t>
            </w:r>
            <w:r>
              <w:rPr>
                <w:rFonts w:hint="eastAsia" w:ascii="宋体" w:hAnsi="宋体" w:cs="仿宋_GB2312"/>
                <w:sz w:val="24"/>
              </w:rPr>
              <w:t>01万元，总支出9685.85万元，基本支出1021.47万元。工资福利支出635</w:t>
            </w:r>
            <w:r>
              <w:rPr>
                <w:rFonts w:ascii="宋体" w:cs="仿宋_GB2312"/>
                <w:sz w:val="24"/>
              </w:rPr>
              <w:t>.</w:t>
            </w:r>
            <w:r>
              <w:rPr>
                <w:rFonts w:hint="eastAsia" w:ascii="宋体" w:hAnsi="宋体" w:cs="仿宋_GB2312"/>
                <w:sz w:val="24"/>
              </w:rPr>
              <w:t>35万元，对个人和家庭补助支出52.05万元</w:t>
            </w:r>
            <w:r>
              <w:rPr>
                <w:rFonts w:ascii="宋体" w:cs="仿宋_GB2312"/>
                <w:sz w:val="24"/>
              </w:rPr>
              <w:t>,</w:t>
            </w:r>
            <w:r>
              <w:rPr>
                <w:rFonts w:hint="eastAsia" w:ascii="宋体" w:hAnsi="宋体" w:cs="仿宋_GB2312"/>
                <w:sz w:val="24"/>
              </w:rPr>
              <w:t>对企业补助32.44万元，一般商品服务支出300.92万元。上级专项项目经费8664.38万元，项目建设稳步推进，如期完成年初目标任务，行业监管不断加强，队伍执法水平不断提升，确保道路运输安全及城区交通秩序持续好转，群众满意度不断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0460" w:type="dxa"/>
            <w:gridSpan w:val="14"/>
            <w:vAlign w:val="center"/>
          </w:tcPr>
          <w:p>
            <w:pPr>
              <w:autoSpaceDN w:val="0"/>
              <w:spacing w:line="400" w:lineRule="exact"/>
              <w:jc w:val="center"/>
              <w:textAlignment w:val="center"/>
              <w:rPr>
                <w:rFonts w:ascii="宋体" w:cs="仿宋_GB2312"/>
                <w:b/>
                <w:color w:val="000000"/>
                <w:sz w:val="24"/>
              </w:rPr>
            </w:pPr>
            <w:r>
              <w:rPr>
                <w:rFonts w:hint="eastAsia" w:ascii="宋体" w:hAnsi="宋体" w:cs="黑体"/>
                <w:b/>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0460" w:type="dxa"/>
            <w:gridSpan w:val="14"/>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545" w:type="dxa"/>
            <w:vMerge w:val="restart"/>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机构名称</w:t>
            </w:r>
          </w:p>
        </w:tc>
        <w:tc>
          <w:tcPr>
            <w:tcW w:w="1265" w:type="dxa"/>
            <w:gridSpan w:val="2"/>
            <w:vMerge w:val="restart"/>
            <w:tcBorders>
              <w:right w:val="single" w:color="auto"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收入合计</w:t>
            </w:r>
          </w:p>
        </w:tc>
        <w:tc>
          <w:tcPr>
            <w:tcW w:w="7650" w:type="dxa"/>
            <w:gridSpan w:val="11"/>
            <w:tcBorders>
              <w:left w:val="single" w:color="auto"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545" w:type="dxa"/>
            <w:vMerge w:val="continue"/>
            <w:vAlign w:val="center"/>
          </w:tcPr>
          <w:p>
            <w:pPr>
              <w:autoSpaceDN w:val="0"/>
              <w:spacing w:line="400" w:lineRule="exact"/>
              <w:jc w:val="center"/>
              <w:textAlignment w:val="center"/>
              <w:rPr>
                <w:rFonts w:ascii="宋体" w:cs="仿宋_GB2312"/>
                <w:color w:val="000000"/>
                <w:sz w:val="24"/>
              </w:rPr>
            </w:pPr>
          </w:p>
        </w:tc>
        <w:tc>
          <w:tcPr>
            <w:tcW w:w="1265" w:type="dxa"/>
            <w:gridSpan w:val="2"/>
            <w:vMerge w:val="continue"/>
            <w:tcBorders>
              <w:right w:val="single" w:color="auto" w:sz="4" w:space="0"/>
            </w:tcBorders>
            <w:vAlign w:val="center"/>
          </w:tcPr>
          <w:p>
            <w:pPr>
              <w:autoSpaceDN w:val="0"/>
              <w:spacing w:line="400" w:lineRule="exact"/>
              <w:jc w:val="center"/>
              <w:textAlignment w:val="center"/>
              <w:rPr>
                <w:rFonts w:ascii="宋体" w:cs="仿宋_GB2312"/>
                <w:color w:val="000000"/>
                <w:sz w:val="24"/>
              </w:rPr>
            </w:pPr>
          </w:p>
        </w:tc>
        <w:tc>
          <w:tcPr>
            <w:tcW w:w="1333" w:type="dxa"/>
            <w:tcBorders>
              <w:left w:val="single" w:color="auto"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上年结转</w:t>
            </w:r>
          </w:p>
        </w:tc>
        <w:tc>
          <w:tcPr>
            <w:tcW w:w="1450" w:type="dxa"/>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公共财政拨款</w:t>
            </w:r>
          </w:p>
        </w:tc>
        <w:tc>
          <w:tcPr>
            <w:tcW w:w="1617" w:type="dxa"/>
            <w:gridSpan w:val="3"/>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政府基金拨款</w:t>
            </w:r>
          </w:p>
        </w:tc>
        <w:tc>
          <w:tcPr>
            <w:tcW w:w="1816" w:type="dxa"/>
            <w:gridSpan w:val="3"/>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纳入专户管理的非税收入拨款</w:t>
            </w:r>
          </w:p>
        </w:tc>
        <w:tc>
          <w:tcPr>
            <w:tcW w:w="1434" w:type="dxa"/>
            <w:gridSpan w:val="3"/>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2" w:hRule="atLeast"/>
          <w:jc w:val="center"/>
        </w:trPr>
        <w:tc>
          <w:tcPr>
            <w:tcW w:w="1545" w:type="dxa"/>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局机关及二级机构汇总</w:t>
            </w:r>
          </w:p>
        </w:tc>
        <w:tc>
          <w:tcPr>
            <w:tcW w:w="1265" w:type="dxa"/>
            <w:gridSpan w:val="2"/>
            <w:tcBorders>
              <w:right w:val="single" w:color="auto" w:sz="4" w:space="0"/>
            </w:tcBorders>
            <w:vAlign w:val="center"/>
          </w:tcPr>
          <w:p>
            <w:pPr>
              <w:autoSpaceDN w:val="0"/>
              <w:spacing w:line="400" w:lineRule="exact"/>
              <w:jc w:val="left"/>
              <w:textAlignment w:val="center"/>
              <w:rPr>
                <w:rFonts w:ascii="宋体" w:cs="仿宋_GB2312"/>
                <w:color w:val="000000"/>
                <w:sz w:val="24"/>
              </w:rPr>
            </w:pPr>
            <w:r>
              <w:rPr>
                <w:rFonts w:hint="eastAsia" w:ascii="宋体" w:hAnsi="宋体" w:cs="仿宋_GB2312"/>
                <w:color w:val="000000"/>
                <w:sz w:val="24"/>
              </w:rPr>
              <w:t>7646.01</w:t>
            </w:r>
          </w:p>
        </w:tc>
        <w:tc>
          <w:tcPr>
            <w:tcW w:w="1333" w:type="dxa"/>
            <w:tcBorders>
              <w:left w:val="single" w:color="auto" w:sz="4" w:space="0"/>
            </w:tcBorders>
            <w:vAlign w:val="center"/>
          </w:tcPr>
          <w:p>
            <w:pPr>
              <w:autoSpaceDN w:val="0"/>
              <w:spacing w:line="400" w:lineRule="exact"/>
              <w:jc w:val="left"/>
              <w:textAlignment w:val="center"/>
              <w:rPr>
                <w:rFonts w:ascii="宋体" w:cs="仿宋_GB2312"/>
                <w:color w:val="000000"/>
                <w:sz w:val="24"/>
              </w:rPr>
            </w:pPr>
            <w:r>
              <w:rPr>
                <w:rFonts w:ascii="宋体" w:cs="仿宋_GB2312"/>
                <w:color w:val="000000"/>
                <w:sz w:val="24"/>
              </w:rPr>
              <w:t>0</w:t>
            </w:r>
          </w:p>
        </w:tc>
        <w:tc>
          <w:tcPr>
            <w:tcW w:w="1450" w:type="dxa"/>
            <w:vAlign w:val="center"/>
          </w:tcPr>
          <w:p>
            <w:pPr>
              <w:autoSpaceDN w:val="0"/>
              <w:spacing w:line="400" w:lineRule="exact"/>
              <w:jc w:val="left"/>
              <w:textAlignment w:val="center"/>
              <w:rPr>
                <w:rFonts w:ascii="宋体" w:cs="仿宋_GB2312"/>
                <w:color w:val="000000"/>
                <w:sz w:val="24"/>
              </w:rPr>
            </w:pPr>
            <w:r>
              <w:rPr>
                <w:rFonts w:hint="eastAsia" w:ascii="宋体" w:hAnsi="宋体" w:cs="仿宋_GB2312"/>
                <w:color w:val="000000"/>
                <w:sz w:val="24"/>
              </w:rPr>
              <w:t>7133.89</w:t>
            </w:r>
          </w:p>
        </w:tc>
        <w:tc>
          <w:tcPr>
            <w:tcW w:w="1617" w:type="dxa"/>
            <w:gridSpan w:val="3"/>
            <w:vAlign w:val="center"/>
          </w:tcPr>
          <w:p>
            <w:pPr>
              <w:autoSpaceDN w:val="0"/>
              <w:spacing w:line="400" w:lineRule="exact"/>
              <w:jc w:val="left"/>
              <w:textAlignment w:val="center"/>
              <w:rPr>
                <w:rFonts w:ascii="宋体" w:cs="仿宋_GB2312"/>
                <w:color w:val="000000"/>
                <w:sz w:val="24"/>
              </w:rPr>
            </w:pPr>
          </w:p>
        </w:tc>
        <w:tc>
          <w:tcPr>
            <w:tcW w:w="1816" w:type="dxa"/>
            <w:gridSpan w:val="3"/>
            <w:vAlign w:val="center"/>
          </w:tcPr>
          <w:p>
            <w:pPr>
              <w:autoSpaceDN w:val="0"/>
              <w:spacing w:line="400" w:lineRule="exact"/>
              <w:jc w:val="center"/>
              <w:textAlignment w:val="center"/>
              <w:rPr>
                <w:rFonts w:ascii="宋体" w:cs="仿宋_GB2312"/>
                <w:color w:val="000000"/>
                <w:sz w:val="24"/>
              </w:rPr>
            </w:pPr>
          </w:p>
        </w:tc>
        <w:tc>
          <w:tcPr>
            <w:tcW w:w="1434" w:type="dxa"/>
            <w:gridSpan w:val="3"/>
            <w:vAlign w:val="center"/>
          </w:tcPr>
          <w:p>
            <w:pPr>
              <w:autoSpaceDN w:val="0"/>
              <w:spacing w:line="400" w:lineRule="exact"/>
              <w:jc w:val="left"/>
              <w:textAlignment w:val="center"/>
              <w:rPr>
                <w:rFonts w:ascii="宋体" w:cs="仿宋_GB2312"/>
                <w:color w:val="000000"/>
                <w:sz w:val="24"/>
              </w:rPr>
            </w:pPr>
            <w:r>
              <w:rPr>
                <w:rFonts w:hint="eastAsia" w:ascii="宋体" w:hAnsi="宋体" w:cs="仿宋_GB2312"/>
                <w:color w:val="000000"/>
                <w:sz w:val="24"/>
              </w:rPr>
              <w:t>512.12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545" w:type="dxa"/>
            <w:vAlign w:val="center"/>
          </w:tcPr>
          <w:p>
            <w:pPr>
              <w:spacing w:line="400" w:lineRule="exact"/>
              <w:rPr>
                <w:rFonts w:ascii="宋体" w:cs="仿宋_GB2312"/>
                <w:sz w:val="24"/>
              </w:rPr>
            </w:pPr>
            <w:r>
              <w:rPr>
                <w:rFonts w:ascii="宋体" w:hAnsi="宋体" w:cs="仿宋_GB2312"/>
                <w:sz w:val="24"/>
              </w:rPr>
              <w:t>1</w:t>
            </w:r>
            <w:r>
              <w:rPr>
                <w:rFonts w:hint="eastAsia" w:ascii="宋体" w:hAnsi="宋体" w:cs="仿宋_GB2312"/>
                <w:sz w:val="24"/>
              </w:rPr>
              <w:t>、局机关</w:t>
            </w:r>
          </w:p>
        </w:tc>
        <w:tc>
          <w:tcPr>
            <w:tcW w:w="1265" w:type="dxa"/>
            <w:gridSpan w:val="2"/>
            <w:tcBorders>
              <w:right w:val="single" w:color="auto" w:sz="4" w:space="0"/>
            </w:tcBorders>
            <w:vAlign w:val="center"/>
          </w:tcPr>
          <w:p>
            <w:pPr>
              <w:autoSpaceDN w:val="0"/>
              <w:spacing w:line="400" w:lineRule="exact"/>
              <w:jc w:val="left"/>
              <w:textAlignment w:val="center"/>
              <w:rPr>
                <w:rFonts w:ascii="宋体" w:cs="仿宋_GB2312"/>
                <w:color w:val="000000"/>
                <w:sz w:val="24"/>
              </w:rPr>
            </w:pPr>
            <w:r>
              <w:rPr>
                <w:rFonts w:hint="eastAsia" w:ascii="宋体" w:hAnsi="宋体" w:cs="仿宋_GB2312"/>
                <w:color w:val="000000"/>
                <w:sz w:val="24"/>
              </w:rPr>
              <w:t>7646.01</w:t>
            </w:r>
          </w:p>
        </w:tc>
        <w:tc>
          <w:tcPr>
            <w:tcW w:w="1333" w:type="dxa"/>
            <w:tcBorders>
              <w:left w:val="single" w:color="auto" w:sz="4" w:space="0"/>
            </w:tcBorders>
            <w:vAlign w:val="center"/>
          </w:tcPr>
          <w:p>
            <w:pPr>
              <w:autoSpaceDN w:val="0"/>
              <w:spacing w:line="400" w:lineRule="exact"/>
              <w:jc w:val="left"/>
              <w:textAlignment w:val="center"/>
              <w:rPr>
                <w:rFonts w:ascii="宋体" w:cs="仿宋_GB2312"/>
                <w:color w:val="000000"/>
                <w:sz w:val="24"/>
              </w:rPr>
            </w:pPr>
            <w:r>
              <w:rPr>
                <w:rFonts w:ascii="宋体" w:cs="仿宋_GB2312"/>
                <w:color w:val="000000"/>
                <w:sz w:val="24"/>
              </w:rPr>
              <w:t>0</w:t>
            </w:r>
          </w:p>
        </w:tc>
        <w:tc>
          <w:tcPr>
            <w:tcW w:w="1450" w:type="dxa"/>
            <w:vAlign w:val="center"/>
          </w:tcPr>
          <w:p>
            <w:pPr>
              <w:autoSpaceDN w:val="0"/>
              <w:spacing w:line="400" w:lineRule="exact"/>
              <w:jc w:val="left"/>
              <w:textAlignment w:val="center"/>
              <w:rPr>
                <w:rFonts w:ascii="宋体" w:cs="仿宋_GB2312"/>
                <w:color w:val="000000"/>
                <w:sz w:val="24"/>
              </w:rPr>
            </w:pPr>
            <w:r>
              <w:rPr>
                <w:rFonts w:hint="eastAsia" w:ascii="宋体" w:hAnsi="宋体" w:cs="仿宋_GB2312"/>
                <w:sz w:val="24"/>
              </w:rPr>
              <w:t>7133.89</w:t>
            </w:r>
          </w:p>
        </w:tc>
        <w:tc>
          <w:tcPr>
            <w:tcW w:w="1617" w:type="dxa"/>
            <w:gridSpan w:val="3"/>
            <w:vAlign w:val="center"/>
          </w:tcPr>
          <w:p>
            <w:pPr>
              <w:autoSpaceDN w:val="0"/>
              <w:spacing w:line="400" w:lineRule="exact"/>
              <w:jc w:val="left"/>
              <w:textAlignment w:val="center"/>
              <w:rPr>
                <w:rFonts w:ascii="宋体" w:cs="仿宋_GB2312"/>
                <w:color w:val="000000"/>
                <w:sz w:val="24"/>
              </w:rPr>
            </w:pPr>
          </w:p>
        </w:tc>
        <w:tc>
          <w:tcPr>
            <w:tcW w:w="1816" w:type="dxa"/>
            <w:gridSpan w:val="3"/>
            <w:vAlign w:val="center"/>
          </w:tcPr>
          <w:p>
            <w:pPr>
              <w:autoSpaceDN w:val="0"/>
              <w:spacing w:line="400" w:lineRule="exact"/>
              <w:jc w:val="center"/>
              <w:textAlignment w:val="center"/>
              <w:rPr>
                <w:rFonts w:ascii="宋体" w:cs="仿宋_GB2312"/>
                <w:color w:val="000000"/>
                <w:sz w:val="24"/>
              </w:rPr>
            </w:pPr>
          </w:p>
        </w:tc>
        <w:tc>
          <w:tcPr>
            <w:tcW w:w="1434" w:type="dxa"/>
            <w:gridSpan w:val="3"/>
            <w:vAlign w:val="center"/>
          </w:tcPr>
          <w:p>
            <w:pPr>
              <w:autoSpaceDN w:val="0"/>
              <w:spacing w:line="400" w:lineRule="exact"/>
              <w:jc w:val="left"/>
              <w:textAlignment w:val="center"/>
              <w:rPr>
                <w:rFonts w:ascii="宋体" w:cs="仿宋_GB2312"/>
                <w:color w:val="000000"/>
                <w:sz w:val="24"/>
              </w:rPr>
            </w:pPr>
            <w:r>
              <w:rPr>
                <w:rFonts w:hint="eastAsia" w:ascii="宋体" w:hAnsi="宋体" w:cs="仿宋_GB2312"/>
                <w:color w:val="000000"/>
                <w:sz w:val="24"/>
              </w:rPr>
              <w:t>512.12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545" w:type="dxa"/>
            <w:vAlign w:val="center"/>
          </w:tcPr>
          <w:p>
            <w:pPr>
              <w:spacing w:line="400" w:lineRule="exact"/>
              <w:rPr>
                <w:rFonts w:ascii="宋体" w:cs="仿宋_GB2312"/>
                <w:sz w:val="24"/>
              </w:rPr>
            </w:pPr>
            <w:r>
              <w:rPr>
                <w:rFonts w:ascii="宋体" w:hAnsi="宋体" w:cs="仿宋_GB2312"/>
                <w:sz w:val="24"/>
              </w:rPr>
              <w:t>2</w:t>
            </w:r>
            <w:r>
              <w:rPr>
                <w:rFonts w:hint="eastAsia" w:ascii="宋体" w:hAnsi="宋体" w:cs="仿宋_GB2312"/>
                <w:sz w:val="24"/>
              </w:rPr>
              <w:t>、二级机构</w:t>
            </w:r>
            <w:r>
              <w:rPr>
                <w:rFonts w:ascii="宋体" w:hAnsi="宋体" w:cs="仿宋_GB2312"/>
                <w:sz w:val="24"/>
              </w:rPr>
              <w:t>1</w:t>
            </w:r>
          </w:p>
        </w:tc>
        <w:tc>
          <w:tcPr>
            <w:tcW w:w="1265" w:type="dxa"/>
            <w:gridSpan w:val="2"/>
            <w:tcBorders>
              <w:right w:val="single" w:color="auto" w:sz="4" w:space="0"/>
            </w:tcBorders>
            <w:vAlign w:val="center"/>
          </w:tcPr>
          <w:p>
            <w:pPr>
              <w:autoSpaceDN w:val="0"/>
              <w:spacing w:line="400" w:lineRule="exact"/>
              <w:jc w:val="left"/>
              <w:textAlignment w:val="center"/>
              <w:rPr>
                <w:rFonts w:ascii="宋体" w:cs="仿宋_GB2312"/>
                <w:color w:val="000000"/>
                <w:sz w:val="24"/>
              </w:rPr>
            </w:pPr>
          </w:p>
        </w:tc>
        <w:tc>
          <w:tcPr>
            <w:tcW w:w="1333" w:type="dxa"/>
            <w:tcBorders>
              <w:left w:val="single" w:color="auto" w:sz="4" w:space="0"/>
            </w:tcBorders>
            <w:vAlign w:val="center"/>
          </w:tcPr>
          <w:p>
            <w:pPr>
              <w:autoSpaceDN w:val="0"/>
              <w:spacing w:line="400" w:lineRule="exact"/>
              <w:jc w:val="left"/>
              <w:textAlignment w:val="center"/>
              <w:rPr>
                <w:rFonts w:ascii="宋体" w:cs="仿宋_GB2312"/>
                <w:color w:val="000000"/>
                <w:sz w:val="24"/>
              </w:rPr>
            </w:pPr>
          </w:p>
        </w:tc>
        <w:tc>
          <w:tcPr>
            <w:tcW w:w="1450" w:type="dxa"/>
            <w:vAlign w:val="center"/>
          </w:tcPr>
          <w:p>
            <w:pPr>
              <w:autoSpaceDN w:val="0"/>
              <w:spacing w:line="400" w:lineRule="exact"/>
              <w:jc w:val="left"/>
              <w:textAlignment w:val="center"/>
              <w:rPr>
                <w:rFonts w:ascii="宋体" w:cs="仿宋_GB2312"/>
                <w:color w:val="000000"/>
                <w:sz w:val="24"/>
              </w:rPr>
            </w:pPr>
          </w:p>
        </w:tc>
        <w:tc>
          <w:tcPr>
            <w:tcW w:w="1617" w:type="dxa"/>
            <w:gridSpan w:val="3"/>
            <w:vAlign w:val="center"/>
          </w:tcPr>
          <w:p>
            <w:pPr>
              <w:autoSpaceDN w:val="0"/>
              <w:spacing w:line="400" w:lineRule="exact"/>
              <w:jc w:val="left"/>
              <w:textAlignment w:val="center"/>
              <w:rPr>
                <w:rFonts w:ascii="宋体" w:cs="仿宋_GB2312"/>
                <w:color w:val="000000"/>
                <w:sz w:val="24"/>
              </w:rPr>
            </w:pPr>
          </w:p>
        </w:tc>
        <w:tc>
          <w:tcPr>
            <w:tcW w:w="1816" w:type="dxa"/>
            <w:gridSpan w:val="3"/>
            <w:vAlign w:val="center"/>
          </w:tcPr>
          <w:p>
            <w:pPr>
              <w:autoSpaceDN w:val="0"/>
              <w:spacing w:line="400" w:lineRule="exact"/>
              <w:jc w:val="center"/>
              <w:textAlignment w:val="center"/>
              <w:rPr>
                <w:rFonts w:ascii="宋体" w:cs="仿宋_GB2312"/>
                <w:color w:val="000000"/>
                <w:sz w:val="24"/>
              </w:rPr>
            </w:pPr>
          </w:p>
        </w:tc>
        <w:tc>
          <w:tcPr>
            <w:tcW w:w="1434" w:type="dxa"/>
            <w:gridSpan w:val="3"/>
            <w:vAlign w:val="center"/>
          </w:tcPr>
          <w:p>
            <w:pPr>
              <w:autoSpaceDN w:val="0"/>
              <w:spacing w:line="400" w:lineRule="exact"/>
              <w:jc w:val="left"/>
              <w:textAlignment w:val="center"/>
              <w:rPr>
                <w:rFonts w:ascii="宋体"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545" w:type="dxa"/>
            <w:vAlign w:val="center"/>
          </w:tcPr>
          <w:p>
            <w:pPr>
              <w:spacing w:line="400" w:lineRule="exact"/>
              <w:rPr>
                <w:rFonts w:ascii="宋体" w:cs="仿宋_GB2312"/>
                <w:sz w:val="24"/>
              </w:rPr>
            </w:pPr>
            <w:r>
              <w:rPr>
                <w:rFonts w:ascii="宋体" w:hAnsi="宋体" w:cs="仿宋_GB2312"/>
                <w:sz w:val="24"/>
              </w:rPr>
              <w:t>3</w:t>
            </w:r>
            <w:r>
              <w:rPr>
                <w:rFonts w:hint="eastAsia" w:ascii="宋体" w:hAnsi="宋体" w:cs="仿宋_GB2312"/>
                <w:sz w:val="24"/>
              </w:rPr>
              <w:t>、二级机构</w:t>
            </w:r>
            <w:r>
              <w:rPr>
                <w:rFonts w:ascii="宋体" w:hAnsi="宋体" w:cs="仿宋_GB2312"/>
                <w:sz w:val="24"/>
              </w:rPr>
              <w:t>2</w:t>
            </w:r>
          </w:p>
        </w:tc>
        <w:tc>
          <w:tcPr>
            <w:tcW w:w="1265" w:type="dxa"/>
            <w:gridSpan w:val="2"/>
            <w:tcBorders>
              <w:right w:val="single" w:color="auto" w:sz="4" w:space="0"/>
            </w:tcBorders>
            <w:vAlign w:val="center"/>
          </w:tcPr>
          <w:p>
            <w:pPr>
              <w:autoSpaceDN w:val="0"/>
              <w:spacing w:line="400" w:lineRule="exact"/>
              <w:jc w:val="left"/>
              <w:textAlignment w:val="center"/>
              <w:rPr>
                <w:rFonts w:ascii="宋体" w:cs="仿宋_GB2312"/>
                <w:color w:val="000000"/>
                <w:sz w:val="24"/>
              </w:rPr>
            </w:pPr>
          </w:p>
        </w:tc>
        <w:tc>
          <w:tcPr>
            <w:tcW w:w="1333" w:type="dxa"/>
            <w:tcBorders>
              <w:left w:val="single" w:color="auto" w:sz="4" w:space="0"/>
            </w:tcBorders>
            <w:vAlign w:val="center"/>
          </w:tcPr>
          <w:p>
            <w:pPr>
              <w:autoSpaceDN w:val="0"/>
              <w:spacing w:line="400" w:lineRule="exact"/>
              <w:jc w:val="left"/>
              <w:textAlignment w:val="center"/>
              <w:rPr>
                <w:rFonts w:ascii="宋体" w:cs="仿宋_GB2312"/>
                <w:color w:val="000000"/>
                <w:sz w:val="24"/>
              </w:rPr>
            </w:pPr>
          </w:p>
        </w:tc>
        <w:tc>
          <w:tcPr>
            <w:tcW w:w="1450" w:type="dxa"/>
            <w:vAlign w:val="center"/>
          </w:tcPr>
          <w:p>
            <w:pPr>
              <w:autoSpaceDN w:val="0"/>
              <w:spacing w:line="400" w:lineRule="exact"/>
              <w:jc w:val="left"/>
              <w:textAlignment w:val="center"/>
              <w:rPr>
                <w:rFonts w:ascii="宋体" w:cs="仿宋_GB2312"/>
                <w:color w:val="000000"/>
                <w:sz w:val="24"/>
              </w:rPr>
            </w:pPr>
          </w:p>
        </w:tc>
        <w:tc>
          <w:tcPr>
            <w:tcW w:w="1617" w:type="dxa"/>
            <w:gridSpan w:val="3"/>
            <w:vAlign w:val="center"/>
          </w:tcPr>
          <w:p>
            <w:pPr>
              <w:autoSpaceDN w:val="0"/>
              <w:spacing w:line="400" w:lineRule="exact"/>
              <w:jc w:val="left"/>
              <w:textAlignment w:val="center"/>
              <w:rPr>
                <w:rFonts w:ascii="宋体" w:cs="仿宋_GB2312"/>
                <w:color w:val="000000"/>
                <w:sz w:val="24"/>
              </w:rPr>
            </w:pPr>
          </w:p>
        </w:tc>
        <w:tc>
          <w:tcPr>
            <w:tcW w:w="1816" w:type="dxa"/>
            <w:gridSpan w:val="3"/>
            <w:vAlign w:val="center"/>
          </w:tcPr>
          <w:p>
            <w:pPr>
              <w:autoSpaceDN w:val="0"/>
              <w:spacing w:line="400" w:lineRule="exact"/>
              <w:jc w:val="center"/>
              <w:textAlignment w:val="center"/>
              <w:rPr>
                <w:rFonts w:ascii="宋体" w:cs="仿宋_GB2312"/>
                <w:color w:val="000000"/>
                <w:sz w:val="24"/>
              </w:rPr>
            </w:pPr>
          </w:p>
        </w:tc>
        <w:tc>
          <w:tcPr>
            <w:tcW w:w="1434" w:type="dxa"/>
            <w:gridSpan w:val="3"/>
            <w:vAlign w:val="center"/>
          </w:tcPr>
          <w:p>
            <w:pPr>
              <w:autoSpaceDN w:val="0"/>
              <w:spacing w:line="400" w:lineRule="exact"/>
              <w:jc w:val="left"/>
              <w:textAlignment w:val="center"/>
              <w:rPr>
                <w:rFonts w:ascii="宋体"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0460" w:type="dxa"/>
            <w:gridSpan w:val="14"/>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45" w:type="dxa"/>
            <w:vMerge w:val="restart"/>
            <w:vAlign w:val="center"/>
          </w:tcPr>
          <w:p>
            <w:pPr>
              <w:snapToGrid w:val="0"/>
              <w:jc w:val="center"/>
              <w:rPr>
                <w:rFonts w:ascii="宋体" w:cs="仿宋_GB2312"/>
                <w:sz w:val="24"/>
              </w:rPr>
            </w:pPr>
            <w:r>
              <w:rPr>
                <w:rFonts w:hint="eastAsia" w:ascii="宋体" w:hAnsi="宋体" w:cs="仿宋_GB2312"/>
                <w:sz w:val="24"/>
              </w:rPr>
              <w:t>机构名称</w:t>
            </w:r>
          </w:p>
        </w:tc>
        <w:tc>
          <w:tcPr>
            <w:tcW w:w="1265" w:type="dxa"/>
            <w:gridSpan w:val="2"/>
            <w:vMerge w:val="restart"/>
            <w:tcBorders>
              <w:right w:val="single" w:color="auto"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支出合计</w:t>
            </w:r>
          </w:p>
        </w:tc>
        <w:tc>
          <w:tcPr>
            <w:tcW w:w="6450" w:type="dxa"/>
            <w:gridSpan w:val="9"/>
            <w:tcBorders>
              <w:left w:val="single" w:color="auto" w:sz="4" w:space="0"/>
              <w:right w:val="single" w:color="auto"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其中：</w:t>
            </w:r>
          </w:p>
        </w:tc>
        <w:tc>
          <w:tcPr>
            <w:tcW w:w="1200" w:type="dxa"/>
            <w:gridSpan w:val="2"/>
            <w:tcBorders>
              <w:left w:val="single" w:color="auto"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45" w:type="dxa"/>
            <w:vMerge w:val="continue"/>
            <w:vAlign w:val="center"/>
          </w:tcPr>
          <w:p>
            <w:pPr>
              <w:spacing w:line="400" w:lineRule="exact"/>
              <w:jc w:val="center"/>
              <w:rPr>
                <w:rFonts w:ascii="宋体" w:cs="仿宋_GB2312"/>
                <w:sz w:val="24"/>
              </w:rPr>
            </w:pPr>
          </w:p>
        </w:tc>
        <w:tc>
          <w:tcPr>
            <w:tcW w:w="1265" w:type="dxa"/>
            <w:gridSpan w:val="2"/>
            <w:vMerge w:val="continue"/>
            <w:tcBorders>
              <w:right w:val="single" w:color="auto" w:sz="4" w:space="0"/>
            </w:tcBorders>
            <w:vAlign w:val="center"/>
          </w:tcPr>
          <w:p>
            <w:pPr>
              <w:autoSpaceDN w:val="0"/>
              <w:spacing w:line="400" w:lineRule="exact"/>
              <w:jc w:val="center"/>
              <w:textAlignment w:val="center"/>
              <w:rPr>
                <w:rFonts w:ascii="宋体" w:cs="仿宋_GB2312"/>
                <w:color w:val="000000"/>
                <w:sz w:val="24"/>
              </w:rPr>
            </w:pPr>
          </w:p>
        </w:tc>
        <w:tc>
          <w:tcPr>
            <w:tcW w:w="1333" w:type="dxa"/>
            <w:vMerge w:val="restart"/>
            <w:tcBorders>
              <w:left w:val="single" w:color="auto"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基本支出</w:t>
            </w:r>
          </w:p>
        </w:tc>
        <w:tc>
          <w:tcPr>
            <w:tcW w:w="3551" w:type="dxa"/>
            <w:gridSpan w:val="5"/>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其中：</w:t>
            </w:r>
          </w:p>
        </w:tc>
        <w:tc>
          <w:tcPr>
            <w:tcW w:w="1566" w:type="dxa"/>
            <w:gridSpan w:val="3"/>
            <w:vMerge w:val="restart"/>
            <w:tcBorders>
              <w:right w:val="single" w:color="auto"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项目支出</w:t>
            </w:r>
          </w:p>
        </w:tc>
        <w:tc>
          <w:tcPr>
            <w:tcW w:w="600" w:type="dxa"/>
            <w:vMerge w:val="restart"/>
            <w:tcBorders>
              <w:left w:val="single" w:color="auto" w:sz="4" w:space="0"/>
            </w:tcBorders>
            <w:vAlign w:val="center"/>
          </w:tcPr>
          <w:p>
            <w:pPr>
              <w:spacing w:line="400" w:lineRule="exact"/>
              <w:jc w:val="center"/>
              <w:rPr>
                <w:rFonts w:ascii="宋体" w:cs="仿宋_GB2312"/>
                <w:color w:val="000000"/>
                <w:sz w:val="24"/>
              </w:rPr>
            </w:pPr>
            <w:r>
              <w:rPr>
                <w:rFonts w:hint="eastAsia" w:ascii="宋体" w:hAnsi="宋体" w:cs="仿宋_GB2312"/>
                <w:color w:val="000000"/>
                <w:sz w:val="24"/>
              </w:rPr>
              <w:t>当年结余</w:t>
            </w:r>
          </w:p>
        </w:tc>
        <w:tc>
          <w:tcPr>
            <w:tcW w:w="600" w:type="dxa"/>
            <w:vMerge w:val="restart"/>
            <w:tcBorders>
              <w:left w:val="single" w:color="auto"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45" w:type="dxa"/>
            <w:vMerge w:val="continue"/>
            <w:vAlign w:val="center"/>
          </w:tcPr>
          <w:p>
            <w:pPr>
              <w:spacing w:line="400" w:lineRule="exact"/>
              <w:jc w:val="center"/>
              <w:rPr>
                <w:rFonts w:ascii="宋体" w:cs="仿宋_GB2312"/>
                <w:sz w:val="24"/>
              </w:rPr>
            </w:pPr>
          </w:p>
        </w:tc>
        <w:tc>
          <w:tcPr>
            <w:tcW w:w="1265" w:type="dxa"/>
            <w:gridSpan w:val="2"/>
            <w:vMerge w:val="continue"/>
            <w:tcBorders>
              <w:right w:val="single" w:color="auto" w:sz="4" w:space="0"/>
            </w:tcBorders>
            <w:vAlign w:val="center"/>
          </w:tcPr>
          <w:p>
            <w:pPr>
              <w:autoSpaceDN w:val="0"/>
              <w:spacing w:line="400" w:lineRule="exact"/>
              <w:jc w:val="center"/>
              <w:textAlignment w:val="center"/>
              <w:rPr>
                <w:rFonts w:ascii="宋体" w:cs="仿宋_GB2312"/>
                <w:color w:val="000000"/>
                <w:sz w:val="24"/>
              </w:rPr>
            </w:pPr>
          </w:p>
        </w:tc>
        <w:tc>
          <w:tcPr>
            <w:tcW w:w="1333" w:type="dxa"/>
            <w:vMerge w:val="continue"/>
            <w:tcBorders>
              <w:left w:val="single" w:color="auto" w:sz="4" w:space="0"/>
            </w:tcBorders>
            <w:vAlign w:val="center"/>
          </w:tcPr>
          <w:p>
            <w:pPr>
              <w:autoSpaceDN w:val="0"/>
              <w:spacing w:line="400" w:lineRule="exact"/>
              <w:jc w:val="center"/>
              <w:textAlignment w:val="center"/>
              <w:rPr>
                <w:rFonts w:ascii="宋体" w:cs="仿宋_GB2312"/>
                <w:color w:val="000000"/>
                <w:sz w:val="24"/>
              </w:rPr>
            </w:pPr>
          </w:p>
        </w:tc>
        <w:tc>
          <w:tcPr>
            <w:tcW w:w="1751" w:type="dxa"/>
            <w:gridSpan w:val="3"/>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人员支出</w:t>
            </w:r>
          </w:p>
        </w:tc>
        <w:tc>
          <w:tcPr>
            <w:tcW w:w="1800" w:type="dxa"/>
            <w:gridSpan w:val="2"/>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公用支出</w:t>
            </w:r>
          </w:p>
        </w:tc>
        <w:tc>
          <w:tcPr>
            <w:tcW w:w="1566" w:type="dxa"/>
            <w:gridSpan w:val="3"/>
            <w:vMerge w:val="continue"/>
            <w:tcBorders>
              <w:right w:val="single" w:color="auto" w:sz="4" w:space="0"/>
            </w:tcBorders>
            <w:vAlign w:val="center"/>
          </w:tcPr>
          <w:p>
            <w:pPr>
              <w:autoSpaceDN w:val="0"/>
              <w:spacing w:line="400" w:lineRule="exact"/>
              <w:jc w:val="center"/>
              <w:textAlignment w:val="center"/>
              <w:rPr>
                <w:rFonts w:ascii="宋体" w:cs="仿宋_GB2312"/>
                <w:color w:val="000000"/>
                <w:sz w:val="24"/>
              </w:rPr>
            </w:pPr>
          </w:p>
        </w:tc>
        <w:tc>
          <w:tcPr>
            <w:tcW w:w="600" w:type="dxa"/>
            <w:vMerge w:val="continue"/>
            <w:tcBorders>
              <w:left w:val="single" w:color="auto" w:sz="4" w:space="0"/>
            </w:tcBorders>
            <w:vAlign w:val="center"/>
          </w:tcPr>
          <w:p>
            <w:pPr>
              <w:spacing w:line="400" w:lineRule="exact"/>
              <w:jc w:val="center"/>
              <w:rPr>
                <w:rFonts w:ascii="宋体" w:cs="仿宋_GB2312"/>
                <w:color w:val="000000"/>
                <w:sz w:val="24"/>
              </w:rPr>
            </w:pPr>
          </w:p>
        </w:tc>
        <w:tc>
          <w:tcPr>
            <w:tcW w:w="600" w:type="dxa"/>
            <w:vMerge w:val="continue"/>
            <w:tcBorders>
              <w:left w:val="single" w:color="auto" w:sz="4" w:space="0"/>
            </w:tcBorders>
            <w:vAlign w:val="center"/>
          </w:tcPr>
          <w:p>
            <w:pPr>
              <w:autoSpaceDN w:val="0"/>
              <w:spacing w:line="400" w:lineRule="exact"/>
              <w:jc w:val="center"/>
              <w:textAlignment w:val="center"/>
              <w:rPr>
                <w:rFonts w:ascii="宋体"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45" w:type="dxa"/>
            <w:vAlign w:val="center"/>
          </w:tcPr>
          <w:p>
            <w:pPr>
              <w:spacing w:line="400" w:lineRule="exact"/>
              <w:jc w:val="left"/>
              <w:rPr>
                <w:rFonts w:ascii="宋体" w:cs="仿宋_GB2312"/>
                <w:sz w:val="24"/>
              </w:rPr>
            </w:pPr>
            <w:r>
              <w:rPr>
                <w:rFonts w:hint="eastAsia" w:ascii="宋体" w:hAnsi="宋体" w:cs="仿宋_GB2312"/>
                <w:color w:val="000000"/>
                <w:sz w:val="24"/>
              </w:rPr>
              <w:t>局机关及二级机构汇总</w:t>
            </w:r>
          </w:p>
        </w:tc>
        <w:tc>
          <w:tcPr>
            <w:tcW w:w="1265" w:type="dxa"/>
            <w:gridSpan w:val="2"/>
            <w:tcBorders>
              <w:right w:val="single" w:color="auto"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sz w:val="24"/>
              </w:rPr>
              <w:t>9685.85</w:t>
            </w:r>
          </w:p>
        </w:tc>
        <w:tc>
          <w:tcPr>
            <w:tcW w:w="1333" w:type="dxa"/>
            <w:tcBorders>
              <w:left w:val="single" w:color="auto"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sz w:val="24"/>
              </w:rPr>
              <w:t>1021.47</w:t>
            </w:r>
          </w:p>
        </w:tc>
        <w:tc>
          <w:tcPr>
            <w:tcW w:w="1751" w:type="dxa"/>
            <w:gridSpan w:val="3"/>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687.4</w:t>
            </w:r>
          </w:p>
        </w:tc>
        <w:tc>
          <w:tcPr>
            <w:tcW w:w="1800" w:type="dxa"/>
            <w:gridSpan w:val="2"/>
            <w:vAlign w:val="center"/>
          </w:tcPr>
          <w:p>
            <w:pPr>
              <w:autoSpaceDN w:val="0"/>
              <w:spacing w:line="400" w:lineRule="exact"/>
              <w:ind w:firstLine="720" w:firstLineChars="300"/>
              <w:textAlignment w:val="center"/>
              <w:rPr>
                <w:rFonts w:ascii="宋体" w:cs="仿宋_GB2312"/>
                <w:color w:val="000000"/>
                <w:sz w:val="24"/>
              </w:rPr>
            </w:pPr>
            <w:r>
              <w:rPr>
                <w:rFonts w:hint="eastAsia" w:ascii="宋体" w:hAnsi="宋体" w:cs="仿宋_GB2312"/>
                <w:color w:val="000000"/>
                <w:sz w:val="24"/>
              </w:rPr>
              <w:t>334.07</w:t>
            </w:r>
          </w:p>
        </w:tc>
        <w:tc>
          <w:tcPr>
            <w:tcW w:w="1566" w:type="dxa"/>
            <w:gridSpan w:val="3"/>
            <w:vAlign w:val="center"/>
          </w:tcPr>
          <w:p>
            <w:pPr>
              <w:autoSpaceDN w:val="0"/>
              <w:spacing w:line="400" w:lineRule="exact"/>
              <w:jc w:val="center"/>
              <w:textAlignment w:val="center"/>
              <w:rPr>
                <w:rFonts w:ascii="宋体" w:cs="仿宋_GB2312"/>
                <w:color w:val="000000"/>
                <w:sz w:val="24"/>
              </w:rPr>
            </w:pPr>
            <w:r>
              <w:rPr>
                <w:rFonts w:hint="eastAsia" w:ascii="宋体" w:cs="仿宋_GB2312"/>
                <w:color w:val="000000"/>
                <w:sz w:val="24"/>
              </w:rPr>
              <w:t>8664.38</w:t>
            </w:r>
          </w:p>
        </w:tc>
        <w:tc>
          <w:tcPr>
            <w:tcW w:w="600" w:type="dxa"/>
            <w:vAlign w:val="center"/>
          </w:tcPr>
          <w:p>
            <w:pPr>
              <w:autoSpaceDN w:val="0"/>
              <w:spacing w:line="400" w:lineRule="exact"/>
              <w:jc w:val="center"/>
              <w:textAlignment w:val="center"/>
              <w:rPr>
                <w:rFonts w:ascii="宋体" w:cs="仿宋_GB2312"/>
                <w:color w:val="000000"/>
                <w:sz w:val="24"/>
              </w:rPr>
            </w:pPr>
            <w:r>
              <w:rPr>
                <w:rFonts w:ascii="宋体" w:cs="仿宋_GB2312"/>
                <w:color w:val="000000"/>
                <w:sz w:val="24"/>
              </w:rPr>
              <w:t>0</w:t>
            </w:r>
          </w:p>
        </w:tc>
        <w:tc>
          <w:tcPr>
            <w:tcW w:w="600" w:type="dxa"/>
            <w:vAlign w:val="center"/>
          </w:tcPr>
          <w:p>
            <w:pPr>
              <w:autoSpaceDN w:val="0"/>
              <w:spacing w:line="400" w:lineRule="exact"/>
              <w:jc w:val="center"/>
              <w:textAlignment w:val="center"/>
              <w:rPr>
                <w:rFonts w:ascii="宋体"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45" w:type="dxa"/>
            <w:vAlign w:val="center"/>
          </w:tcPr>
          <w:p>
            <w:pPr>
              <w:spacing w:line="400" w:lineRule="exact"/>
              <w:jc w:val="left"/>
              <w:rPr>
                <w:rFonts w:ascii="宋体" w:cs="仿宋_GB2312"/>
                <w:color w:val="000000"/>
                <w:sz w:val="24"/>
              </w:rPr>
            </w:pPr>
            <w:r>
              <w:rPr>
                <w:rFonts w:ascii="宋体" w:hAnsi="宋体" w:cs="仿宋_GB2312"/>
                <w:sz w:val="24"/>
              </w:rPr>
              <w:t>1</w:t>
            </w:r>
            <w:r>
              <w:rPr>
                <w:rFonts w:hint="eastAsia" w:ascii="宋体" w:hAnsi="宋体" w:cs="仿宋_GB2312"/>
                <w:sz w:val="24"/>
              </w:rPr>
              <w:t>、局机关</w:t>
            </w:r>
          </w:p>
        </w:tc>
        <w:tc>
          <w:tcPr>
            <w:tcW w:w="1265" w:type="dxa"/>
            <w:gridSpan w:val="2"/>
            <w:tcBorders>
              <w:right w:val="single" w:color="auto"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sz w:val="24"/>
              </w:rPr>
              <w:t>9685.85</w:t>
            </w:r>
          </w:p>
        </w:tc>
        <w:tc>
          <w:tcPr>
            <w:tcW w:w="1333" w:type="dxa"/>
            <w:tcBorders>
              <w:left w:val="single" w:color="auto"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sz w:val="24"/>
              </w:rPr>
              <w:t>1021.47</w:t>
            </w:r>
          </w:p>
        </w:tc>
        <w:tc>
          <w:tcPr>
            <w:tcW w:w="1751" w:type="dxa"/>
            <w:gridSpan w:val="3"/>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687.4</w:t>
            </w:r>
          </w:p>
        </w:tc>
        <w:tc>
          <w:tcPr>
            <w:tcW w:w="1800" w:type="dxa"/>
            <w:gridSpan w:val="2"/>
            <w:vAlign w:val="center"/>
          </w:tcPr>
          <w:p>
            <w:pPr>
              <w:autoSpaceDN w:val="0"/>
              <w:spacing w:line="400" w:lineRule="exact"/>
              <w:ind w:firstLine="720" w:firstLineChars="300"/>
              <w:textAlignment w:val="center"/>
              <w:rPr>
                <w:rFonts w:ascii="宋体" w:cs="仿宋_GB2312"/>
                <w:color w:val="000000"/>
                <w:sz w:val="24"/>
              </w:rPr>
            </w:pPr>
            <w:r>
              <w:rPr>
                <w:rFonts w:hint="eastAsia" w:ascii="宋体" w:hAnsi="宋体" w:cs="仿宋_GB2312"/>
                <w:color w:val="000000"/>
                <w:sz w:val="24"/>
              </w:rPr>
              <w:t>334.07</w:t>
            </w:r>
          </w:p>
        </w:tc>
        <w:tc>
          <w:tcPr>
            <w:tcW w:w="1566" w:type="dxa"/>
            <w:gridSpan w:val="3"/>
            <w:vAlign w:val="center"/>
          </w:tcPr>
          <w:p>
            <w:pPr>
              <w:autoSpaceDN w:val="0"/>
              <w:spacing w:line="400" w:lineRule="exact"/>
              <w:jc w:val="center"/>
              <w:textAlignment w:val="center"/>
              <w:rPr>
                <w:rFonts w:ascii="宋体" w:cs="仿宋_GB2312"/>
                <w:color w:val="000000"/>
                <w:sz w:val="24"/>
              </w:rPr>
            </w:pPr>
            <w:r>
              <w:rPr>
                <w:rFonts w:hint="eastAsia" w:ascii="宋体" w:cs="仿宋_GB2312"/>
                <w:color w:val="000000"/>
                <w:sz w:val="24"/>
              </w:rPr>
              <w:t>8664.38</w:t>
            </w:r>
          </w:p>
        </w:tc>
        <w:tc>
          <w:tcPr>
            <w:tcW w:w="600" w:type="dxa"/>
            <w:vAlign w:val="center"/>
          </w:tcPr>
          <w:p>
            <w:pPr>
              <w:autoSpaceDN w:val="0"/>
              <w:spacing w:line="400" w:lineRule="exact"/>
              <w:jc w:val="center"/>
              <w:textAlignment w:val="center"/>
              <w:rPr>
                <w:rFonts w:ascii="宋体" w:cs="仿宋_GB2312"/>
                <w:color w:val="000000"/>
                <w:sz w:val="24"/>
              </w:rPr>
            </w:pPr>
            <w:r>
              <w:rPr>
                <w:rFonts w:ascii="宋体" w:cs="仿宋_GB2312"/>
                <w:color w:val="000000"/>
                <w:sz w:val="24"/>
              </w:rPr>
              <w:t>0</w:t>
            </w:r>
          </w:p>
        </w:tc>
        <w:tc>
          <w:tcPr>
            <w:tcW w:w="600" w:type="dxa"/>
            <w:vAlign w:val="center"/>
          </w:tcPr>
          <w:p>
            <w:pPr>
              <w:autoSpaceDN w:val="0"/>
              <w:spacing w:line="400" w:lineRule="exact"/>
              <w:jc w:val="center"/>
              <w:textAlignment w:val="center"/>
              <w:rPr>
                <w:rFonts w:ascii="宋体"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45" w:type="dxa"/>
            <w:vAlign w:val="center"/>
          </w:tcPr>
          <w:p>
            <w:pPr>
              <w:spacing w:line="400" w:lineRule="exact"/>
              <w:jc w:val="left"/>
              <w:rPr>
                <w:rFonts w:ascii="宋体" w:cs="仿宋_GB2312"/>
                <w:color w:val="000000"/>
                <w:sz w:val="24"/>
              </w:rPr>
            </w:pPr>
            <w:r>
              <w:rPr>
                <w:rFonts w:ascii="宋体" w:hAnsi="宋体" w:cs="仿宋_GB2312"/>
                <w:sz w:val="24"/>
              </w:rPr>
              <w:t>2</w:t>
            </w:r>
            <w:r>
              <w:rPr>
                <w:rFonts w:hint="eastAsia" w:ascii="宋体" w:hAnsi="宋体" w:cs="仿宋_GB2312"/>
                <w:sz w:val="24"/>
              </w:rPr>
              <w:t>、二级机构</w:t>
            </w:r>
            <w:r>
              <w:rPr>
                <w:rFonts w:ascii="宋体" w:hAnsi="宋体" w:cs="仿宋_GB2312"/>
                <w:sz w:val="24"/>
              </w:rPr>
              <w:t>1</w:t>
            </w:r>
          </w:p>
        </w:tc>
        <w:tc>
          <w:tcPr>
            <w:tcW w:w="1265" w:type="dxa"/>
            <w:gridSpan w:val="2"/>
            <w:tcBorders>
              <w:right w:val="single" w:color="auto" w:sz="4" w:space="0"/>
            </w:tcBorders>
            <w:vAlign w:val="center"/>
          </w:tcPr>
          <w:p>
            <w:pPr>
              <w:autoSpaceDN w:val="0"/>
              <w:spacing w:line="400" w:lineRule="exact"/>
              <w:jc w:val="center"/>
              <w:textAlignment w:val="center"/>
              <w:rPr>
                <w:rFonts w:ascii="宋体" w:cs="仿宋_GB2312"/>
                <w:color w:val="000000"/>
                <w:sz w:val="24"/>
              </w:rPr>
            </w:pPr>
          </w:p>
        </w:tc>
        <w:tc>
          <w:tcPr>
            <w:tcW w:w="1333" w:type="dxa"/>
            <w:tcBorders>
              <w:left w:val="single" w:color="auto" w:sz="4" w:space="0"/>
            </w:tcBorders>
            <w:vAlign w:val="center"/>
          </w:tcPr>
          <w:p>
            <w:pPr>
              <w:autoSpaceDN w:val="0"/>
              <w:spacing w:line="400" w:lineRule="exact"/>
              <w:jc w:val="center"/>
              <w:textAlignment w:val="center"/>
              <w:rPr>
                <w:rFonts w:ascii="宋体" w:cs="仿宋_GB2312"/>
                <w:color w:val="000000"/>
                <w:sz w:val="24"/>
              </w:rPr>
            </w:pPr>
          </w:p>
        </w:tc>
        <w:tc>
          <w:tcPr>
            <w:tcW w:w="1751" w:type="dxa"/>
            <w:gridSpan w:val="3"/>
            <w:vAlign w:val="center"/>
          </w:tcPr>
          <w:p>
            <w:pPr>
              <w:autoSpaceDN w:val="0"/>
              <w:spacing w:line="400" w:lineRule="exact"/>
              <w:jc w:val="center"/>
              <w:textAlignment w:val="center"/>
              <w:rPr>
                <w:rFonts w:ascii="宋体" w:cs="仿宋_GB2312"/>
                <w:color w:val="000000"/>
                <w:sz w:val="24"/>
              </w:rPr>
            </w:pPr>
          </w:p>
        </w:tc>
        <w:tc>
          <w:tcPr>
            <w:tcW w:w="1800" w:type="dxa"/>
            <w:gridSpan w:val="2"/>
            <w:vAlign w:val="center"/>
          </w:tcPr>
          <w:p>
            <w:pPr>
              <w:autoSpaceDN w:val="0"/>
              <w:spacing w:line="400" w:lineRule="exact"/>
              <w:jc w:val="center"/>
              <w:textAlignment w:val="center"/>
              <w:rPr>
                <w:rFonts w:ascii="宋体" w:cs="仿宋_GB2312"/>
                <w:color w:val="000000"/>
                <w:sz w:val="24"/>
              </w:rPr>
            </w:pPr>
          </w:p>
        </w:tc>
        <w:tc>
          <w:tcPr>
            <w:tcW w:w="1566" w:type="dxa"/>
            <w:gridSpan w:val="3"/>
            <w:vAlign w:val="center"/>
          </w:tcPr>
          <w:p>
            <w:pPr>
              <w:autoSpaceDN w:val="0"/>
              <w:spacing w:line="400" w:lineRule="exact"/>
              <w:jc w:val="center"/>
              <w:textAlignment w:val="center"/>
              <w:rPr>
                <w:rFonts w:ascii="宋体" w:cs="仿宋_GB2312"/>
                <w:color w:val="000000"/>
                <w:sz w:val="24"/>
              </w:rPr>
            </w:pPr>
          </w:p>
        </w:tc>
        <w:tc>
          <w:tcPr>
            <w:tcW w:w="600" w:type="dxa"/>
            <w:vAlign w:val="center"/>
          </w:tcPr>
          <w:p>
            <w:pPr>
              <w:autoSpaceDN w:val="0"/>
              <w:spacing w:line="400" w:lineRule="exact"/>
              <w:jc w:val="center"/>
              <w:textAlignment w:val="center"/>
              <w:rPr>
                <w:rFonts w:ascii="宋体" w:cs="仿宋_GB2312"/>
                <w:color w:val="000000"/>
                <w:sz w:val="24"/>
              </w:rPr>
            </w:pPr>
          </w:p>
        </w:tc>
        <w:tc>
          <w:tcPr>
            <w:tcW w:w="600" w:type="dxa"/>
            <w:vAlign w:val="center"/>
          </w:tcPr>
          <w:p>
            <w:pPr>
              <w:autoSpaceDN w:val="0"/>
              <w:spacing w:line="400" w:lineRule="exact"/>
              <w:jc w:val="center"/>
              <w:textAlignment w:val="center"/>
              <w:rPr>
                <w:rFonts w:ascii="宋体"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45" w:type="dxa"/>
            <w:vAlign w:val="center"/>
          </w:tcPr>
          <w:p>
            <w:pPr>
              <w:spacing w:line="400" w:lineRule="exact"/>
              <w:jc w:val="left"/>
              <w:rPr>
                <w:rFonts w:ascii="宋体" w:cs="仿宋_GB2312"/>
                <w:color w:val="000000"/>
                <w:sz w:val="24"/>
              </w:rPr>
            </w:pPr>
            <w:r>
              <w:rPr>
                <w:rFonts w:ascii="宋体" w:hAnsi="宋体" w:cs="仿宋_GB2312"/>
                <w:sz w:val="24"/>
              </w:rPr>
              <w:t>3</w:t>
            </w:r>
            <w:r>
              <w:rPr>
                <w:rFonts w:hint="eastAsia" w:ascii="宋体" w:hAnsi="宋体" w:cs="仿宋_GB2312"/>
                <w:sz w:val="24"/>
              </w:rPr>
              <w:t>、二级机构</w:t>
            </w:r>
            <w:r>
              <w:rPr>
                <w:rFonts w:ascii="宋体" w:hAnsi="宋体" w:cs="仿宋_GB2312"/>
                <w:sz w:val="24"/>
              </w:rPr>
              <w:t>2</w:t>
            </w:r>
          </w:p>
        </w:tc>
        <w:tc>
          <w:tcPr>
            <w:tcW w:w="1265" w:type="dxa"/>
            <w:gridSpan w:val="2"/>
            <w:tcBorders>
              <w:right w:val="single" w:color="auto" w:sz="4" w:space="0"/>
            </w:tcBorders>
            <w:vAlign w:val="center"/>
          </w:tcPr>
          <w:p>
            <w:pPr>
              <w:autoSpaceDN w:val="0"/>
              <w:spacing w:line="400" w:lineRule="exact"/>
              <w:jc w:val="center"/>
              <w:textAlignment w:val="center"/>
              <w:rPr>
                <w:rFonts w:ascii="宋体" w:cs="仿宋_GB2312"/>
                <w:color w:val="000000"/>
                <w:sz w:val="24"/>
              </w:rPr>
            </w:pPr>
          </w:p>
        </w:tc>
        <w:tc>
          <w:tcPr>
            <w:tcW w:w="1333" w:type="dxa"/>
            <w:tcBorders>
              <w:left w:val="single" w:color="auto" w:sz="4" w:space="0"/>
            </w:tcBorders>
            <w:vAlign w:val="center"/>
          </w:tcPr>
          <w:p>
            <w:pPr>
              <w:autoSpaceDN w:val="0"/>
              <w:spacing w:line="400" w:lineRule="exact"/>
              <w:jc w:val="center"/>
              <w:textAlignment w:val="center"/>
              <w:rPr>
                <w:rFonts w:ascii="宋体" w:cs="仿宋_GB2312"/>
                <w:color w:val="000000"/>
                <w:sz w:val="24"/>
              </w:rPr>
            </w:pPr>
          </w:p>
        </w:tc>
        <w:tc>
          <w:tcPr>
            <w:tcW w:w="1751" w:type="dxa"/>
            <w:gridSpan w:val="3"/>
            <w:vAlign w:val="center"/>
          </w:tcPr>
          <w:p>
            <w:pPr>
              <w:autoSpaceDN w:val="0"/>
              <w:spacing w:line="400" w:lineRule="exact"/>
              <w:jc w:val="center"/>
              <w:textAlignment w:val="center"/>
              <w:rPr>
                <w:rFonts w:ascii="宋体" w:cs="仿宋_GB2312"/>
                <w:color w:val="000000"/>
                <w:sz w:val="24"/>
              </w:rPr>
            </w:pPr>
          </w:p>
        </w:tc>
        <w:tc>
          <w:tcPr>
            <w:tcW w:w="1800" w:type="dxa"/>
            <w:gridSpan w:val="2"/>
            <w:vAlign w:val="center"/>
          </w:tcPr>
          <w:p>
            <w:pPr>
              <w:autoSpaceDN w:val="0"/>
              <w:spacing w:line="400" w:lineRule="exact"/>
              <w:jc w:val="center"/>
              <w:textAlignment w:val="center"/>
              <w:rPr>
                <w:rFonts w:ascii="宋体" w:cs="仿宋_GB2312"/>
                <w:color w:val="000000"/>
                <w:sz w:val="24"/>
              </w:rPr>
            </w:pPr>
          </w:p>
        </w:tc>
        <w:tc>
          <w:tcPr>
            <w:tcW w:w="1566" w:type="dxa"/>
            <w:gridSpan w:val="3"/>
            <w:vAlign w:val="center"/>
          </w:tcPr>
          <w:p>
            <w:pPr>
              <w:autoSpaceDN w:val="0"/>
              <w:spacing w:line="400" w:lineRule="exact"/>
              <w:jc w:val="center"/>
              <w:textAlignment w:val="center"/>
              <w:rPr>
                <w:rFonts w:ascii="宋体" w:cs="仿宋_GB2312"/>
                <w:color w:val="000000"/>
                <w:sz w:val="24"/>
              </w:rPr>
            </w:pPr>
          </w:p>
        </w:tc>
        <w:tc>
          <w:tcPr>
            <w:tcW w:w="600" w:type="dxa"/>
            <w:vAlign w:val="center"/>
          </w:tcPr>
          <w:p>
            <w:pPr>
              <w:autoSpaceDN w:val="0"/>
              <w:spacing w:line="400" w:lineRule="exact"/>
              <w:jc w:val="center"/>
              <w:textAlignment w:val="center"/>
              <w:rPr>
                <w:rFonts w:ascii="宋体" w:cs="仿宋_GB2312"/>
                <w:color w:val="000000"/>
                <w:sz w:val="24"/>
              </w:rPr>
            </w:pPr>
          </w:p>
        </w:tc>
        <w:tc>
          <w:tcPr>
            <w:tcW w:w="600" w:type="dxa"/>
            <w:vAlign w:val="center"/>
          </w:tcPr>
          <w:p>
            <w:pPr>
              <w:autoSpaceDN w:val="0"/>
              <w:spacing w:line="400" w:lineRule="exact"/>
              <w:jc w:val="center"/>
              <w:textAlignment w:val="center"/>
              <w:rPr>
                <w:rFonts w:ascii="宋体"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45" w:type="dxa"/>
            <w:vMerge w:val="restart"/>
            <w:vAlign w:val="center"/>
          </w:tcPr>
          <w:p>
            <w:pPr>
              <w:spacing w:line="400" w:lineRule="exact"/>
              <w:jc w:val="center"/>
              <w:rPr>
                <w:rFonts w:ascii="宋体" w:cs="仿宋_GB2312"/>
                <w:sz w:val="24"/>
              </w:rPr>
            </w:pPr>
            <w:r>
              <w:rPr>
                <w:rFonts w:hint="eastAsia" w:ascii="宋体" w:hAnsi="宋体" w:cs="仿宋_GB2312"/>
                <w:sz w:val="24"/>
              </w:rPr>
              <w:t>机构名称</w:t>
            </w:r>
          </w:p>
        </w:tc>
        <w:tc>
          <w:tcPr>
            <w:tcW w:w="1265" w:type="dxa"/>
            <w:gridSpan w:val="2"/>
            <w:vMerge w:val="restart"/>
            <w:tcBorders>
              <w:right w:val="single" w:color="auto" w:sz="4" w:space="0"/>
            </w:tcBorders>
            <w:vAlign w:val="center"/>
          </w:tcPr>
          <w:p>
            <w:pPr>
              <w:autoSpaceDN w:val="0"/>
              <w:spacing w:line="400" w:lineRule="exact"/>
              <w:jc w:val="center"/>
              <w:textAlignment w:val="center"/>
              <w:rPr>
                <w:rFonts w:ascii="宋体" w:cs="仿宋_GB2312"/>
                <w:color w:val="000000"/>
                <w:sz w:val="24"/>
              </w:rPr>
            </w:pPr>
            <w:bookmarkStart w:id="1" w:name="_GoBack"/>
            <w:r>
              <w:rPr>
                <w:rFonts w:hint="eastAsia" w:ascii="宋体" w:hAnsi="宋体" w:cs="仿宋_GB2312"/>
                <w:color w:val="000000"/>
                <w:sz w:val="24"/>
              </w:rPr>
              <w:t>三公</w:t>
            </w:r>
            <w:bookmarkEnd w:id="1"/>
            <w:r>
              <w:rPr>
                <w:rFonts w:hint="eastAsia" w:ascii="宋体" w:hAnsi="宋体" w:cs="仿宋_GB2312"/>
                <w:color w:val="000000"/>
                <w:sz w:val="24"/>
              </w:rPr>
              <w:t>经费</w:t>
            </w:r>
          </w:p>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合计</w:t>
            </w:r>
          </w:p>
        </w:tc>
        <w:tc>
          <w:tcPr>
            <w:tcW w:w="7650" w:type="dxa"/>
            <w:gridSpan w:val="11"/>
            <w:tcBorders>
              <w:left w:val="single" w:color="auto"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45" w:type="dxa"/>
            <w:vMerge w:val="continue"/>
            <w:vAlign w:val="center"/>
          </w:tcPr>
          <w:p>
            <w:pPr>
              <w:spacing w:line="400" w:lineRule="exact"/>
              <w:jc w:val="center"/>
              <w:rPr>
                <w:rFonts w:ascii="宋体" w:cs="仿宋_GB2312"/>
                <w:sz w:val="24"/>
              </w:rPr>
            </w:pPr>
          </w:p>
        </w:tc>
        <w:tc>
          <w:tcPr>
            <w:tcW w:w="1265" w:type="dxa"/>
            <w:gridSpan w:val="2"/>
            <w:vMerge w:val="continue"/>
            <w:tcBorders>
              <w:right w:val="single" w:color="auto" w:sz="4" w:space="0"/>
            </w:tcBorders>
            <w:vAlign w:val="center"/>
          </w:tcPr>
          <w:p>
            <w:pPr>
              <w:autoSpaceDN w:val="0"/>
              <w:spacing w:line="400" w:lineRule="exact"/>
              <w:jc w:val="center"/>
              <w:textAlignment w:val="center"/>
              <w:rPr>
                <w:rFonts w:ascii="宋体" w:cs="仿宋_GB2312"/>
                <w:color w:val="000000"/>
                <w:sz w:val="24"/>
              </w:rPr>
            </w:pPr>
          </w:p>
        </w:tc>
        <w:tc>
          <w:tcPr>
            <w:tcW w:w="1333" w:type="dxa"/>
            <w:tcBorders>
              <w:left w:val="single" w:color="auto"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公务接待费</w:t>
            </w:r>
          </w:p>
        </w:tc>
        <w:tc>
          <w:tcPr>
            <w:tcW w:w="1751" w:type="dxa"/>
            <w:gridSpan w:val="3"/>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公务用车运维费</w:t>
            </w:r>
          </w:p>
        </w:tc>
        <w:tc>
          <w:tcPr>
            <w:tcW w:w="1800" w:type="dxa"/>
            <w:gridSpan w:val="2"/>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公务用车购置费</w:t>
            </w:r>
          </w:p>
        </w:tc>
        <w:tc>
          <w:tcPr>
            <w:tcW w:w="2766" w:type="dxa"/>
            <w:gridSpan w:val="5"/>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45" w:type="dxa"/>
            <w:vAlign w:val="center"/>
          </w:tcPr>
          <w:p>
            <w:pPr>
              <w:spacing w:line="400" w:lineRule="exact"/>
              <w:jc w:val="left"/>
              <w:rPr>
                <w:rFonts w:ascii="宋体" w:cs="仿宋_GB2312"/>
                <w:sz w:val="24"/>
              </w:rPr>
            </w:pPr>
            <w:r>
              <w:rPr>
                <w:rFonts w:hint="eastAsia" w:ascii="宋体" w:hAnsi="宋体" w:cs="仿宋_GB2312"/>
                <w:color w:val="000000"/>
                <w:sz w:val="24"/>
              </w:rPr>
              <w:t>局机关及二级机构汇总</w:t>
            </w:r>
          </w:p>
        </w:tc>
        <w:tc>
          <w:tcPr>
            <w:tcW w:w="1265" w:type="dxa"/>
            <w:gridSpan w:val="2"/>
            <w:tcBorders>
              <w:right w:val="single" w:color="auto"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0.89</w:t>
            </w:r>
          </w:p>
        </w:tc>
        <w:tc>
          <w:tcPr>
            <w:tcW w:w="1333" w:type="dxa"/>
            <w:tcBorders>
              <w:left w:val="single" w:color="auto"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0.89</w:t>
            </w:r>
          </w:p>
        </w:tc>
        <w:tc>
          <w:tcPr>
            <w:tcW w:w="1751" w:type="dxa"/>
            <w:gridSpan w:val="3"/>
            <w:vAlign w:val="center"/>
          </w:tcPr>
          <w:p>
            <w:pPr>
              <w:autoSpaceDN w:val="0"/>
              <w:spacing w:line="400" w:lineRule="exact"/>
              <w:ind w:firstLine="720" w:firstLineChars="300"/>
              <w:textAlignment w:val="center"/>
              <w:rPr>
                <w:rFonts w:ascii="宋体" w:cs="仿宋_GB2312"/>
                <w:color w:val="000000"/>
                <w:sz w:val="24"/>
              </w:rPr>
            </w:pPr>
          </w:p>
        </w:tc>
        <w:tc>
          <w:tcPr>
            <w:tcW w:w="1800" w:type="dxa"/>
            <w:gridSpan w:val="2"/>
            <w:vAlign w:val="center"/>
          </w:tcPr>
          <w:p>
            <w:pPr>
              <w:autoSpaceDN w:val="0"/>
              <w:spacing w:line="400" w:lineRule="exact"/>
              <w:jc w:val="center"/>
              <w:textAlignment w:val="center"/>
              <w:rPr>
                <w:rFonts w:ascii="宋体" w:cs="仿宋_GB2312"/>
                <w:color w:val="000000"/>
                <w:sz w:val="24"/>
              </w:rPr>
            </w:pPr>
            <w:r>
              <w:rPr>
                <w:rFonts w:ascii="宋体" w:cs="仿宋_GB2312"/>
                <w:color w:val="000000"/>
                <w:sz w:val="24"/>
              </w:rPr>
              <w:t>0</w:t>
            </w:r>
          </w:p>
        </w:tc>
        <w:tc>
          <w:tcPr>
            <w:tcW w:w="2766" w:type="dxa"/>
            <w:gridSpan w:val="5"/>
            <w:vAlign w:val="center"/>
          </w:tcPr>
          <w:p>
            <w:pPr>
              <w:autoSpaceDN w:val="0"/>
              <w:spacing w:line="400" w:lineRule="exact"/>
              <w:jc w:val="center"/>
              <w:textAlignment w:val="center"/>
              <w:rPr>
                <w:rFonts w:ascii="宋体" w:cs="仿宋_GB2312"/>
                <w:color w:val="000000"/>
                <w:sz w:val="24"/>
              </w:rPr>
            </w:pPr>
            <w:r>
              <w:rPr>
                <w:rFonts w:ascii="宋体"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45" w:type="dxa"/>
            <w:vAlign w:val="center"/>
          </w:tcPr>
          <w:p>
            <w:pPr>
              <w:spacing w:line="400" w:lineRule="exact"/>
              <w:jc w:val="left"/>
              <w:rPr>
                <w:rFonts w:ascii="宋体" w:cs="仿宋_GB2312"/>
                <w:sz w:val="24"/>
              </w:rPr>
            </w:pPr>
            <w:r>
              <w:rPr>
                <w:rFonts w:ascii="宋体" w:hAnsi="宋体" w:cs="仿宋_GB2312"/>
                <w:sz w:val="24"/>
              </w:rPr>
              <w:t>1</w:t>
            </w:r>
            <w:r>
              <w:rPr>
                <w:rFonts w:hint="eastAsia" w:ascii="宋体" w:hAnsi="宋体" w:cs="仿宋_GB2312"/>
                <w:sz w:val="24"/>
              </w:rPr>
              <w:t>、局机关</w:t>
            </w:r>
          </w:p>
        </w:tc>
        <w:tc>
          <w:tcPr>
            <w:tcW w:w="1265" w:type="dxa"/>
            <w:gridSpan w:val="2"/>
            <w:tcBorders>
              <w:right w:val="single" w:color="auto"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0.89</w:t>
            </w:r>
          </w:p>
        </w:tc>
        <w:tc>
          <w:tcPr>
            <w:tcW w:w="1333" w:type="dxa"/>
            <w:tcBorders>
              <w:left w:val="single" w:color="auto"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0.89</w:t>
            </w:r>
          </w:p>
        </w:tc>
        <w:tc>
          <w:tcPr>
            <w:tcW w:w="1751" w:type="dxa"/>
            <w:gridSpan w:val="3"/>
            <w:vAlign w:val="center"/>
          </w:tcPr>
          <w:p>
            <w:pPr>
              <w:autoSpaceDN w:val="0"/>
              <w:spacing w:line="400" w:lineRule="exact"/>
              <w:jc w:val="center"/>
              <w:textAlignment w:val="center"/>
              <w:rPr>
                <w:rFonts w:ascii="宋体" w:cs="仿宋_GB2312"/>
                <w:color w:val="000000"/>
                <w:sz w:val="24"/>
              </w:rPr>
            </w:pPr>
          </w:p>
        </w:tc>
        <w:tc>
          <w:tcPr>
            <w:tcW w:w="1800" w:type="dxa"/>
            <w:gridSpan w:val="2"/>
            <w:vAlign w:val="center"/>
          </w:tcPr>
          <w:p>
            <w:pPr>
              <w:autoSpaceDN w:val="0"/>
              <w:spacing w:line="400" w:lineRule="exact"/>
              <w:jc w:val="center"/>
              <w:textAlignment w:val="center"/>
              <w:rPr>
                <w:rFonts w:ascii="宋体" w:cs="仿宋_GB2312"/>
                <w:color w:val="000000"/>
                <w:sz w:val="24"/>
              </w:rPr>
            </w:pPr>
            <w:r>
              <w:rPr>
                <w:rFonts w:ascii="宋体" w:cs="仿宋_GB2312"/>
                <w:color w:val="000000"/>
                <w:sz w:val="24"/>
              </w:rPr>
              <w:t>0</w:t>
            </w:r>
          </w:p>
        </w:tc>
        <w:tc>
          <w:tcPr>
            <w:tcW w:w="2766" w:type="dxa"/>
            <w:gridSpan w:val="5"/>
            <w:vAlign w:val="center"/>
          </w:tcPr>
          <w:p>
            <w:pPr>
              <w:autoSpaceDN w:val="0"/>
              <w:spacing w:line="400" w:lineRule="exact"/>
              <w:jc w:val="center"/>
              <w:textAlignment w:val="center"/>
              <w:rPr>
                <w:rFonts w:ascii="宋体" w:cs="仿宋_GB2312"/>
                <w:color w:val="000000"/>
                <w:sz w:val="24"/>
              </w:rPr>
            </w:pPr>
            <w:r>
              <w:rPr>
                <w:rFonts w:ascii="宋体"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7" w:hRule="atLeast"/>
          <w:jc w:val="center"/>
        </w:trPr>
        <w:tc>
          <w:tcPr>
            <w:tcW w:w="1545" w:type="dxa"/>
            <w:vAlign w:val="center"/>
          </w:tcPr>
          <w:p>
            <w:pPr>
              <w:spacing w:line="400" w:lineRule="exact"/>
              <w:jc w:val="left"/>
              <w:rPr>
                <w:rFonts w:ascii="宋体" w:cs="仿宋_GB2312"/>
                <w:sz w:val="24"/>
              </w:rPr>
            </w:pPr>
            <w:r>
              <w:rPr>
                <w:rFonts w:ascii="宋体" w:hAnsi="宋体" w:cs="仿宋_GB2312"/>
                <w:sz w:val="24"/>
              </w:rPr>
              <w:t>2</w:t>
            </w:r>
            <w:r>
              <w:rPr>
                <w:rFonts w:hint="eastAsia" w:ascii="宋体" w:hAnsi="宋体" w:cs="仿宋_GB2312"/>
                <w:sz w:val="24"/>
              </w:rPr>
              <w:t>、二级机构</w:t>
            </w:r>
            <w:r>
              <w:rPr>
                <w:rFonts w:ascii="宋体" w:hAnsi="宋体" w:cs="仿宋_GB2312"/>
                <w:sz w:val="24"/>
              </w:rPr>
              <w:t>1</w:t>
            </w:r>
          </w:p>
        </w:tc>
        <w:tc>
          <w:tcPr>
            <w:tcW w:w="1265" w:type="dxa"/>
            <w:gridSpan w:val="2"/>
            <w:tcBorders>
              <w:right w:val="single" w:color="auto" w:sz="4" w:space="0"/>
            </w:tcBorders>
            <w:vAlign w:val="center"/>
          </w:tcPr>
          <w:p>
            <w:pPr>
              <w:autoSpaceDN w:val="0"/>
              <w:spacing w:line="400" w:lineRule="exact"/>
              <w:jc w:val="center"/>
              <w:textAlignment w:val="center"/>
              <w:rPr>
                <w:rFonts w:ascii="宋体" w:cs="仿宋_GB2312"/>
                <w:color w:val="000000"/>
                <w:sz w:val="24"/>
              </w:rPr>
            </w:pPr>
          </w:p>
        </w:tc>
        <w:tc>
          <w:tcPr>
            <w:tcW w:w="1333" w:type="dxa"/>
            <w:tcBorders>
              <w:left w:val="single" w:color="auto" w:sz="4" w:space="0"/>
            </w:tcBorders>
            <w:vAlign w:val="center"/>
          </w:tcPr>
          <w:p>
            <w:pPr>
              <w:autoSpaceDN w:val="0"/>
              <w:spacing w:line="400" w:lineRule="exact"/>
              <w:jc w:val="center"/>
              <w:textAlignment w:val="center"/>
              <w:rPr>
                <w:rFonts w:ascii="宋体" w:cs="仿宋_GB2312"/>
                <w:color w:val="000000"/>
                <w:sz w:val="24"/>
              </w:rPr>
            </w:pPr>
          </w:p>
        </w:tc>
        <w:tc>
          <w:tcPr>
            <w:tcW w:w="1751" w:type="dxa"/>
            <w:gridSpan w:val="3"/>
            <w:vAlign w:val="center"/>
          </w:tcPr>
          <w:p>
            <w:pPr>
              <w:autoSpaceDN w:val="0"/>
              <w:spacing w:line="400" w:lineRule="exact"/>
              <w:jc w:val="center"/>
              <w:textAlignment w:val="center"/>
              <w:rPr>
                <w:rFonts w:ascii="宋体" w:cs="仿宋_GB2312"/>
                <w:color w:val="000000"/>
                <w:sz w:val="24"/>
              </w:rPr>
            </w:pPr>
          </w:p>
        </w:tc>
        <w:tc>
          <w:tcPr>
            <w:tcW w:w="1800" w:type="dxa"/>
            <w:gridSpan w:val="2"/>
            <w:vAlign w:val="center"/>
          </w:tcPr>
          <w:p>
            <w:pPr>
              <w:autoSpaceDN w:val="0"/>
              <w:spacing w:line="400" w:lineRule="exact"/>
              <w:jc w:val="center"/>
              <w:textAlignment w:val="center"/>
              <w:rPr>
                <w:rFonts w:ascii="宋体" w:cs="仿宋_GB2312"/>
                <w:color w:val="000000"/>
                <w:sz w:val="24"/>
              </w:rPr>
            </w:pPr>
          </w:p>
        </w:tc>
        <w:tc>
          <w:tcPr>
            <w:tcW w:w="2766" w:type="dxa"/>
            <w:gridSpan w:val="5"/>
            <w:vAlign w:val="center"/>
          </w:tcPr>
          <w:p>
            <w:pPr>
              <w:autoSpaceDN w:val="0"/>
              <w:spacing w:line="400" w:lineRule="exact"/>
              <w:jc w:val="center"/>
              <w:textAlignment w:val="center"/>
              <w:rPr>
                <w:rFonts w:ascii="宋体"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45" w:type="dxa"/>
            <w:vAlign w:val="center"/>
          </w:tcPr>
          <w:p>
            <w:pPr>
              <w:spacing w:line="400" w:lineRule="exact"/>
              <w:jc w:val="left"/>
              <w:rPr>
                <w:rFonts w:ascii="宋体" w:cs="仿宋_GB2312"/>
                <w:sz w:val="24"/>
              </w:rPr>
            </w:pPr>
            <w:r>
              <w:rPr>
                <w:rFonts w:ascii="宋体" w:hAnsi="宋体" w:cs="仿宋_GB2312"/>
                <w:sz w:val="24"/>
              </w:rPr>
              <w:t>3</w:t>
            </w:r>
            <w:r>
              <w:rPr>
                <w:rFonts w:hint="eastAsia" w:ascii="宋体" w:hAnsi="宋体" w:cs="仿宋_GB2312"/>
                <w:sz w:val="24"/>
              </w:rPr>
              <w:t>、二级机构</w:t>
            </w:r>
            <w:r>
              <w:rPr>
                <w:rFonts w:ascii="宋体" w:hAnsi="宋体" w:cs="仿宋_GB2312"/>
                <w:sz w:val="24"/>
              </w:rPr>
              <w:t>2</w:t>
            </w:r>
          </w:p>
        </w:tc>
        <w:tc>
          <w:tcPr>
            <w:tcW w:w="1265" w:type="dxa"/>
            <w:gridSpan w:val="2"/>
            <w:tcBorders>
              <w:right w:val="single" w:color="auto" w:sz="4" w:space="0"/>
            </w:tcBorders>
            <w:vAlign w:val="center"/>
          </w:tcPr>
          <w:p>
            <w:pPr>
              <w:autoSpaceDN w:val="0"/>
              <w:spacing w:line="400" w:lineRule="exact"/>
              <w:jc w:val="center"/>
              <w:textAlignment w:val="center"/>
              <w:rPr>
                <w:rFonts w:ascii="宋体" w:cs="仿宋_GB2312"/>
                <w:color w:val="000000"/>
                <w:sz w:val="24"/>
              </w:rPr>
            </w:pPr>
          </w:p>
        </w:tc>
        <w:tc>
          <w:tcPr>
            <w:tcW w:w="1333" w:type="dxa"/>
            <w:tcBorders>
              <w:left w:val="single" w:color="auto" w:sz="4" w:space="0"/>
            </w:tcBorders>
            <w:vAlign w:val="center"/>
          </w:tcPr>
          <w:p>
            <w:pPr>
              <w:autoSpaceDN w:val="0"/>
              <w:spacing w:line="400" w:lineRule="exact"/>
              <w:jc w:val="center"/>
              <w:textAlignment w:val="center"/>
              <w:rPr>
                <w:rFonts w:ascii="宋体" w:cs="仿宋_GB2312"/>
                <w:color w:val="000000"/>
                <w:sz w:val="24"/>
              </w:rPr>
            </w:pPr>
          </w:p>
        </w:tc>
        <w:tc>
          <w:tcPr>
            <w:tcW w:w="1751" w:type="dxa"/>
            <w:gridSpan w:val="3"/>
            <w:vAlign w:val="center"/>
          </w:tcPr>
          <w:p>
            <w:pPr>
              <w:autoSpaceDN w:val="0"/>
              <w:spacing w:line="400" w:lineRule="exact"/>
              <w:jc w:val="center"/>
              <w:textAlignment w:val="center"/>
              <w:rPr>
                <w:rFonts w:ascii="宋体" w:cs="仿宋_GB2312"/>
                <w:color w:val="000000"/>
                <w:sz w:val="24"/>
              </w:rPr>
            </w:pPr>
          </w:p>
        </w:tc>
        <w:tc>
          <w:tcPr>
            <w:tcW w:w="1800" w:type="dxa"/>
            <w:gridSpan w:val="2"/>
            <w:vAlign w:val="center"/>
          </w:tcPr>
          <w:p>
            <w:pPr>
              <w:autoSpaceDN w:val="0"/>
              <w:spacing w:line="400" w:lineRule="exact"/>
              <w:jc w:val="center"/>
              <w:textAlignment w:val="center"/>
              <w:rPr>
                <w:rFonts w:ascii="宋体" w:cs="仿宋_GB2312"/>
                <w:color w:val="000000"/>
                <w:sz w:val="24"/>
              </w:rPr>
            </w:pPr>
          </w:p>
        </w:tc>
        <w:tc>
          <w:tcPr>
            <w:tcW w:w="2766" w:type="dxa"/>
            <w:gridSpan w:val="5"/>
            <w:vAlign w:val="center"/>
          </w:tcPr>
          <w:p>
            <w:pPr>
              <w:autoSpaceDN w:val="0"/>
              <w:spacing w:line="400" w:lineRule="exact"/>
              <w:jc w:val="center"/>
              <w:textAlignment w:val="center"/>
              <w:rPr>
                <w:rFonts w:ascii="宋体"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45" w:type="dxa"/>
            <w:vMerge w:val="restart"/>
            <w:vAlign w:val="center"/>
          </w:tcPr>
          <w:p>
            <w:pPr>
              <w:spacing w:line="400" w:lineRule="exact"/>
              <w:jc w:val="center"/>
              <w:rPr>
                <w:rFonts w:ascii="宋体" w:cs="仿宋_GB2312"/>
                <w:sz w:val="24"/>
              </w:rPr>
            </w:pPr>
            <w:r>
              <w:rPr>
                <w:rFonts w:hint="eastAsia" w:ascii="宋体" w:hAnsi="宋体" w:cs="仿宋_GB2312"/>
                <w:sz w:val="24"/>
              </w:rPr>
              <w:t>机构名称</w:t>
            </w:r>
          </w:p>
        </w:tc>
        <w:tc>
          <w:tcPr>
            <w:tcW w:w="1265" w:type="dxa"/>
            <w:gridSpan w:val="2"/>
            <w:vMerge w:val="restart"/>
            <w:tcBorders>
              <w:right w:val="single" w:color="auto"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固定资产</w:t>
            </w:r>
          </w:p>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合计</w:t>
            </w:r>
          </w:p>
        </w:tc>
        <w:tc>
          <w:tcPr>
            <w:tcW w:w="6450" w:type="dxa"/>
            <w:gridSpan w:val="9"/>
            <w:tcBorders>
              <w:left w:val="single" w:color="auto" w:sz="4" w:space="0"/>
              <w:right w:val="single" w:color="auto"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其中：</w:t>
            </w:r>
          </w:p>
        </w:tc>
        <w:tc>
          <w:tcPr>
            <w:tcW w:w="1200" w:type="dxa"/>
            <w:gridSpan w:val="2"/>
            <w:vMerge w:val="restart"/>
            <w:tcBorders>
              <w:left w:val="single" w:color="auto"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45" w:type="dxa"/>
            <w:vMerge w:val="continue"/>
            <w:vAlign w:val="center"/>
          </w:tcPr>
          <w:p>
            <w:pPr>
              <w:spacing w:line="400" w:lineRule="exact"/>
              <w:jc w:val="center"/>
              <w:rPr>
                <w:rFonts w:ascii="宋体" w:cs="仿宋_GB2312"/>
                <w:sz w:val="24"/>
              </w:rPr>
            </w:pPr>
          </w:p>
        </w:tc>
        <w:tc>
          <w:tcPr>
            <w:tcW w:w="1265" w:type="dxa"/>
            <w:gridSpan w:val="2"/>
            <w:vMerge w:val="continue"/>
            <w:tcBorders>
              <w:right w:val="single" w:color="auto" w:sz="4" w:space="0"/>
            </w:tcBorders>
            <w:vAlign w:val="center"/>
          </w:tcPr>
          <w:p>
            <w:pPr>
              <w:autoSpaceDN w:val="0"/>
              <w:spacing w:line="400" w:lineRule="exact"/>
              <w:jc w:val="center"/>
              <w:textAlignment w:val="center"/>
              <w:rPr>
                <w:rFonts w:ascii="宋体" w:cs="仿宋_GB2312"/>
                <w:color w:val="000000"/>
                <w:sz w:val="24"/>
              </w:rPr>
            </w:pPr>
          </w:p>
        </w:tc>
        <w:tc>
          <w:tcPr>
            <w:tcW w:w="3084" w:type="dxa"/>
            <w:gridSpan w:val="4"/>
            <w:tcBorders>
              <w:left w:val="single" w:color="auto"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在用固定资产</w:t>
            </w:r>
          </w:p>
        </w:tc>
        <w:tc>
          <w:tcPr>
            <w:tcW w:w="3366" w:type="dxa"/>
            <w:gridSpan w:val="5"/>
            <w:tcBorders>
              <w:right w:val="single" w:color="auto"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出租固定资产</w:t>
            </w:r>
          </w:p>
        </w:tc>
        <w:tc>
          <w:tcPr>
            <w:tcW w:w="1200" w:type="dxa"/>
            <w:gridSpan w:val="2"/>
            <w:vMerge w:val="continue"/>
            <w:tcBorders>
              <w:left w:val="single" w:color="auto" w:sz="4" w:space="0"/>
            </w:tcBorders>
            <w:vAlign w:val="center"/>
          </w:tcPr>
          <w:p>
            <w:pPr>
              <w:autoSpaceDN w:val="0"/>
              <w:spacing w:line="400" w:lineRule="exact"/>
              <w:jc w:val="center"/>
              <w:textAlignment w:val="center"/>
              <w:rPr>
                <w:rFonts w:ascii="宋体"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45" w:type="dxa"/>
            <w:vAlign w:val="center"/>
          </w:tcPr>
          <w:p>
            <w:pPr>
              <w:spacing w:line="400" w:lineRule="exact"/>
              <w:jc w:val="left"/>
              <w:rPr>
                <w:rFonts w:ascii="宋体" w:cs="仿宋_GB2312"/>
                <w:sz w:val="24"/>
              </w:rPr>
            </w:pPr>
            <w:r>
              <w:rPr>
                <w:rFonts w:hint="eastAsia" w:ascii="宋体" w:hAnsi="宋体" w:cs="仿宋_GB2312"/>
                <w:color w:val="000000"/>
                <w:sz w:val="24"/>
              </w:rPr>
              <w:t>局机关及二级机构汇总</w:t>
            </w:r>
          </w:p>
        </w:tc>
        <w:tc>
          <w:tcPr>
            <w:tcW w:w="1265" w:type="dxa"/>
            <w:gridSpan w:val="2"/>
            <w:tcBorders>
              <w:right w:val="single" w:color="auto"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237</w:t>
            </w:r>
          </w:p>
        </w:tc>
        <w:tc>
          <w:tcPr>
            <w:tcW w:w="3084" w:type="dxa"/>
            <w:gridSpan w:val="4"/>
            <w:tcBorders>
              <w:left w:val="single" w:color="auto"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237</w:t>
            </w:r>
          </w:p>
        </w:tc>
        <w:tc>
          <w:tcPr>
            <w:tcW w:w="3366" w:type="dxa"/>
            <w:gridSpan w:val="5"/>
            <w:vAlign w:val="center"/>
          </w:tcPr>
          <w:p>
            <w:pPr>
              <w:autoSpaceDN w:val="0"/>
              <w:spacing w:line="400" w:lineRule="exact"/>
              <w:jc w:val="center"/>
              <w:textAlignment w:val="center"/>
              <w:rPr>
                <w:rFonts w:ascii="宋体" w:cs="仿宋_GB2312"/>
                <w:color w:val="000000"/>
                <w:sz w:val="24"/>
              </w:rPr>
            </w:pPr>
            <w:r>
              <w:rPr>
                <w:rFonts w:ascii="宋体" w:cs="仿宋_GB2312"/>
                <w:color w:val="000000"/>
                <w:sz w:val="24"/>
              </w:rPr>
              <w:t>0</w:t>
            </w:r>
          </w:p>
        </w:tc>
        <w:tc>
          <w:tcPr>
            <w:tcW w:w="1200" w:type="dxa"/>
            <w:gridSpan w:val="2"/>
            <w:vAlign w:val="center"/>
          </w:tcPr>
          <w:p>
            <w:pPr>
              <w:autoSpaceDN w:val="0"/>
              <w:spacing w:line="400" w:lineRule="exact"/>
              <w:jc w:val="center"/>
              <w:textAlignment w:val="center"/>
              <w:rPr>
                <w:rFonts w:ascii="宋体" w:cs="仿宋_GB2312"/>
                <w:color w:val="000000"/>
                <w:sz w:val="24"/>
              </w:rPr>
            </w:pPr>
            <w:r>
              <w:rPr>
                <w:rFonts w:ascii="宋体"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45" w:type="dxa"/>
            <w:vAlign w:val="center"/>
          </w:tcPr>
          <w:p>
            <w:pPr>
              <w:spacing w:line="400" w:lineRule="exact"/>
              <w:jc w:val="left"/>
              <w:rPr>
                <w:rFonts w:ascii="宋体" w:cs="仿宋_GB2312"/>
                <w:sz w:val="24"/>
              </w:rPr>
            </w:pPr>
            <w:r>
              <w:rPr>
                <w:rFonts w:ascii="宋体" w:hAnsi="宋体" w:cs="仿宋_GB2312"/>
                <w:sz w:val="24"/>
              </w:rPr>
              <w:t>1</w:t>
            </w:r>
            <w:r>
              <w:rPr>
                <w:rFonts w:hint="eastAsia" w:ascii="宋体" w:hAnsi="宋体" w:cs="仿宋_GB2312"/>
                <w:sz w:val="24"/>
              </w:rPr>
              <w:t>、局机关</w:t>
            </w:r>
          </w:p>
        </w:tc>
        <w:tc>
          <w:tcPr>
            <w:tcW w:w="1265" w:type="dxa"/>
            <w:gridSpan w:val="2"/>
            <w:tcBorders>
              <w:right w:val="single" w:color="auto"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237</w:t>
            </w:r>
          </w:p>
        </w:tc>
        <w:tc>
          <w:tcPr>
            <w:tcW w:w="3084" w:type="dxa"/>
            <w:gridSpan w:val="4"/>
            <w:tcBorders>
              <w:left w:val="single" w:color="auto"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237</w:t>
            </w:r>
          </w:p>
        </w:tc>
        <w:tc>
          <w:tcPr>
            <w:tcW w:w="3366" w:type="dxa"/>
            <w:gridSpan w:val="5"/>
            <w:vAlign w:val="center"/>
          </w:tcPr>
          <w:p>
            <w:pPr>
              <w:autoSpaceDN w:val="0"/>
              <w:spacing w:line="400" w:lineRule="exact"/>
              <w:jc w:val="center"/>
              <w:textAlignment w:val="center"/>
              <w:rPr>
                <w:rFonts w:ascii="宋体" w:cs="仿宋_GB2312"/>
                <w:color w:val="000000"/>
                <w:sz w:val="24"/>
              </w:rPr>
            </w:pPr>
            <w:r>
              <w:rPr>
                <w:rFonts w:ascii="宋体" w:cs="仿宋_GB2312"/>
                <w:color w:val="000000"/>
                <w:sz w:val="24"/>
              </w:rPr>
              <w:t>0</w:t>
            </w:r>
          </w:p>
        </w:tc>
        <w:tc>
          <w:tcPr>
            <w:tcW w:w="1200" w:type="dxa"/>
            <w:gridSpan w:val="2"/>
            <w:vAlign w:val="center"/>
          </w:tcPr>
          <w:p>
            <w:pPr>
              <w:autoSpaceDN w:val="0"/>
              <w:spacing w:line="400" w:lineRule="exact"/>
              <w:jc w:val="center"/>
              <w:textAlignment w:val="center"/>
              <w:rPr>
                <w:rFonts w:ascii="宋体" w:cs="仿宋_GB2312"/>
                <w:color w:val="000000"/>
                <w:sz w:val="24"/>
              </w:rPr>
            </w:pPr>
            <w:r>
              <w:rPr>
                <w:rFonts w:ascii="宋体"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45" w:type="dxa"/>
            <w:vAlign w:val="center"/>
          </w:tcPr>
          <w:p>
            <w:pPr>
              <w:spacing w:line="400" w:lineRule="exact"/>
              <w:jc w:val="left"/>
              <w:rPr>
                <w:rFonts w:ascii="宋体" w:cs="仿宋_GB2312"/>
                <w:sz w:val="24"/>
              </w:rPr>
            </w:pPr>
            <w:r>
              <w:rPr>
                <w:rFonts w:ascii="宋体" w:hAnsi="宋体" w:cs="仿宋_GB2312"/>
                <w:sz w:val="24"/>
              </w:rPr>
              <w:t>2</w:t>
            </w:r>
            <w:r>
              <w:rPr>
                <w:rFonts w:hint="eastAsia" w:ascii="宋体" w:hAnsi="宋体" w:cs="仿宋_GB2312"/>
                <w:sz w:val="24"/>
              </w:rPr>
              <w:t>、二级机构</w:t>
            </w:r>
            <w:r>
              <w:rPr>
                <w:rFonts w:ascii="宋体" w:hAnsi="宋体" w:cs="仿宋_GB2312"/>
                <w:sz w:val="24"/>
              </w:rPr>
              <w:t>1</w:t>
            </w:r>
          </w:p>
        </w:tc>
        <w:tc>
          <w:tcPr>
            <w:tcW w:w="1265" w:type="dxa"/>
            <w:gridSpan w:val="2"/>
            <w:tcBorders>
              <w:right w:val="single" w:color="auto" w:sz="4" w:space="0"/>
            </w:tcBorders>
            <w:vAlign w:val="center"/>
          </w:tcPr>
          <w:p>
            <w:pPr>
              <w:autoSpaceDN w:val="0"/>
              <w:spacing w:line="400" w:lineRule="exact"/>
              <w:jc w:val="center"/>
              <w:textAlignment w:val="center"/>
              <w:rPr>
                <w:rFonts w:ascii="宋体" w:cs="仿宋_GB2312"/>
                <w:color w:val="000000"/>
                <w:sz w:val="24"/>
              </w:rPr>
            </w:pPr>
          </w:p>
        </w:tc>
        <w:tc>
          <w:tcPr>
            <w:tcW w:w="3084" w:type="dxa"/>
            <w:gridSpan w:val="4"/>
            <w:tcBorders>
              <w:left w:val="single" w:color="auto" w:sz="4" w:space="0"/>
            </w:tcBorders>
            <w:vAlign w:val="center"/>
          </w:tcPr>
          <w:p>
            <w:pPr>
              <w:autoSpaceDN w:val="0"/>
              <w:spacing w:line="400" w:lineRule="exact"/>
              <w:jc w:val="center"/>
              <w:textAlignment w:val="center"/>
              <w:rPr>
                <w:rFonts w:ascii="宋体" w:cs="仿宋_GB2312"/>
                <w:color w:val="000000"/>
                <w:sz w:val="24"/>
              </w:rPr>
            </w:pPr>
          </w:p>
        </w:tc>
        <w:tc>
          <w:tcPr>
            <w:tcW w:w="3366" w:type="dxa"/>
            <w:gridSpan w:val="5"/>
            <w:vAlign w:val="center"/>
          </w:tcPr>
          <w:p>
            <w:pPr>
              <w:autoSpaceDN w:val="0"/>
              <w:spacing w:line="400" w:lineRule="exact"/>
              <w:jc w:val="center"/>
              <w:textAlignment w:val="center"/>
              <w:rPr>
                <w:rFonts w:ascii="宋体" w:cs="仿宋_GB2312"/>
                <w:color w:val="000000"/>
                <w:sz w:val="24"/>
              </w:rPr>
            </w:pPr>
          </w:p>
        </w:tc>
        <w:tc>
          <w:tcPr>
            <w:tcW w:w="1200" w:type="dxa"/>
            <w:gridSpan w:val="2"/>
            <w:vAlign w:val="center"/>
          </w:tcPr>
          <w:p>
            <w:pPr>
              <w:autoSpaceDN w:val="0"/>
              <w:spacing w:line="400" w:lineRule="exact"/>
              <w:jc w:val="center"/>
              <w:textAlignment w:val="center"/>
              <w:rPr>
                <w:rFonts w:ascii="宋体"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45" w:type="dxa"/>
            <w:vAlign w:val="center"/>
          </w:tcPr>
          <w:p>
            <w:pPr>
              <w:spacing w:line="400" w:lineRule="exact"/>
              <w:jc w:val="left"/>
              <w:rPr>
                <w:rFonts w:ascii="宋体" w:cs="仿宋_GB2312"/>
                <w:sz w:val="24"/>
              </w:rPr>
            </w:pPr>
            <w:r>
              <w:rPr>
                <w:rFonts w:ascii="宋体" w:hAnsi="宋体" w:cs="仿宋_GB2312"/>
                <w:sz w:val="24"/>
              </w:rPr>
              <w:t>3</w:t>
            </w:r>
            <w:r>
              <w:rPr>
                <w:rFonts w:hint="eastAsia" w:ascii="宋体" w:hAnsi="宋体" w:cs="仿宋_GB2312"/>
                <w:sz w:val="24"/>
              </w:rPr>
              <w:t>、二级机构</w:t>
            </w:r>
            <w:r>
              <w:rPr>
                <w:rFonts w:ascii="宋体" w:hAnsi="宋体" w:cs="仿宋_GB2312"/>
                <w:sz w:val="24"/>
              </w:rPr>
              <w:t>2</w:t>
            </w:r>
          </w:p>
        </w:tc>
        <w:tc>
          <w:tcPr>
            <w:tcW w:w="1265" w:type="dxa"/>
            <w:gridSpan w:val="2"/>
            <w:tcBorders>
              <w:right w:val="single" w:color="auto" w:sz="4" w:space="0"/>
            </w:tcBorders>
            <w:vAlign w:val="center"/>
          </w:tcPr>
          <w:p>
            <w:pPr>
              <w:autoSpaceDN w:val="0"/>
              <w:spacing w:line="400" w:lineRule="exact"/>
              <w:jc w:val="center"/>
              <w:textAlignment w:val="center"/>
              <w:rPr>
                <w:rFonts w:ascii="宋体" w:cs="仿宋_GB2312"/>
                <w:color w:val="000000"/>
                <w:sz w:val="24"/>
              </w:rPr>
            </w:pPr>
          </w:p>
        </w:tc>
        <w:tc>
          <w:tcPr>
            <w:tcW w:w="3084" w:type="dxa"/>
            <w:gridSpan w:val="4"/>
            <w:tcBorders>
              <w:left w:val="single" w:color="auto" w:sz="4" w:space="0"/>
            </w:tcBorders>
            <w:vAlign w:val="center"/>
          </w:tcPr>
          <w:p>
            <w:pPr>
              <w:autoSpaceDN w:val="0"/>
              <w:spacing w:line="400" w:lineRule="exact"/>
              <w:jc w:val="center"/>
              <w:textAlignment w:val="center"/>
              <w:rPr>
                <w:rFonts w:ascii="宋体" w:cs="仿宋_GB2312"/>
                <w:color w:val="000000"/>
                <w:sz w:val="24"/>
              </w:rPr>
            </w:pPr>
          </w:p>
        </w:tc>
        <w:tc>
          <w:tcPr>
            <w:tcW w:w="3366" w:type="dxa"/>
            <w:gridSpan w:val="5"/>
            <w:vAlign w:val="center"/>
          </w:tcPr>
          <w:p>
            <w:pPr>
              <w:autoSpaceDN w:val="0"/>
              <w:spacing w:line="400" w:lineRule="exact"/>
              <w:jc w:val="center"/>
              <w:textAlignment w:val="center"/>
              <w:rPr>
                <w:rFonts w:ascii="宋体" w:cs="仿宋_GB2312"/>
                <w:color w:val="000000"/>
                <w:sz w:val="24"/>
              </w:rPr>
            </w:pPr>
          </w:p>
        </w:tc>
        <w:tc>
          <w:tcPr>
            <w:tcW w:w="1200" w:type="dxa"/>
            <w:gridSpan w:val="2"/>
            <w:vAlign w:val="center"/>
          </w:tcPr>
          <w:p>
            <w:pPr>
              <w:autoSpaceDN w:val="0"/>
              <w:spacing w:line="400" w:lineRule="exact"/>
              <w:jc w:val="center"/>
              <w:textAlignment w:val="center"/>
              <w:rPr>
                <w:rFonts w:ascii="宋体"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0460" w:type="dxa"/>
            <w:gridSpan w:val="14"/>
            <w:tcBorders>
              <w:left w:val="nil"/>
            </w:tcBorders>
            <w:vAlign w:val="center"/>
          </w:tcPr>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873"/>
              <w:gridCol w:w="477"/>
              <w:gridCol w:w="1072"/>
              <w:gridCol w:w="1417"/>
              <w:gridCol w:w="1977"/>
              <w:gridCol w:w="732"/>
              <w:gridCol w:w="1242"/>
              <w:gridCol w:w="15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0335" w:type="dxa"/>
                  <w:gridSpan w:val="8"/>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b/>
                      <w:color w:val="000000"/>
                      <w:sz w:val="24"/>
                    </w:rPr>
                  </w:pPr>
                  <w:r>
                    <w:rPr>
                      <w:rFonts w:hint="eastAsia" w:ascii="宋体" w:hAnsi="宋体" w:cs="黑体"/>
                      <w:b/>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87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整体支出绩效定性目标及实施计划完成情况</w:t>
                  </w:r>
                </w:p>
              </w:tc>
              <w:tc>
                <w:tcPr>
                  <w:tcW w:w="4943"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预期目标</w:t>
                  </w:r>
                </w:p>
              </w:tc>
              <w:tc>
                <w:tcPr>
                  <w:tcW w:w="351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536" w:hRule="atLeast"/>
                <w:jc w:val="center"/>
              </w:trPr>
              <w:tc>
                <w:tcPr>
                  <w:tcW w:w="1873"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cs="仿宋_GB2312"/>
                      <w:sz w:val="24"/>
                    </w:rPr>
                  </w:pPr>
                </w:p>
              </w:tc>
              <w:tc>
                <w:tcPr>
                  <w:tcW w:w="4943"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left"/>
                    <w:textAlignment w:val="center"/>
                    <w:rPr>
                      <w:rFonts w:ascii="宋体" w:cs="仿宋_GB2312"/>
                      <w:color w:val="000000"/>
                      <w:sz w:val="24"/>
                    </w:rPr>
                  </w:pPr>
                  <w:r>
                    <w:rPr>
                      <w:rFonts w:hint="eastAsia" w:ascii="宋体" w:hAnsi="宋体" w:cs="仿宋_GB2312"/>
                      <w:color w:val="000000"/>
                      <w:sz w:val="24"/>
                    </w:rPr>
                    <w:t>任务</w:t>
                  </w:r>
                  <w:r>
                    <w:rPr>
                      <w:rFonts w:ascii="宋体" w:hAnsi="宋体" w:cs="仿宋_GB2312"/>
                      <w:color w:val="000000"/>
                      <w:sz w:val="24"/>
                    </w:rPr>
                    <w:t>1</w:t>
                  </w:r>
                  <w:r>
                    <w:rPr>
                      <w:rFonts w:hint="eastAsia" w:ascii="宋体" w:hAnsi="宋体" w:cs="仿宋_GB2312"/>
                      <w:color w:val="000000"/>
                      <w:sz w:val="24"/>
                    </w:rPr>
                    <w:t>：完成好重点交通项目建设协调工作；</w:t>
                  </w:r>
                </w:p>
                <w:p>
                  <w:pPr>
                    <w:autoSpaceDN w:val="0"/>
                    <w:spacing w:line="400" w:lineRule="exact"/>
                    <w:jc w:val="left"/>
                    <w:textAlignment w:val="center"/>
                    <w:rPr>
                      <w:rFonts w:ascii="宋体" w:cs="仿宋_GB2312"/>
                      <w:color w:val="000000"/>
                      <w:sz w:val="24"/>
                    </w:rPr>
                  </w:pPr>
                  <w:r>
                    <w:rPr>
                      <w:rFonts w:hint="eastAsia" w:ascii="宋体" w:hAnsi="宋体" w:cs="仿宋_GB2312"/>
                      <w:color w:val="000000"/>
                      <w:sz w:val="24"/>
                    </w:rPr>
                    <w:t>任务</w:t>
                  </w:r>
                  <w:r>
                    <w:rPr>
                      <w:rFonts w:ascii="宋体" w:hAnsi="宋体" w:cs="仿宋_GB2312"/>
                      <w:color w:val="000000"/>
                      <w:sz w:val="24"/>
                    </w:rPr>
                    <w:t>2</w:t>
                  </w:r>
                  <w:r>
                    <w:rPr>
                      <w:rFonts w:hint="eastAsia" w:ascii="宋体" w:hAnsi="宋体" w:cs="仿宋_GB2312"/>
                      <w:color w:val="000000"/>
                      <w:sz w:val="24"/>
                    </w:rPr>
                    <w:t>：完成好年度省下达民生实事实施工作；</w:t>
                  </w:r>
                </w:p>
                <w:p>
                  <w:pPr>
                    <w:autoSpaceDN w:val="0"/>
                    <w:spacing w:line="400" w:lineRule="exact"/>
                    <w:jc w:val="left"/>
                    <w:textAlignment w:val="center"/>
                    <w:rPr>
                      <w:rFonts w:ascii="宋体" w:cs="仿宋_GB2312"/>
                      <w:color w:val="000000"/>
                      <w:sz w:val="24"/>
                    </w:rPr>
                  </w:pPr>
                  <w:r>
                    <w:rPr>
                      <w:rFonts w:hint="eastAsia" w:ascii="宋体" w:hAnsi="宋体" w:cs="仿宋_GB2312"/>
                      <w:color w:val="000000"/>
                      <w:sz w:val="24"/>
                    </w:rPr>
                    <w:t>任务</w:t>
                  </w:r>
                  <w:r>
                    <w:rPr>
                      <w:rFonts w:ascii="宋体" w:hAnsi="宋体" w:cs="仿宋_GB2312"/>
                      <w:color w:val="000000"/>
                      <w:sz w:val="24"/>
                    </w:rPr>
                    <w:t>3</w:t>
                  </w:r>
                  <w:r>
                    <w:rPr>
                      <w:rFonts w:hint="eastAsia" w:ascii="宋体" w:hAnsi="宋体" w:cs="仿宋_GB2312"/>
                      <w:color w:val="000000"/>
                      <w:sz w:val="24"/>
                    </w:rPr>
                    <w:t>：落实好道路水路交通安全和市场监管责任；</w:t>
                  </w:r>
                </w:p>
                <w:p>
                  <w:pPr>
                    <w:autoSpaceDN w:val="0"/>
                    <w:spacing w:line="400" w:lineRule="exact"/>
                    <w:jc w:val="left"/>
                    <w:textAlignment w:val="center"/>
                    <w:rPr>
                      <w:rFonts w:ascii="宋体" w:cs="仿宋_GB2312"/>
                      <w:color w:val="000000"/>
                      <w:sz w:val="24"/>
                    </w:rPr>
                  </w:pPr>
                  <w:r>
                    <w:rPr>
                      <w:rFonts w:hint="eastAsia" w:ascii="宋体" w:hAnsi="宋体" w:cs="仿宋_GB2312"/>
                      <w:color w:val="000000"/>
                      <w:sz w:val="24"/>
                    </w:rPr>
                    <w:t>任务</w:t>
                  </w:r>
                  <w:r>
                    <w:rPr>
                      <w:rFonts w:ascii="宋体" w:hAnsi="宋体" w:cs="仿宋_GB2312"/>
                      <w:color w:val="000000"/>
                      <w:sz w:val="24"/>
                    </w:rPr>
                    <w:t>4</w:t>
                  </w:r>
                  <w:r>
                    <w:rPr>
                      <w:rFonts w:hint="eastAsia" w:ascii="宋体" w:hAnsi="宋体" w:cs="仿宋_GB2312"/>
                      <w:color w:val="000000"/>
                      <w:sz w:val="24"/>
                    </w:rPr>
                    <w:t>：其他日常工作事务及临时性工作。</w:t>
                  </w:r>
                </w:p>
              </w:tc>
              <w:tc>
                <w:tcPr>
                  <w:tcW w:w="351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textAlignment w:val="center"/>
                    <w:rPr>
                      <w:rFonts w:ascii="宋体" w:cs="仿宋_GB2312"/>
                      <w:color w:val="000000"/>
                      <w:sz w:val="24"/>
                    </w:rPr>
                  </w:pPr>
                  <w:r>
                    <w:rPr>
                      <w:rFonts w:hint="eastAsia" w:ascii="宋体" w:hAnsi="宋体" w:cs="仿宋_GB2312"/>
                      <w:color w:val="000000"/>
                      <w:sz w:val="24"/>
                    </w:rPr>
                    <w:t>岳望高速、</w:t>
                  </w:r>
                  <w:r>
                    <w:rPr>
                      <w:rFonts w:ascii="宋体" w:hAnsi="宋体" w:cs="仿宋_GB2312"/>
                      <w:color w:val="000000"/>
                      <w:sz w:val="24"/>
                    </w:rPr>
                    <w:t>G240</w:t>
                  </w:r>
                  <w:r>
                    <w:rPr>
                      <w:rFonts w:hint="eastAsia" w:ascii="宋体" w:hAnsi="宋体" w:cs="仿宋_GB2312"/>
                      <w:color w:val="000000"/>
                      <w:sz w:val="24"/>
                    </w:rPr>
                    <w:t>岳阳县段建设取得阶段性进展，均已通车；年度民生实事项目通过省市验收；道路水路安全和市场形势稳定。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87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整体支出</w:t>
                  </w:r>
                </w:p>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绩效定量目标及实施计划完成情况</w:t>
                  </w:r>
                </w:p>
              </w:tc>
              <w:tc>
                <w:tcPr>
                  <w:tcW w:w="296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评价内容</w:t>
                  </w:r>
                </w:p>
              </w:tc>
              <w:tc>
                <w:tcPr>
                  <w:tcW w:w="2709"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绩效内容</w:t>
                  </w:r>
                </w:p>
              </w:tc>
              <w:tc>
                <w:tcPr>
                  <w:tcW w:w="1242"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绩效</w:t>
                  </w:r>
                </w:p>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目标值</w:t>
                  </w:r>
                </w:p>
              </w:tc>
              <w:tc>
                <w:tcPr>
                  <w:tcW w:w="1545"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873"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cs="仿宋_GB2312"/>
                      <w:sz w:val="24"/>
                    </w:rPr>
                  </w:pPr>
                </w:p>
              </w:tc>
              <w:tc>
                <w:tcPr>
                  <w:tcW w:w="154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产出目标</w:t>
                  </w:r>
                </w:p>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（部门工作实绩，即绩效办制定的单位年度考核计分办法中考核的部门工作实绩内容）</w:t>
                  </w: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质量指标</w:t>
                  </w:r>
                </w:p>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（指标</w:t>
                  </w:r>
                  <w:r>
                    <w:rPr>
                      <w:rFonts w:ascii="宋体" w:hAnsi="宋体" w:cs="仿宋_GB2312"/>
                      <w:color w:val="000000"/>
                      <w:sz w:val="24"/>
                    </w:rPr>
                    <w:t xml:space="preserve"> </w:t>
                  </w:r>
                  <w:r>
                    <w:rPr>
                      <w:rFonts w:hint="eastAsia" w:ascii="宋体" w:hAnsi="宋体" w:cs="仿宋_GB2312"/>
                      <w:color w:val="000000"/>
                      <w:sz w:val="24"/>
                    </w:rPr>
                    <w:t>）</w:t>
                  </w:r>
                </w:p>
              </w:tc>
              <w:tc>
                <w:tcPr>
                  <w:tcW w:w="395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r>
                    <w:rPr>
                      <w:rFonts w:hint="eastAsia" w:ascii="宋体" w:hAnsi="宋体"/>
                      <w:sz w:val="22"/>
                      <w:szCs w:val="22"/>
                    </w:rPr>
                    <w:t>“三公经费”变动率≤</w:t>
                  </w:r>
                  <w:r>
                    <w:rPr>
                      <w:rFonts w:ascii="宋体" w:hAnsi="宋体"/>
                      <w:sz w:val="22"/>
                      <w:szCs w:val="22"/>
                    </w:rPr>
                    <w:t>5%</w:t>
                  </w:r>
                </w:p>
              </w:tc>
              <w:tc>
                <w:tcPr>
                  <w:tcW w:w="15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4"/>
                    </w:rPr>
                  </w:pPr>
                  <w:r>
                    <w:rPr>
                      <w:rFonts w:ascii="宋体" w:hAnsi="宋体"/>
                    </w:rPr>
                    <w:t>100%</w:t>
                  </w:r>
                  <w:r>
                    <w:rPr>
                      <w:rFonts w:hint="eastAsia" w:ascii="宋体" w:hAnsi="宋体"/>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873"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cs="仿宋_GB2312"/>
                      <w:sz w:val="24"/>
                    </w:rPr>
                  </w:pPr>
                </w:p>
              </w:tc>
              <w:tc>
                <w:tcPr>
                  <w:tcW w:w="1549" w:type="dxa"/>
                  <w:gridSpan w:val="2"/>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rPr>
                      <w:rFonts w:ascii="宋体" w:cs="仿宋_GB2312"/>
                      <w:sz w:val="24"/>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cs="仿宋_GB2312"/>
                      <w:sz w:val="24"/>
                    </w:rPr>
                  </w:pPr>
                </w:p>
              </w:tc>
              <w:tc>
                <w:tcPr>
                  <w:tcW w:w="395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r>
                    <w:rPr>
                      <w:rFonts w:hint="eastAsia" w:ascii="宋体" w:hAnsi="宋体"/>
                      <w:sz w:val="22"/>
                      <w:szCs w:val="22"/>
                    </w:rPr>
                    <w:t>重点项目支出安排率</w:t>
                  </w:r>
                  <w:r>
                    <w:rPr>
                      <w:rFonts w:hint="eastAsia" w:ascii="宋体" w:cs="Arial"/>
                      <w:sz w:val="22"/>
                      <w:szCs w:val="22"/>
                    </w:rPr>
                    <w:t>≧</w:t>
                  </w:r>
                  <w:r>
                    <w:rPr>
                      <w:rFonts w:ascii="宋体" w:hAnsi="宋体" w:cs="Arial"/>
                      <w:sz w:val="22"/>
                      <w:szCs w:val="22"/>
                    </w:rPr>
                    <w:t>100%</w:t>
                  </w:r>
                </w:p>
              </w:tc>
              <w:tc>
                <w:tcPr>
                  <w:tcW w:w="15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4"/>
                    </w:rPr>
                  </w:pPr>
                  <w:r>
                    <w:rPr>
                      <w:rFonts w:ascii="宋体" w:hAnsi="宋体"/>
                    </w:rPr>
                    <w:t>100%</w:t>
                  </w:r>
                  <w:r>
                    <w:rPr>
                      <w:rFonts w:hint="eastAsia" w:ascii="宋体" w:hAnsi="宋体"/>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873"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cs="仿宋_GB2312"/>
                      <w:sz w:val="24"/>
                    </w:rPr>
                  </w:pPr>
                </w:p>
              </w:tc>
              <w:tc>
                <w:tcPr>
                  <w:tcW w:w="1549" w:type="dxa"/>
                  <w:gridSpan w:val="2"/>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rPr>
                      <w:rFonts w:ascii="宋体" w:cs="仿宋_GB2312"/>
                      <w:sz w:val="24"/>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p>
              </w:tc>
              <w:tc>
                <w:tcPr>
                  <w:tcW w:w="395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r>
                    <w:rPr>
                      <w:rFonts w:hint="eastAsia" w:ascii="宋体" w:hAnsi="宋体"/>
                      <w:sz w:val="22"/>
                      <w:szCs w:val="22"/>
                    </w:rPr>
                    <w:t>预算调整率≤</w:t>
                  </w:r>
                  <w:r>
                    <w:rPr>
                      <w:rFonts w:ascii="宋体"/>
                      <w:sz w:val="22"/>
                      <w:szCs w:val="22"/>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4"/>
                    </w:rPr>
                  </w:pPr>
                  <w:r>
                    <w:rPr>
                      <w:rFonts w:ascii="宋体" w:hAnsi="宋体"/>
                    </w:rPr>
                    <w:t>100%</w:t>
                  </w:r>
                  <w:r>
                    <w:rPr>
                      <w:rFonts w:hint="eastAsia" w:ascii="宋体" w:hAnsi="宋体"/>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873"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cs="仿宋_GB2312"/>
                      <w:sz w:val="24"/>
                    </w:rPr>
                  </w:pPr>
                </w:p>
              </w:tc>
              <w:tc>
                <w:tcPr>
                  <w:tcW w:w="1549" w:type="dxa"/>
                  <w:gridSpan w:val="2"/>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rPr>
                      <w:rFonts w:ascii="宋体" w:cs="仿宋_GB2312"/>
                      <w:sz w:val="24"/>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p>
              </w:tc>
              <w:tc>
                <w:tcPr>
                  <w:tcW w:w="3951"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宋体"/>
                      <w:sz w:val="22"/>
                      <w:szCs w:val="22"/>
                    </w:rPr>
                  </w:pPr>
                  <w:r>
                    <w:rPr>
                      <w:rFonts w:hint="eastAsia" w:ascii="宋体" w:hAnsi="宋体"/>
                      <w:sz w:val="22"/>
                      <w:szCs w:val="22"/>
                    </w:rPr>
                    <w:t>数据误差率≤</w:t>
                  </w:r>
                  <w:r>
                    <w:rPr>
                      <w:rFonts w:ascii="宋体" w:hAnsi="宋体"/>
                      <w:sz w:val="22"/>
                      <w:szCs w:val="22"/>
                    </w:rPr>
                    <w:t>3%</w:t>
                  </w:r>
                </w:p>
              </w:tc>
              <w:tc>
                <w:tcPr>
                  <w:tcW w:w="15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4"/>
                    </w:rPr>
                  </w:pPr>
                  <w:r>
                    <w:rPr>
                      <w:rFonts w:ascii="宋体" w:hAnsi="宋体"/>
                    </w:rPr>
                    <w:t>100%</w:t>
                  </w:r>
                  <w:r>
                    <w:rPr>
                      <w:rFonts w:hint="eastAsia" w:ascii="宋体" w:hAnsi="宋体"/>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873"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cs="仿宋_GB2312"/>
                      <w:sz w:val="24"/>
                    </w:rPr>
                  </w:pPr>
                </w:p>
              </w:tc>
              <w:tc>
                <w:tcPr>
                  <w:tcW w:w="1549" w:type="dxa"/>
                  <w:gridSpan w:val="2"/>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rPr>
                      <w:rFonts w:ascii="宋体" w:cs="仿宋_GB2312"/>
                      <w:sz w:val="24"/>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p>
              </w:tc>
              <w:tc>
                <w:tcPr>
                  <w:tcW w:w="3951"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宋体"/>
                      <w:sz w:val="22"/>
                      <w:szCs w:val="22"/>
                    </w:rPr>
                  </w:pPr>
                  <w:r>
                    <w:rPr>
                      <w:rFonts w:hint="eastAsia" w:ascii="宋体" w:hAnsi="宋体"/>
                      <w:sz w:val="22"/>
                      <w:szCs w:val="22"/>
                    </w:rPr>
                    <w:t>“三公经费”控制率≤</w:t>
                  </w:r>
                  <w:r>
                    <w:rPr>
                      <w:rFonts w:ascii="宋体" w:hAnsi="宋体"/>
                      <w:sz w:val="22"/>
                      <w:szCs w:val="22"/>
                    </w:rPr>
                    <w:t>100%</w:t>
                  </w:r>
                </w:p>
              </w:tc>
              <w:tc>
                <w:tcPr>
                  <w:tcW w:w="15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4"/>
                    </w:rPr>
                  </w:pPr>
                  <w:r>
                    <w:rPr>
                      <w:rFonts w:ascii="宋体" w:hAnsi="宋体"/>
                    </w:rPr>
                    <w:t>100%</w:t>
                  </w:r>
                  <w:r>
                    <w:rPr>
                      <w:rFonts w:hint="eastAsia" w:ascii="宋体" w:hAnsi="宋体"/>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873"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cs="仿宋_GB2312"/>
                      <w:sz w:val="24"/>
                    </w:rPr>
                  </w:pPr>
                </w:p>
              </w:tc>
              <w:tc>
                <w:tcPr>
                  <w:tcW w:w="1549" w:type="dxa"/>
                  <w:gridSpan w:val="2"/>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rPr>
                      <w:rFonts w:ascii="宋体" w:cs="仿宋_GB2312"/>
                      <w:sz w:val="24"/>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p>
              </w:tc>
              <w:tc>
                <w:tcPr>
                  <w:tcW w:w="3951"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宋体"/>
                      <w:sz w:val="22"/>
                      <w:szCs w:val="22"/>
                    </w:rPr>
                  </w:pPr>
                  <w:r>
                    <w:rPr>
                      <w:rFonts w:hint="eastAsia" w:ascii="宋体" w:hAnsi="宋体"/>
                      <w:sz w:val="22"/>
                      <w:szCs w:val="22"/>
                    </w:rPr>
                    <w:t>公务卡刷卡率</w:t>
                  </w:r>
                  <w:r>
                    <w:rPr>
                      <w:rFonts w:hint="eastAsia" w:ascii="宋体" w:cs="Arial"/>
                      <w:sz w:val="22"/>
                      <w:szCs w:val="22"/>
                    </w:rPr>
                    <w:t>≧</w:t>
                  </w:r>
                  <w:r>
                    <w:rPr>
                      <w:rFonts w:ascii="宋体" w:hAnsi="宋体"/>
                      <w:sz w:val="22"/>
                      <w:szCs w:val="22"/>
                    </w:rPr>
                    <w:t>40%</w:t>
                  </w:r>
                </w:p>
              </w:tc>
              <w:tc>
                <w:tcPr>
                  <w:tcW w:w="15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4"/>
                    </w:rPr>
                  </w:pPr>
                  <w:r>
                    <w:rPr>
                      <w:rFonts w:ascii="宋体" w:hAnsi="宋体"/>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873"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cs="仿宋_GB2312"/>
                      <w:sz w:val="24"/>
                    </w:rPr>
                  </w:pPr>
                </w:p>
              </w:tc>
              <w:tc>
                <w:tcPr>
                  <w:tcW w:w="1549" w:type="dxa"/>
                  <w:gridSpan w:val="2"/>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rPr>
                      <w:rFonts w:ascii="宋体" w:cs="仿宋_GB2312"/>
                      <w:sz w:val="24"/>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p>
              </w:tc>
              <w:tc>
                <w:tcPr>
                  <w:tcW w:w="3951"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宋体"/>
                      <w:sz w:val="22"/>
                      <w:szCs w:val="22"/>
                    </w:rPr>
                  </w:pPr>
                  <w:r>
                    <w:rPr>
                      <w:rFonts w:hint="eastAsia" w:ascii="宋体" w:hAnsi="宋体"/>
                      <w:sz w:val="22"/>
                      <w:szCs w:val="22"/>
                    </w:rPr>
                    <w:t>固定资产利用率</w:t>
                  </w:r>
                  <w:r>
                    <w:rPr>
                      <w:rFonts w:ascii="宋体" w:hAnsi="宋体"/>
                      <w:sz w:val="22"/>
                      <w:szCs w:val="22"/>
                    </w:rPr>
                    <w:t>=100%</w:t>
                  </w:r>
                </w:p>
              </w:tc>
              <w:tc>
                <w:tcPr>
                  <w:tcW w:w="15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4"/>
                    </w:rPr>
                  </w:pPr>
                  <w:r>
                    <w:rPr>
                      <w:rFonts w:ascii="宋体" w:hAnsi="宋体"/>
                    </w:rPr>
                    <w:t>100%</w:t>
                  </w:r>
                  <w:r>
                    <w:rPr>
                      <w:rFonts w:hint="eastAsia" w:ascii="宋体" w:hAnsi="宋体"/>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07" w:hRule="atLeast"/>
                <w:jc w:val="center"/>
              </w:trPr>
              <w:tc>
                <w:tcPr>
                  <w:tcW w:w="1873"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cs="仿宋_GB2312"/>
                      <w:sz w:val="24"/>
                    </w:rPr>
                  </w:pPr>
                </w:p>
              </w:tc>
              <w:tc>
                <w:tcPr>
                  <w:tcW w:w="1549" w:type="dxa"/>
                  <w:gridSpan w:val="2"/>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rPr>
                      <w:rFonts w:ascii="宋体" w:cs="仿宋_GB2312"/>
                      <w:sz w:val="24"/>
                    </w:rPr>
                  </w:pP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数量指标</w:t>
                  </w:r>
                </w:p>
              </w:tc>
              <w:tc>
                <w:tcPr>
                  <w:tcW w:w="3951"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宋体"/>
                      <w:sz w:val="22"/>
                      <w:szCs w:val="22"/>
                    </w:rPr>
                  </w:pPr>
                  <w:r>
                    <w:rPr>
                      <w:rFonts w:ascii="宋体" w:hAnsi="宋体"/>
                      <w:sz w:val="22"/>
                      <w:szCs w:val="22"/>
                    </w:rPr>
                    <w:t>100%</w:t>
                  </w:r>
                  <w:r>
                    <w:rPr>
                      <w:rFonts w:hint="eastAsia" w:ascii="宋体" w:hAnsi="宋体"/>
                      <w:sz w:val="22"/>
                      <w:szCs w:val="22"/>
                    </w:rPr>
                    <w:t>完成</w:t>
                  </w:r>
                </w:p>
              </w:tc>
              <w:tc>
                <w:tcPr>
                  <w:tcW w:w="15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r>
                    <w:rPr>
                      <w:rFonts w:ascii="宋体" w:hAnsi="宋体"/>
                      <w:sz w:val="22"/>
                      <w:szCs w:val="22"/>
                    </w:rPr>
                    <w:t>100%</w:t>
                  </w:r>
                  <w:r>
                    <w:rPr>
                      <w:rFonts w:hint="eastAsia" w:ascii="宋体" w:hAnsi="宋体"/>
                      <w:sz w:val="22"/>
                      <w:szCs w:val="22"/>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873"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cs="仿宋_GB2312"/>
                      <w:sz w:val="24"/>
                    </w:rPr>
                  </w:pPr>
                </w:p>
              </w:tc>
              <w:tc>
                <w:tcPr>
                  <w:tcW w:w="1549" w:type="dxa"/>
                  <w:gridSpan w:val="2"/>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rPr>
                      <w:rFonts w:ascii="宋体" w:cs="仿宋_GB2312"/>
                      <w:sz w:val="24"/>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p>
              </w:tc>
              <w:tc>
                <w:tcPr>
                  <w:tcW w:w="3951"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宋体"/>
                      <w:sz w:val="22"/>
                      <w:szCs w:val="22"/>
                    </w:rPr>
                  </w:pPr>
                  <w:r>
                    <w:rPr>
                      <w:rFonts w:ascii="宋体" w:hAnsi="宋体"/>
                      <w:sz w:val="22"/>
                      <w:szCs w:val="22"/>
                    </w:rPr>
                    <w:t>100%</w:t>
                  </w:r>
                  <w:r>
                    <w:rPr>
                      <w:rFonts w:hint="eastAsia" w:ascii="宋体" w:hAnsi="宋体"/>
                      <w:sz w:val="22"/>
                      <w:szCs w:val="22"/>
                    </w:rPr>
                    <w:t>完成</w:t>
                  </w:r>
                </w:p>
              </w:tc>
              <w:tc>
                <w:tcPr>
                  <w:tcW w:w="15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r>
                    <w:rPr>
                      <w:rFonts w:ascii="宋体" w:hAnsi="宋体"/>
                      <w:sz w:val="22"/>
                      <w:szCs w:val="22"/>
                    </w:rPr>
                    <w:t>100%</w:t>
                  </w:r>
                  <w:r>
                    <w:rPr>
                      <w:rFonts w:hint="eastAsia" w:ascii="宋体" w:hAnsi="宋体"/>
                      <w:sz w:val="22"/>
                      <w:szCs w:val="22"/>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873"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cs="仿宋_GB2312"/>
                      <w:sz w:val="24"/>
                    </w:rPr>
                  </w:pPr>
                </w:p>
              </w:tc>
              <w:tc>
                <w:tcPr>
                  <w:tcW w:w="1549" w:type="dxa"/>
                  <w:gridSpan w:val="2"/>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rPr>
                      <w:rFonts w:ascii="宋体" w:cs="仿宋_GB2312"/>
                      <w:sz w:val="24"/>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p>
              </w:tc>
              <w:tc>
                <w:tcPr>
                  <w:tcW w:w="3951"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宋体"/>
                      <w:sz w:val="22"/>
                      <w:szCs w:val="22"/>
                    </w:rPr>
                  </w:pPr>
                </w:p>
              </w:tc>
              <w:tc>
                <w:tcPr>
                  <w:tcW w:w="15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2"/>
                      <w:szCs w:val="22"/>
                    </w:rPr>
                  </w:pPr>
                  <w:r>
                    <w:rPr>
                      <w:rFonts w:ascii="宋体" w:hAnsi="宋体"/>
                      <w:sz w:val="22"/>
                      <w:szCs w:val="22"/>
                    </w:rPr>
                    <w:t>100%</w:t>
                  </w:r>
                  <w:r>
                    <w:rPr>
                      <w:rFonts w:hint="eastAsia" w:ascii="宋体" w:hAnsi="宋体"/>
                      <w:sz w:val="22"/>
                      <w:szCs w:val="22"/>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873"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cs="仿宋_GB2312"/>
                      <w:sz w:val="24"/>
                    </w:rPr>
                  </w:pPr>
                </w:p>
              </w:tc>
              <w:tc>
                <w:tcPr>
                  <w:tcW w:w="1549" w:type="dxa"/>
                  <w:gridSpan w:val="2"/>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rPr>
                      <w:rFonts w:ascii="宋体" w:cs="仿宋_GB2312"/>
                      <w:sz w:val="24"/>
                    </w:rPr>
                  </w:pP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成本指标</w:t>
                  </w:r>
                </w:p>
              </w:tc>
              <w:tc>
                <w:tcPr>
                  <w:tcW w:w="395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FF0000"/>
                      <w:sz w:val="24"/>
                    </w:rPr>
                  </w:pPr>
                  <w:r>
                    <w:rPr>
                      <w:rFonts w:hint="eastAsia" w:ascii="宋体" w:hAnsi="宋体"/>
                    </w:rPr>
                    <w:t>控制在预算内</w:t>
                  </w:r>
                </w:p>
              </w:tc>
              <w:tc>
                <w:tcPr>
                  <w:tcW w:w="1545"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b/>
                      <w:color w:val="000000"/>
                      <w:sz w:val="24"/>
                    </w:rPr>
                  </w:pPr>
                  <w:r>
                    <w:rPr>
                      <w:rFonts w:ascii="宋体" w:hAnsi="宋体"/>
                      <w:sz w:val="22"/>
                      <w:szCs w:val="22"/>
                    </w:rPr>
                    <w:t>100%</w:t>
                  </w:r>
                  <w:r>
                    <w:rPr>
                      <w:rFonts w:hint="eastAsia" w:ascii="宋体" w:hAnsi="宋体"/>
                      <w:sz w:val="22"/>
                      <w:szCs w:val="22"/>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873"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cs="仿宋_GB2312"/>
                      <w:sz w:val="24"/>
                    </w:rPr>
                  </w:pPr>
                </w:p>
              </w:tc>
              <w:tc>
                <w:tcPr>
                  <w:tcW w:w="1549" w:type="dxa"/>
                  <w:gridSpan w:val="2"/>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rPr>
                      <w:rFonts w:ascii="宋体" w:cs="仿宋_GB2312"/>
                      <w:sz w:val="24"/>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sz w:val="24"/>
                    </w:rPr>
                  </w:pPr>
                </w:p>
              </w:tc>
              <w:tc>
                <w:tcPr>
                  <w:tcW w:w="3951"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p>
              </w:tc>
              <w:tc>
                <w:tcPr>
                  <w:tcW w:w="1545"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873"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cs="仿宋_GB2312"/>
                      <w:sz w:val="24"/>
                    </w:rPr>
                  </w:pPr>
                </w:p>
              </w:tc>
              <w:tc>
                <w:tcPr>
                  <w:tcW w:w="154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效益目标</w:t>
                  </w:r>
                </w:p>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（预期实现的效益）</w:t>
                  </w:r>
                </w:p>
              </w:tc>
              <w:tc>
                <w:tcPr>
                  <w:tcW w:w="1417"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社会效益</w:t>
                  </w:r>
                </w:p>
              </w:tc>
              <w:tc>
                <w:tcPr>
                  <w:tcW w:w="3951"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sz w:val="20"/>
                      <w:szCs w:val="20"/>
                    </w:rPr>
                  </w:pPr>
                  <w:r>
                    <w:rPr>
                      <w:rFonts w:hint="eastAsia" w:ascii="宋体" w:hAnsi="宋体" w:cs="仿宋_GB2312"/>
                      <w:sz w:val="24"/>
                    </w:rPr>
                    <w:t>确保道路运输安全及城区交通秩序持续好转，群众满意度不断提升。</w:t>
                  </w:r>
                </w:p>
              </w:tc>
              <w:tc>
                <w:tcPr>
                  <w:tcW w:w="15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4"/>
                    </w:rPr>
                  </w:pPr>
                  <w:r>
                    <w:rPr>
                      <w:rFonts w:hint="eastAsia" w:ascii="宋体" w:hAnsi="宋体"/>
                      <w:sz w:val="24"/>
                    </w:rPr>
                    <w:t>社会效益明显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1" w:hRule="atLeast"/>
                <w:jc w:val="center"/>
              </w:trPr>
              <w:tc>
                <w:tcPr>
                  <w:tcW w:w="1873"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cs="仿宋_GB2312"/>
                      <w:sz w:val="24"/>
                    </w:rPr>
                  </w:pPr>
                </w:p>
              </w:tc>
              <w:tc>
                <w:tcPr>
                  <w:tcW w:w="1549" w:type="dxa"/>
                  <w:gridSpan w:val="2"/>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rPr>
                      <w:rFonts w:ascii="宋体" w:cs="仿宋_GB2312"/>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经济效益</w:t>
                  </w:r>
                </w:p>
              </w:tc>
              <w:tc>
                <w:tcPr>
                  <w:tcW w:w="395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4"/>
                    </w:rPr>
                  </w:pPr>
                  <w:r>
                    <w:rPr>
                      <w:rFonts w:hint="eastAsia" w:ascii="宋体" w:hAnsi="宋体" w:cs="宋体"/>
                      <w:sz w:val="24"/>
                    </w:rPr>
                    <w:t>为城镇居民经济增长创造条件，助推乡村旅游产业发展</w:t>
                  </w:r>
                </w:p>
              </w:tc>
              <w:tc>
                <w:tcPr>
                  <w:tcW w:w="15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4"/>
                    </w:rPr>
                  </w:pPr>
                  <w:r>
                    <w:rPr>
                      <w:rFonts w:hint="eastAsia" w:ascii="宋体" w:hAnsi="宋体"/>
                      <w:sz w:val="24"/>
                    </w:rPr>
                    <w:t>经济效益明显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873"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cs="仿宋_GB2312"/>
                      <w:sz w:val="24"/>
                    </w:rPr>
                  </w:pPr>
                </w:p>
              </w:tc>
              <w:tc>
                <w:tcPr>
                  <w:tcW w:w="1549" w:type="dxa"/>
                  <w:gridSpan w:val="2"/>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rPr>
                      <w:rFonts w:ascii="宋体" w:cs="仿宋_GB2312"/>
                      <w:sz w:val="24"/>
                    </w:rPr>
                  </w:pP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生态效益</w:t>
                  </w:r>
                </w:p>
              </w:tc>
              <w:tc>
                <w:tcPr>
                  <w:tcW w:w="3951"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降噪降阻</w:t>
                  </w:r>
                </w:p>
              </w:tc>
              <w:tc>
                <w:tcPr>
                  <w:tcW w:w="1545"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b/>
                      <w:color w:val="000000"/>
                      <w:sz w:val="24"/>
                    </w:rPr>
                  </w:pPr>
                  <w:r>
                    <w:rPr>
                      <w:rFonts w:hint="eastAsia" w:ascii="宋体" w:hAnsi="宋体" w:cs="仿宋_GB2312"/>
                      <w:b/>
                      <w:color w:val="000000"/>
                      <w:sz w:val="24"/>
                    </w:rPr>
                    <w:t>生态效益明显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873"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cs="仿宋_GB2312"/>
                      <w:sz w:val="24"/>
                    </w:rPr>
                  </w:pPr>
                </w:p>
              </w:tc>
              <w:tc>
                <w:tcPr>
                  <w:tcW w:w="1549" w:type="dxa"/>
                  <w:gridSpan w:val="2"/>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rPr>
                      <w:rFonts w:ascii="宋体" w:cs="仿宋_GB2312"/>
                      <w:sz w:val="24"/>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sz w:val="24"/>
                    </w:rPr>
                  </w:pPr>
                </w:p>
              </w:tc>
              <w:tc>
                <w:tcPr>
                  <w:tcW w:w="3951"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p>
              </w:tc>
              <w:tc>
                <w:tcPr>
                  <w:tcW w:w="1545"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873"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cs="仿宋_GB2312"/>
                      <w:sz w:val="24"/>
                    </w:rPr>
                  </w:pPr>
                </w:p>
              </w:tc>
              <w:tc>
                <w:tcPr>
                  <w:tcW w:w="1549" w:type="dxa"/>
                  <w:gridSpan w:val="2"/>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rPr>
                      <w:rFonts w:ascii="宋体" w:cs="仿宋_GB2312"/>
                      <w:sz w:val="24"/>
                    </w:rPr>
                  </w:pP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社会公众或服务对象满意度</w:t>
                  </w:r>
                </w:p>
              </w:tc>
              <w:tc>
                <w:tcPr>
                  <w:tcW w:w="395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4"/>
                    </w:rPr>
                  </w:pPr>
                  <w:r>
                    <w:rPr>
                      <w:rFonts w:hint="eastAsia" w:ascii="宋体" w:hAnsi="宋体"/>
                      <w:sz w:val="24"/>
                    </w:rPr>
                    <w:t>服务对象满意度</w:t>
                  </w:r>
                </w:p>
              </w:tc>
              <w:tc>
                <w:tcPr>
                  <w:tcW w:w="1545"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b/>
                      <w:color w:val="000000"/>
                      <w:sz w:val="24"/>
                    </w:rPr>
                  </w:pPr>
                  <w:r>
                    <w:rPr>
                      <w:rFonts w:ascii="宋体" w:hAnsi="宋体"/>
                      <w:sz w:val="24"/>
                    </w:rPr>
                    <w:t>95%</w:t>
                  </w:r>
                  <w:r>
                    <w:rPr>
                      <w:rFonts w:hint="eastAsia" w:ascii="宋体" w:hAnsi="宋体"/>
                      <w:sz w:val="24"/>
                    </w:rPr>
                    <w:t>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873"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cs="仿宋_GB2312"/>
                      <w:sz w:val="24"/>
                    </w:rPr>
                  </w:pPr>
                </w:p>
              </w:tc>
              <w:tc>
                <w:tcPr>
                  <w:tcW w:w="1549" w:type="dxa"/>
                  <w:gridSpan w:val="2"/>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rPr>
                      <w:rFonts w:ascii="宋体" w:cs="仿宋_GB2312"/>
                      <w:sz w:val="24"/>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sz w:val="24"/>
                    </w:rPr>
                  </w:pPr>
                </w:p>
              </w:tc>
              <w:tc>
                <w:tcPr>
                  <w:tcW w:w="3951"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满意度</w:t>
                  </w:r>
                  <w:r>
                    <w:rPr>
                      <w:rFonts w:ascii="宋体" w:hAnsi="宋体" w:cs="仿宋_GB2312"/>
                      <w:color w:val="000000"/>
                      <w:sz w:val="24"/>
                    </w:rPr>
                    <w:t>95%</w:t>
                  </w:r>
                  <w:r>
                    <w:rPr>
                      <w:rFonts w:hint="eastAsia" w:ascii="宋体" w:hAnsi="宋体" w:cs="仿宋_GB2312"/>
                      <w:color w:val="000000"/>
                      <w:sz w:val="24"/>
                    </w:rPr>
                    <w:t>以上</w:t>
                  </w:r>
                </w:p>
              </w:tc>
              <w:tc>
                <w:tcPr>
                  <w:tcW w:w="1545"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b/>
                      <w:color w:val="000000"/>
                      <w:sz w:val="24"/>
                    </w:rPr>
                  </w:pPr>
                  <w:r>
                    <w:rPr>
                      <w:rFonts w:hint="eastAsia" w:ascii="宋体" w:hAnsi="宋体" w:cs="仿宋_GB2312"/>
                      <w:b/>
                      <w:color w:val="000000"/>
                      <w:sz w:val="24"/>
                    </w:rPr>
                    <w:t>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34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绩效自评综合得分</w:t>
                  </w:r>
                </w:p>
              </w:tc>
              <w:tc>
                <w:tcPr>
                  <w:tcW w:w="6913"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r>
                    <w:rPr>
                      <w:rFonts w:ascii="宋体" w:hAnsi="宋体" w:cs="仿宋_GB2312"/>
                      <w:color w:val="000000"/>
                      <w:sz w:val="24"/>
                    </w:rPr>
                    <w:t>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34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评价等次</w:t>
                  </w:r>
                </w:p>
              </w:tc>
              <w:tc>
                <w:tcPr>
                  <w:tcW w:w="6913"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0335" w:type="dxa"/>
                  <w:gridSpan w:val="8"/>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b/>
                      <w:color w:val="000000"/>
                      <w:sz w:val="24"/>
                    </w:rPr>
                  </w:pPr>
                  <w:r>
                    <w:rPr>
                      <w:rFonts w:hint="eastAsia" w:ascii="宋体" w:hAnsi="宋体" w:cs="黑体"/>
                      <w:b/>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35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姓</w:t>
                  </w:r>
                  <w:r>
                    <w:rPr>
                      <w:rFonts w:ascii="宋体" w:hAnsi="宋体" w:cs="仿宋_GB2312"/>
                      <w:color w:val="000000"/>
                      <w:sz w:val="24"/>
                    </w:rPr>
                    <w:t xml:space="preserve">  </w:t>
                  </w:r>
                  <w:r>
                    <w:rPr>
                      <w:rFonts w:hint="eastAsia" w:ascii="宋体" w:hAnsi="宋体" w:cs="仿宋_GB2312"/>
                      <w:color w:val="000000"/>
                      <w:sz w:val="24"/>
                    </w:rPr>
                    <w:t>名</w:t>
                  </w:r>
                </w:p>
              </w:tc>
              <w:tc>
                <w:tcPr>
                  <w:tcW w:w="446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职务</w:t>
                  </w:r>
                  <w:r>
                    <w:rPr>
                      <w:rFonts w:ascii="宋体" w:hAnsi="宋体" w:cs="仿宋_GB2312"/>
                      <w:color w:val="000000"/>
                      <w:sz w:val="24"/>
                    </w:rPr>
                    <w:t>/</w:t>
                  </w:r>
                  <w:r>
                    <w:rPr>
                      <w:rFonts w:hint="eastAsia" w:ascii="宋体" w:hAnsi="宋体" w:cs="仿宋_GB2312"/>
                      <w:color w:val="000000"/>
                      <w:sz w:val="24"/>
                    </w:rPr>
                    <w:t>职称</w:t>
                  </w:r>
                </w:p>
              </w:tc>
              <w:tc>
                <w:tcPr>
                  <w:tcW w:w="197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单</w:t>
                  </w:r>
                  <w:r>
                    <w:rPr>
                      <w:rFonts w:ascii="宋体" w:hAnsi="宋体" w:cs="仿宋_GB2312"/>
                      <w:color w:val="000000"/>
                      <w:sz w:val="24"/>
                    </w:rPr>
                    <w:t xml:space="preserve">  </w:t>
                  </w:r>
                  <w:r>
                    <w:rPr>
                      <w:rFonts w:hint="eastAsia" w:ascii="宋体" w:hAnsi="宋体" w:cs="仿宋_GB2312"/>
                      <w:color w:val="000000"/>
                      <w:sz w:val="24"/>
                    </w:rPr>
                    <w:t>位</w:t>
                  </w:r>
                </w:p>
              </w:tc>
              <w:tc>
                <w:tcPr>
                  <w:tcW w:w="1545"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签</w:t>
                  </w:r>
                  <w:r>
                    <w:rPr>
                      <w:rFonts w:ascii="宋体" w:hAnsi="宋体" w:cs="仿宋_GB2312"/>
                      <w:color w:val="000000"/>
                      <w:sz w:val="24"/>
                    </w:rPr>
                    <w:t xml:space="preserve">  </w:t>
                  </w:r>
                  <w:r>
                    <w:rPr>
                      <w:rFonts w:hint="eastAsia" w:ascii="宋体" w:hAnsi="宋体" w:cs="仿宋_GB2312"/>
                      <w:color w:val="000000"/>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235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黎</w:t>
                  </w:r>
                  <w:r>
                    <w:rPr>
                      <w:rFonts w:ascii="宋体" w:hAnsi="宋体" w:cs="仿宋_GB2312"/>
                      <w:color w:val="000000"/>
                      <w:sz w:val="24"/>
                    </w:rPr>
                    <w:t xml:space="preserve">  </w:t>
                  </w:r>
                  <w:r>
                    <w:rPr>
                      <w:rFonts w:hint="eastAsia" w:ascii="宋体" w:hAnsi="宋体" w:cs="仿宋_GB2312"/>
                      <w:color w:val="000000"/>
                      <w:sz w:val="24"/>
                    </w:rPr>
                    <w:t>明</w:t>
                  </w:r>
                </w:p>
              </w:tc>
              <w:tc>
                <w:tcPr>
                  <w:tcW w:w="446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副局长</w:t>
                  </w:r>
                </w:p>
              </w:tc>
              <w:tc>
                <w:tcPr>
                  <w:tcW w:w="197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bookmarkStart w:id="0" w:name="OLE_LINK1"/>
                  <w:r>
                    <w:rPr>
                      <w:rFonts w:hint="eastAsia" w:ascii="宋体" w:hAnsi="宋体" w:cs="仿宋_GB2312"/>
                      <w:color w:val="000000"/>
                      <w:sz w:val="24"/>
                    </w:rPr>
                    <w:t>岳阳县交通运输局</w:t>
                  </w:r>
                  <w:bookmarkEnd w:id="0"/>
                </w:p>
              </w:tc>
              <w:tc>
                <w:tcPr>
                  <w:tcW w:w="1545"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235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李爱萍</w:t>
                  </w:r>
                </w:p>
              </w:tc>
              <w:tc>
                <w:tcPr>
                  <w:tcW w:w="446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财务股长</w:t>
                  </w:r>
                </w:p>
              </w:tc>
              <w:tc>
                <w:tcPr>
                  <w:tcW w:w="197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岳阳县交通运输局</w:t>
                  </w:r>
                </w:p>
              </w:tc>
              <w:tc>
                <w:tcPr>
                  <w:tcW w:w="1545"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235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陈</w:t>
                  </w:r>
                  <w:r>
                    <w:rPr>
                      <w:rFonts w:ascii="宋体" w:hAnsi="宋体" w:cs="仿宋_GB2312"/>
                      <w:color w:val="000000"/>
                      <w:sz w:val="24"/>
                    </w:rPr>
                    <w:t xml:space="preserve">  </w:t>
                  </w:r>
                  <w:r>
                    <w:rPr>
                      <w:rFonts w:hint="eastAsia" w:ascii="宋体" w:hAnsi="宋体" w:cs="仿宋_GB2312"/>
                      <w:color w:val="000000"/>
                      <w:sz w:val="24"/>
                    </w:rPr>
                    <w:t>芳</w:t>
                  </w:r>
                </w:p>
              </w:tc>
              <w:tc>
                <w:tcPr>
                  <w:tcW w:w="446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会计</w:t>
                  </w:r>
                </w:p>
              </w:tc>
              <w:tc>
                <w:tcPr>
                  <w:tcW w:w="197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r>
                    <w:rPr>
                      <w:rFonts w:hint="eastAsia" w:ascii="宋体" w:hAnsi="宋体" w:cs="仿宋_GB2312"/>
                      <w:color w:val="000000"/>
                      <w:sz w:val="24"/>
                    </w:rPr>
                    <w:t>岳阳县交通运输局</w:t>
                  </w:r>
                </w:p>
              </w:tc>
              <w:tc>
                <w:tcPr>
                  <w:tcW w:w="1545"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235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p>
              </w:tc>
              <w:tc>
                <w:tcPr>
                  <w:tcW w:w="446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p>
              </w:tc>
              <w:tc>
                <w:tcPr>
                  <w:tcW w:w="197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p>
              </w:tc>
              <w:tc>
                <w:tcPr>
                  <w:tcW w:w="1545"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ascii="宋体"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98" w:hRule="atLeast"/>
                <w:jc w:val="center"/>
              </w:trPr>
              <w:tc>
                <w:tcPr>
                  <w:tcW w:w="10335" w:type="dxa"/>
                  <w:gridSpan w:val="8"/>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left"/>
                    <w:textAlignment w:val="center"/>
                    <w:rPr>
                      <w:rFonts w:ascii="宋体" w:cs="仿宋_GB2312"/>
                      <w:color w:val="000000"/>
                      <w:sz w:val="24"/>
                    </w:rPr>
                  </w:pPr>
                  <w:r>
                    <w:rPr>
                      <w:rFonts w:hint="eastAsia" w:ascii="宋体" w:hAnsi="宋体" w:cs="仿宋_GB2312"/>
                      <w:color w:val="000000"/>
                      <w:sz w:val="24"/>
                    </w:rPr>
                    <w:t>评价组组长（签字）：</w:t>
                  </w:r>
                </w:p>
                <w:p>
                  <w:pPr>
                    <w:autoSpaceDN w:val="0"/>
                    <w:spacing w:line="400" w:lineRule="exact"/>
                    <w:jc w:val="left"/>
                    <w:textAlignment w:val="center"/>
                    <w:rPr>
                      <w:rFonts w:ascii="宋体" w:cs="仿宋_GB2312"/>
                      <w:color w:val="000000"/>
                      <w:sz w:val="24"/>
                    </w:rPr>
                  </w:pPr>
                </w:p>
                <w:p>
                  <w:pPr>
                    <w:autoSpaceDN w:val="0"/>
                    <w:spacing w:line="400" w:lineRule="exact"/>
                    <w:jc w:val="left"/>
                    <w:textAlignment w:val="center"/>
                    <w:rPr>
                      <w:rFonts w:ascii="宋体" w:cs="仿宋_GB2312"/>
                      <w:color w:val="000000"/>
                      <w:sz w:val="24"/>
                    </w:rPr>
                  </w:pPr>
                </w:p>
                <w:p>
                  <w:pPr>
                    <w:autoSpaceDN w:val="0"/>
                    <w:spacing w:line="400" w:lineRule="exact"/>
                    <w:jc w:val="left"/>
                    <w:textAlignment w:val="center"/>
                    <w:rPr>
                      <w:rFonts w:ascii="宋体" w:cs="仿宋_GB2312"/>
                      <w:color w:val="000000"/>
                      <w:sz w:val="24"/>
                    </w:rPr>
                  </w:pPr>
                </w:p>
                <w:p>
                  <w:pPr>
                    <w:autoSpaceDN w:val="0"/>
                    <w:spacing w:line="400" w:lineRule="exact"/>
                    <w:jc w:val="left"/>
                    <w:textAlignment w:val="center"/>
                    <w:rPr>
                      <w:rFonts w:ascii="宋体" w:cs="仿宋_GB2312"/>
                      <w:color w:val="000000"/>
                      <w:sz w:val="24"/>
                    </w:rPr>
                  </w:pPr>
                </w:p>
                <w:p>
                  <w:pPr>
                    <w:autoSpaceDN w:val="0"/>
                    <w:spacing w:line="400" w:lineRule="exact"/>
                    <w:jc w:val="left"/>
                    <w:textAlignment w:val="center"/>
                    <w:rPr>
                      <w:rFonts w:ascii="宋体" w:cs="仿宋_GB2312"/>
                      <w:color w:val="000000"/>
                      <w:sz w:val="24"/>
                    </w:rPr>
                  </w:pPr>
                </w:p>
                <w:p>
                  <w:pPr>
                    <w:autoSpaceDN w:val="0"/>
                    <w:spacing w:line="400" w:lineRule="exact"/>
                    <w:jc w:val="left"/>
                    <w:textAlignment w:val="center"/>
                    <w:rPr>
                      <w:rFonts w:ascii="宋体" w:cs="仿宋_GB2312"/>
                      <w:color w:val="000000"/>
                      <w:sz w:val="24"/>
                    </w:rPr>
                  </w:pPr>
                </w:p>
                <w:p>
                  <w:pPr>
                    <w:autoSpaceDN w:val="0"/>
                    <w:spacing w:line="400" w:lineRule="exact"/>
                    <w:jc w:val="left"/>
                    <w:textAlignment w:val="center"/>
                    <w:rPr>
                      <w:rFonts w:ascii="宋体" w:cs="仿宋_GB2312"/>
                      <w:color w:val="000000"/>
                      <w:sz w:val="24"/>
                    </w:rPr>
                  </w:pPr>
                  <w:r>
                    <w:rPr>
                      <w:rFonts w:ascii="宋体" w:hAnsi="宋体" w:cs="仿宋_GB2312"/>
                      <w:color w:val="000000"/>
                      <w:sz w:val="24"/>
                    </w:rPr>
                    <w:t xml:space="preserve">                                                                     </w:t>
                  </w:r>
                  <w:r>
                    <w:rPr>
                      <w:rFonts w:hint="eastAsia" w:ascii="宋体" w:hAnsi="宋体" w:cs="仿宋_GB2312"/>
                      <w:color w:val="000000"/>
                      <w:sz w:val="24"/>
                    </w:rPr>
                    <w:t>年</w:t>
                  </w:r>
                  <w:r>
                    <w:rPr>
                      <w:rFonts w:ascii="宋体" w:hAnsi="宋体" w:cs="仿宋_GB2312"/>
                      <w:color w:val="000000"/>
                      <w:sz w:val="24"/>
                    </w:rPr>
                    <w:t xml:space="preserve">    </w:t>
                  </w:r>
                  <w:r>
                    <w:rPr>
                      <w:rFonts w:hint="eastAsia" w:ascii="宋体" w:hAnsi="宋体" w:cs="仿宋_GB2312"/>
                      <w:color w:val="000000"/>
                      <w:sz w:val="24"/>
                    </w:rPr>
                    <w:t>月</w:t>
                  </w:r>
                  <w:r>
                    <w:rPr>
                      <w:rFonts w:ascii="宋体" w:hAnsi="宋体" w:cs="仿宋_GB2312"/>
                      <w:color w:val="000000"/>
                      <w:sz w:val="24"/>
                    </w:rPr>
                    <w:t xml:space="preserve">    </w:t>
                  </w:r>
                  <w:r>
                    <w:rPr>
                      <w:rFonts w:hint="eastAsia" w:ascii="宋体" w:hAnsi="宋体"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523" w:hRule="atLeast"/>
                <w:jc w:val="center"/>
              </w:trPr>
              <w:tc>
                <w:tcPr>
                  <w:tcW w:w="10335" w:type="dxa"/>
                  <w:gridSpan w:val="8"/>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left"/>
                    <w:textAlignment w:val="center"/>
                    <w:rPr>
                      <w:rFonts w:ascii="宋体" w:cs="仿宋_GB2312"/>
                      <w:color w:val="000000"/>
                      <w:sz w:val="24"/>
                    </w:rPr>
                  </w:pPr>
                  <w:r>
                    <w:rPr>
                      <w:rFonts w:hint="eastAsia" w:ascii="宋体" w:hAnsi="宋体" w:cs="仿宋_GB2312"/>
                      <w:color w:val="000000"/>
                      <w:sz w:val="24"/>
                    </w:rPr>
                    <w:t>部门（单位）意见：</w:t>
                  </w:r>
                </w:p>
                <w:p>
                  <w:pPr>
                    <w:autoSpaceDN w:val="0"/>
                    <w:spacing w:line="400" w:lineRule="exact"/>
                    <w:jc w:val="left"/>
                    <w:textAlignment w:val="center"/>
                    <w:rPr>
                      <w:rFonts w:ascii="宋体" w:cs="仿宋_GB2312"/>
                      <w:color w:val="000000"/>
                      <w:sz w:val="24"/>
                    </w:rPr>
                  </w:pPr>
                </w:p>
                <w:p>
                  <w:pPr>
                    <w:autoSpaceDN w:val="0"/>
                    <w:spacing w:line="400" w:lineRule="exact"/>
                    <w:jc w:val="left"/>
                    <w:textAlignment w:val="center"/>
                    <w:rPr>
                      <w:rFonts w:ascii="宋体" w:cs="仿宋_GB2312"/>
                      <w:color w:val="000000"/>
                      <w:sz w:val="24"/>
                    </w:rPr>
                  </w:pPr>
                </w:p>
                <w:p>
                  <w:pPr>
                    <w:autoSpaceDN w:val="0"/>
                    <w:spacing w:line="400" w:lineRule="exact"/>
                    <w:jc w:val="left"/>
                    <w:textAlignment w:val="center"/>
                    <w:rPr>
                      <w:rFonts w:ascii="宋体" w:cs="仿宋_GB2312"/>
                      <w:color w:val="000000"/>
                      <w:sz w:val="24"/>
                    </w:rPr>
                  </w:pPr>
                </w:p>
                <w:p>
                  <w:pPr>
                    <w:autoSpaceDN w:val="0"/>
                    <w:spacing w:line="400" w:lineRule="exact"/>
                    <w:jc w:val="left"/>
                    <w:textAlignment w:val="center"/>
                    <w:rPr>
                      <w:rFonts w:ascii="宋体" w:cs="仿宋_GB2312"/>
                      <w:color w:val="000000"/>
                      <w:sz w:val="24"/>
                    </w:rPr>
                  </w:pPr>
                </w:p>
                <w:p>
                  <w:pPr>
                    <w:autoSpaceDN w:val="0"/>
                    <w:spacing w:line="400" w:lineRule="exact"/>
                    <w:jc w:val="left"/>
                    <w:textAlignment w:val="center"/>
                    <w:rPr>
                      <w:rFonts w:ascii="宋体" w:cs="仿宋_GB2312"/>
                      <w:color w:val="000000"/>
                      <w:sz w:val="24"/>
                    </w:rPr>
                  </w:pPr>
                </w:p>
                <w:p>
                  <w:pPr>
                    <w:autoSpaceDN w:val="0"/>
                    <w:spacing w:line="400" w:lineRule="exact"/>
                    <w:jc w:val="left"/>
                    <w:textAlignment w:val="center"/>
                    <w:rPr>
                      <w:rFonts w:ascii="宋体" w:cs="仿宋_GB2312"/>
                      <w:color w:val="000000"/>
                      <w:sz w:val="24"/>
                    </w:rPr>
                  </w:pPr>
                </w:p>
                <w:p>
                  <w:pPr>
                    <w:autoSpaceDN w:val="0"/>
                    <w:spacing w:line="400" w:lineRule="exact"/>
                    <w:jc w:val="left"/>
                    <w:textAlignment w:val="center"/>
                    <w:rPr>
                      <w:rFonts w:ascii="宋体" w:cs="仿宋_GB2312"/>
                      <w:color w:val="000000"/>
                      <w:sz w:val="24"/>
                    </w:rPr>
                  </w:pPr>
                </w:p>
                <w:p>
                  <w:pPr>
                    <w:autoSpaceDN w:val="0"/>
                    <w:spacing w:line="400" w:lineRule="exact"/>
                    <w:jc w:val="left"/>
                    <w:textAlignment w:val="center"/>
                    <w:rPr>
                      <w:rFonts w:ascii="宋体" w:cs="仿宋_GB2312"/>
                      <w:color w:val="000000"/>
                      <w:sz w:val="24"/>
                    </w:rPr>
                  </w:pPr>
                  <w:r>
                    <w:rPr>
                      <w:rFonts w:ascii="宋体" w:hAnsi="宋体" w:cs="仿宋_GB2312"/>
                      <w:color w:val="000000"/>
                      <w:sz w:val="24"/>
                    </w:rPr>
                    <w:t xml:space="preserve">                                         </w:t>
                  </w:r>
                  <w:r>
                    <w:rPr>
                      <w:rFonts w:hint="eastAsia" w:ascii="宋体" w:hAnsi="宋体" w:cs="仿宋_GB2312"/>
                      <w:color w:val="000000"/>
                      <w:sz w:val="24"/>
                    </w:rPr>
                    <w:t>部门（单位）负责人（签字）：</w:t>
                  </w:r>
                </w:p>
                <w:p>
                  <w:pPr>
                    <w:autoSpaceDN w:val="0"/>
                    <w:spacing w:line="400" w:lineRule="exact"/>
                    <w:jc w:val="left"/>
                    <w:textAlignment w:val="center"/>
                    <w:rPr>
                      <w:rFonts w:ascii="宋体" w:cs="仿宋_GB2312"/>
                      <w:color w:val="000000"/>
                      <w:sz w:val="24"/>
                    </w:rPr>
                  </w:pPr>
                </w:p>
                <w:p>
                  <w:pPr>
                    <w:autoSpaceDN w:val="0"/>
                    <w:spacing w:line="400" w:lineRule="exact"/>
                    <w:jc w:val="left"/>
                    <w:textAlignment w:val="center"/>
                    <w:rPr>
                      <w:rFonts w:ascii="宋体" w:cs="仿宋_GB2312"/>
                      <w:color w:val="000000"/>
                      <w:sz w:val="24"/>
                    </w:rPr>
                  </w:pPr>
                  <w:r>
                    <w:rPr>
                      <w:rFonts w:ascii="宋体" w:hAnsi="宋体" w:cs="仿宋_GB2312"/>
                      <w:color w:val="000000"/>
                      <w:sz w:val="24"/>
                    </w:rPr>
                    <w:t xml:space="preserve">                                                                     </w:t>
                  </w:r>
                  <w:r>
                    <w:rPr>
                      <w:rFonts w:hint="eastAsia" w:ascii="宋体" w:hAnsi="宋体" w:cs="仿宋_GB2312"/>
                      <w:color w:val="000000"/>
                      <w:sz w:val="24"/>
                    </w:rPr>
                    <w:t>年</w:t>
                  </w:r>
                  <w:r>
                    <w:rPr>
                      <w:rFonts w:ascii="宋体" w:hAnsi="宋体" w:cs="仿宋_GB2312"/>
                      <w:color w:val="000000"/>
                      <w:sz w:val="24"/>
                    </w:rPr>
                    <w:t xml:space="preserve">    </w:t>
                  </w:r>
                  <w:r>
                    <w:rPr>
                      <w:rFonts w:hint="eastAsia" w:ascii="宋体" w:hAnsi="宋体" w:cs="仿宋_GB2312"/>
                      <w:color w:val="000000"/>
                      <w:sz w:val="24"/>
                    </w:rPr>
                    <w:t>月</w:t>
                  </w:r>
                  <w:r>
                    <w:rPr>
                      <w:rFonts w:ascii="宋体" w:hAnsi="宋体" w:cs="仿宋_GB2312"/>
                      <w:color w:val="000000"/>
                      <w:sz w:val="24"/>
                    </w:rPr>
                    <w:t xml:space="preserve">    </w:t>
                  </w:r>
                  <w:r>
                    <w:rPr>
                      <w:rFonts w:hint="eastAsia" w:ascii="宋体" w:hAnsi="宋体" w:cs="仿宋_GB2312"/>
                      <w:color w:val="000000"/>
                      <w:sz w:val="24"/>
                    </w:rPr>
                    <w:t>日</w:t>
                  </w:r>
                </w:p>
                <w:p>
                  <w:pPr>
                    <w:autoSpaceDN w:val="0"/>
                    <w:spacing w:line="400" w:lineRule="exact"/>
                    <w:jc w:val="left"/>
                    <w:textAlignment w:val="center"/>
                    <w:rPr>
                      <w:rFonts w:ascii="宋体"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523" w:hRule="atLeast"/>
                <w:jc w:val="center"/>
              </w:trPr>
              <w:tc>
                <w:tcPr>
                  <w:tcW w:w="10335" w:type="dxa"/>
                  <w:gridSpan w:val="8"/>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宋体"/>
                      <w:sz w:val="24"/>
                    </w:rPr>
                  </w:pPr>
                  <w:r>
                    <w:rPr>
                      <w:rFonts w:hint="eastAsia" w:ascii="宋体" w:hAnsi="宋体"/>
                      <w:sz w:val="24"/>
                    </w:rPr>
                    <w:t>财政部门归口业务股室意见：</w:t>
                  </w:r>
                </w:p>
                <w:p>
                  <w:pPr>
                    <w:spacing w:line="320" w:lineRule="exact"/>
                    <w:rPr>
                      <w:rFonts w:ascii="宋体"/>
                      <w:sz w:val="24"/>
                    </w:rPr>
                  </w:pPr>
                </w:p>
                <w:p>
                  <w:pPr>
                    <w:spacing w:line="320" w:lineRule="exact"/>
                    <w:rPr>
                      <w:rFonts w:ascii="宋体"/>
                      <w:sz w:val="24"/>
                    </w:rPr>
                  </w:pPr>
                </w:p>
                <w:p>
                  <w:pPr>
                    <w:spacing w:line="320" w:lineRule="exact"/>
                    <w:rPr>
                      <w:rFonts w:ascii="宋体"/>
                      <w:sz w:val="24"/>
                    </w:rPr>
                  </w:pPr>
                </w:p>
                <w:p>
                  <w:pPr>
                    <w:spacing w:line="320" w:lineRule="exact"/>
                    <w:rPr>
                      <w:rFonts w:ascii="宋体"/>
                      <w:sz w:val="24"/>
                    </w:rPr>
                  </w:pPr>
                </w:p>
                <w:p>
                  <w:pPr>
                    <w:spacing w:line="320" w:lineRule="exact"/>
                    <w:rPr>
                      <w:rFonts w:ascii="宋体"/>
                      <w:sz w:val="24"/>
                    </w:rPr>
                  </w:pPr>
                  <w:r>
                    <w:rPr>
                      <w:rFonts w:ascii="宋体" w:hAnsi="宋体"/>
                      <w:sz w:val="24"/>
                    </w:rPr>
                    <w:t xml:space="preserve">                                  </w:t>
                  </w:r>
                  <w:r>
                    <w:rPr>
                      <w:rFonts w:hint="eastAsia" w:ascii="宋体" w:hAnsi="宋体"/>
                      <w:sz w:val="24"/>
                    </w:rPr>
                    <w:t>财政部门归口业务股室负责人（签章）：</w:t>
                  </w:r>
                </w:p>
                <w:p>
                  <w:pPr>
                    <w:autoSpaceDN w:val="0"/>
                    <w:spacing w:line="400" w:lineRule="exact"/>
                    <w:jc w:val="left"/>
                    <w:textAlignment w:val="center"/>
                    <w:rPr>
                      <w:rFonts w:ascii="宋体" w:cs="仿宋_GB2312"/>
                      <w:color w:val="000000"/>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bl>
          <w:p>
            <w:pPr>
              <w:rPr>
                <w:rFonts w:ascii="宋体" w:cs="仿宋_GB2312"/>
                <w:b/>
                <w:color w:val="000000"/>
                <w:sz w:val="24"/>
              </w:rPr>
            </w:pPr>
            <w:r>
              <w:rPr>
                <w:rFonts w:hint="eastAsia" w:ascii="宋体" w:hAnsi="宋体" w:cs="仿宋_GB2312"/>
                <w:bCs/>
                <w:sz w:val="28"/>
                <w:szCs w:val="28"/>
              </w:rPr>
              <w:t>填报人（签名）：</w:t>
            </w:r>
            <w:r>
              <w:rPr>
                <w:rFonts w:ascii="宋体" w:hAnsi="宋体" w:cs="仿宋_GB2312"/>
                <w:bCs/>
                <w:sz w:val="28"/>
                <w:szCs w:val="28"/>
              </w:rPr>
              <w:t xml:space="preserve"> </w:t>
            </w:r>
            <w:r>
              <w:rPr>
                <w:rFonts w:hint="eastAsia" w:ascii="宋体" w:hAnsi="宋体" w:cs="仿宋_GB2312"/>
                <w:bCs/>
                <w:sz w:val="28"/>
                <w:szCs w:val="28"/>
              </w:rPr>
              <w:t>陈</w:t>
            </w:r>
            <w:r>
              <w:rPr>
                <w:rFonts w:ascii="宋体" w:hAnsi="宋体" w:cs="仿宋_GB2312"/>
                <w:bCs/>
                <w:sz w:val="28"/>
                <w:szCs w:val="28"/>
              </w:rPr>
              <w:t xml:space="preserve">  </w:t>
            </w:r>
            <w:r>
              <w:rPr>
                <w:rFonts w:hint="eastAsia" w:ascii="宋体" w:hAnsi="宋体" w:cs="仿宋_GB2312"/>
                <w:bCs/>
                <w:sz w:val="28"/>
                <w:szCs w:val="28"/>
              </w:rPr>
              <w:t>芳</w:t>
            </w:r>
            <w:r>
              <w:rPr>
                <w:rFonts w:ascii="宋体" w:hAnsi="宋体" w:cs="仿宋_GB2312"/>
                <w:bCs/>
                <w:sz w:val="28"/>
                <w:szCs w:val="28"/>
              </w:rPr>
              <w:t xml:space="preserve">                         </w:t>
            </w:r>
            <w:r>
              <w:rPr>
                <w:rFonts w:hint="eastAsia" w:ascii="宋体" w:hAnsi="宋体" w:cs="仿宋_GB2312"/>
                <w:bCs/>
                <w:sz w:val="28"/>
                <w:szCs w:val="28"/>
              </w:rPr>
              <w:t>联系电话：</w:t>
            </w:r>
            <w:r>
              <w:rPr>
                <w:rFonts w:ascii="宋体" w:hAnsi="宋体" w:cs="仿宋_GB2312"/>
                <w:bCs/>
                <w:sz w:val="28"/>
                <w:szCs w:val="28"/>
              </w:rPr>
              <w:t>19873066669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0460" w:type="dxa"/>
            <w:gridSpan w:val="14"/>
            <w:tcBorders>
              <w:top w:val="single" w:color="000000" w:sz="4" w:space="0"/>
              <w:left w:val="nil"/>
              <w:bottom w:val="single" w:color="000000" w:sz="4" w:space="0"/>
              <w:right w:val="single" w:color="000000" w:sz="4" w:space="0"/>
            </w:tcBorders>
            <w:vAlign w:val="center"/>
          </w:tcPr>
          <w:p>
            <w:pPr>
              <w:jc w:val="center"/>
              <w:rPr>
                <w:rFonts w:ascii="宋体"/>
                <w:b/>
                <w:sz w:val="30"/>
                <w:szCs w:val="30"/>
                <w:shd w:val="clear" w:color="auto" w:fill="FFFFFF"/>
              </w:rPr>
            </w:pPr>
            <w:r>
              <w:rPr>
                <w:rFonts w:hint="eastAsia" w:ascii="宋体" w:hAnsi="宋体" w:cs="黑体"/>
                <w:b/>
                <w:bCs/>
                <w:sz w:val="30"/>
                <w:szCs w:val="30"/>
              </w:rPr>
              <w:t>评价报告综述（文字部分）</w:t>
            </w:r>
          </w:p>
          <w:p>
            <w:pPr>
              <w:rPr>
                <w:rFonts w:ascii="宋体"/>
                <w:b/>
                <w:sz w:val="30"/>
                <w:szCs w:val="30"/>
                <w:shd w:val="clear" w:color="auto" w:fill="FFFFFF"/>
              </w:rPr>
            </w:pPr>
            <w:r>
              <w:rPr>
                <w:rFonts w:hint="eastAsia" w:ascii="宋体" w:hAnsi="宋体"/>
                <w:b/>
                <w:sz w:val="30"/>
                <w:szCs w:val="30"/>
                <w:shd w:val="clear" w:color="auto" w:fill="FFFFFF"/>
              </w:rPr>
              <w:t>一、单位概述</w:t>
            </w:r>
          </w:p>
          <w:p>
            <w:pPr>
              <w:spacing w:beforeLines="50" w:line="520" w:lineRule="exact"/>
              <w:ind w:left="481" w:leftChars="229" w:firstLine="148" w:firstLineChars="49"/>
              <w:rPr>
                <w:rFonts w:ascii="宋体"/>
                <w:b/>
                <w:sz w:val="30"/>
                <w:szCs w:val="30"/>
                <w:shd w:val="clear" w:color="auto" w:fill="FFFFFF"/>
              </w:rPr>
            </w:pPr>
            <w:r>
              <w:rPr>
                <w:rFonts w:hint="eastAsia" w:ascii="宋体" w:hAnsi="宋体"/>
                <w:b/>
                <w:sz w:val="30"/>
                <w:szCs w:val="30"/>
                <w:shd w:val="clear" w:color="auto" w:fill="FFFFFF"/>
              </w:rPr>
              <w:t>（一）基本情况</w:t>
            </w:r>
          </w:p>
          <w:p>
            <w:pPr>
              <w:spacing w:beforeLines="50" w:line="520" w:lineRule="exact"/>
              <w:ind w:firstLine="600" w:firstLineChars="200"/>
              <w:rPr>
                <w:rFonts w:ascii="宋体"/>
                <w:sz w:val="30"/>
                <w:szCs w:val="30"/>
                <w:shd w:val="clear" w:color="auto" w:fill="FFFFFF"/>
              </w:rPr>
            </w:pPr>
            <w:r>
              <w:rPr>
                <w:rFonts w:hint="eastAsia" w:ascii="宋体" w:hAnsi="宋体"/>
                <w:sz w:val="30"/>
                <w:szCs w:val="30"/>
                <w:shd w:val="clear" w:color="auto" w:fill="FFFFFF"/>
              </w:rPr>
              <w:t>岳阳县交通运输局是岳阳县人民政府组成工作部门，为全额财政拨款行政单位。</w:t>
            </w:r>
          </w:p>
          <w:p>
            <w:pPr>
              <w:spacing w:beforeLines="50" w:line="520" w:lineRule="exact"/>
              <w:ind w:firstLine="602" w:firstLineChars="200"/>
              <w:rPr>
                <w:rFonts w:ascii="宋体"/>
                <w:b/>
                <w:sz w:val="30"/>
                <w:szCs w:val="30"/>
                <w:shd w:val="clear" w:color="auto" w:fill="FFFFFF"/>
              </w:rPr>
            </w:pPr>
            <w:r>
              <w:rPr>
                <w:rFonts w:hint="eastAsia" w:ascii="宋体" w:hAnsi="宋体"/>
                <w:b/>
                <w:sz w:val="30"/>
                <w:szCs w:val="30"/>
                <w:shd w:val="clear" w:color="auto" w:fill="FFFFFF"/>
              </w:rPr>
              <w:t>（二）主要工作职能：</w:t>
            </w:r>
          </w:p>
          <w:p>
            <w:pPr>
              <w:pStyle w:val="4"/>
              <w:shd w:val="clear" w:color="auto" w:fill="FFFFFF"/>
              <w:spacing w:before="0" w:beforeAutospacing="0" w:after="0" w:afterAutospacing="0" w:line="572" w:lineRule="exact"/>
              <w:ind w:firstLine="726" w:firstLineChars="242"/>
              <w:rPr>
                <w:rFonts w:cs="仿宋_GB2312"/>
                <w:color w:val="333333"/>
                <w:kern w:val="2"/>
                <w:sz w:val="30"/>
                <w:szCs w:val="30"/>
              </w:rPr>
            </w:pPr>
            <w:r>
              <w:rPr>
                <w:rFonts w:hint="eastAsia" w:cs="仿宋_GB2312"/>
                <w:color w:val="333333"/>
                <w:kern w:val="2"/>
                <w:sz w:val="30"/>
                <w:szCs w:val="30"/>
                <w:shd w:val="clear" w:color="auto" w:fill="FFFFFF"/>
              </w:rPr>
              <w:t>1.承担涉及综合运输体系的规划协调工作，会同有关部门组织编制全县综合运输体系规划，指导交通运输枢纽规划和管理。</w:t>
            </w:r>
          </w:p>
          <w:p>
            <w:pPr>
              <w:pStyle w:val="4"/>
              <w:shd w:val="clear" w:color="auto" w:fill="FFFFFF"/>
              <w:spacing w:before="0" w:beforeAutospacing="0" w:after="0" w:afterAutospacing="0" w:line="572" w:lineRule="exact"/>
              <w:ind w:firstLine="726" w:firstLineChars="242"/>
              <w:rPr>
                <w:rFonts w:cs="仿宋_GB2312"/>
                <w:color w:val="333333"/>
                <w:kern w:val="2"/>
                <w:sz w:val="30"/>
                <w:szCs w:val="30"/>
              </w:rPr>
            </w:pPr>
            <w:r>
              <w:rPr>
                <w:rFonts w:hint="eastAsia" w:cs="仿宋_GB2312"/>
                <w:color w:val="333333"/>
                <w:kern w:val="2"/>
                <w:sz w:val="30"/>
                <w:szCs w:val="30"/>
                <w:shd w:val="clear" w:color="auto" w:fill="FFFFFF"/>
              </w:rPr>
              <w:t>2.组织拟订并监督实施全县公路、水路等行业规划、政策和标准。负责交通运输执法检查和监督。参与拟订物流业发展战略和规划，拟订有关政策并监督实施。负责全县公路、水路行业有关体制改革工作。</w:t>
            </w:r>
          </w:p>
          <w:p>
            <w:pPr>
              <w:pStyle w:val="4"/>
              <w:shd w:val="clear" w:color="auto" w:fill="FFFFFF"/>
              <w:spacing w:before="0" w:beforeAutospacing="0" w:after="0" w:afterAutospacing="0" w:line="572" w:lineRule="exact"/>
              <w:ind w:firstLine="726" w:firstLineChars="242"/>
              <w:rPr>
                <w:rFonts w:cs="仿宋_GB2312"/>
                <w:color w:val="333333"/>
                <w:kern w:val="2"/>
                <w:sz w:val="30"/>
                <w:szCs w:val="30"/>
              </w:rPr>
            </w:pPr>
            <w:r>
              <w:rPr>
                <w:rFonts w:hint="eastAsia" w:cs="仿宋_GB2312"/>
                <w:color w:val="333333"/>
                <w:kern w:val="2"/>
                <w:sz w:val="30"/>
                <w:szCs w:val="30"/>
                <w:shd w:val="clear" w:color="auto" w:fill="FFFFFF"/>
              </w:rPr>
              <w:t>3.承担道路、水路运输市场监管责任。组织制定全县道路、水路运输有关政策和运营规范并监督实施。负责全县城乡客运及有关设施规划和管理工作，负责城市公共客运交通管理工作。</w:t>
            </w:r>
          </w:p>
          <w:p>
            <w:pPr>
              <w:pStyle w:val="4"/>
              <w:shd w:val="clear" w:color="auto" w:fill="FFFFFF"/>
              <w:spacing w:before="0" w:beforeAutospacing="0" w:after="0" w:afterAutospacing="0" w:line="572" w:lineRule="exact"/>
              <w:ind w:firstLine="726" w:firstLineChars="242"/>
              <w:rPr>
                <w:rFonts w:cs="仿宋_GB2312"/>
                <w:color w:val="333333"/>
                <w:kern w:val="2"/>
                <w:sz w:val="30"/>
                <w:szCs w:val="30"/>
              </w:rPr>
            </w:pPr>
            <w:r>
              <w:rPr>
                <w:rFonts w:hint="eastAsia" w:cs="仿宋_GB2312"/>
                <w:color w:val="333333"/>
                <w:kern w:val="2"/>
                <w:sz w:val="30"/>
                <w:szCs w:val="30"/>
                <w:shd w:val="clear" w:color="auto" w:fill="FFFFFF"/>
              </w:rPr>
              <w:t>4.承担水上交通安全监管责任。负责全县港口、航道及航道设施的建设、维护、管理，负责水上交通管制、港航监督、船舶检验(不含渔船)、水上安全管理(包括民桥民渡及铁山库区安全监督)，负责船员管理有关工作，实施港航设施建设使用岸线和通航水域内各种建筑设施建设的行业管理。</w:t>
            </w:r>
          </w:p>
          <w:p>
            <w:pPr>
              <w:pStyle w:val="4"/>
              <w:shd w:val="clear" w:color="auto" w:fill="FFFFFF"/>
              <w:spacing w:before="0" w:beforeAutospacing="0" w:after="0" w:afterAutospacing="0" w:line="572" w:lineRule="exact"/>
              <w:ind w:firstLine="726" w:firstLineChars="242"/>
              <w:rPr>
                <w:rFonts w:cs="仿宋_GB2312"/>
                <w:color w:val="333333"/>
                <w:kern w:val="2"/>
                <w:sz w:val="30"/>
                <w:szCs w:val="30"/>
              </w:rPr>
            </w:pPr>
            <w:r>
              <w:rPr>
                <w:rFonts w:hint="eastAsia" w:cs="仿宋_GB2312"/>
                <w:color w:val="333333"/>
                <w:kern w:val="2"/>
                <w:sz w:val="30"/>
                <w:szCs w:val="30"/>
                <w:shd w:val="clear" w:color="auto" w:fill="FFFFFF"/>
              </w:rPr>
              <w:t>5.负责提出全县公路、水路固定资产投资规模和方向、县级财政性资金安排建议，按县政府规定权限审批、核准全县规划内和-度计划规模内固定资产投资项目。负责公路、桥梁、渡口、隧道的行业管理。提出有关财政、土地、价格等政策建议。</w:t>
            </w:r>
          </w:p>
          <w:p>
            <w:pPr>
              <w:pStyle w:val="4"/>
              <w:shd w:val="clear" w:color="auto" w:fill="FFFFFF"/>
              <w:spacing w:before="0" w:beforeAutospacing="0" w:after="0" w:afterAutospacing="0" w:line="572" w:lineRule="exact"/>
              <w:ind w:firstLine="726" w:firstLineChars="242"/>
              <w:rPr>
                <w:rFonts w:cs="仿宋_GB2312"/>
                <w:color w:val="333333"/>
                <w:kern w:val="2"/>
                <w:sz w:val="30"/>
                <w:szCs w:val="30"/>
              </w:rPr>
            </w:pPr>
            <w:r>
              <w:rPr>
                <w:rFonts w:hint="eastAsia" w:cs="仿宋_GB2312"/>
                <w:color w:val="333333"/>
                <w:kern w:val="2"/>
                <w:sz w:val="30"/>
                <w:szCs w:val="30"/>
                <w:shd w:val="clear" w:color="auto" w:fill="FFFFFF"/>
              </w:rPr>
              <w:t>6.实施公路路政管理，保护公路产权，协同有关部门规划公路沿线开发和各种建筑设施。</w:t>
            </w:r>
          </w:p>
          <w:p>
            <w:pPr>
              <w:pStyle w:val="4"/>
              <w:shd w:val="clear" w:color="auto" w:fill="FFFFFF"/>
              <w:spacing w:before="0" w:beforeAutospacing="0" w:after="0" w:afterAutospacing="0" w:line="572" w:lineRule="exact"/>
              <w:ind w:firstLine="726" w:firstLineChars="242"/>
              <w:rPr>
                <w:rFonts w:cs="仿宋_GB2312"/>
                <w:color w:val="333333"/>
                <w:kern w:val="2"/>
                <w:sz w:val="30"/>
                <w:szCs w:val="30"/>
              </w:rPr>
            </w:pPr>
            <w:r>
              <w:rPr>
                <w:rFonts w:hint="eastAsia" w:cs="仿宋_GB2312"/>
                <w:color w:val="333333"/>
                <w:kern w:val="2"/>
                <w:sz w:val="30"/>
                <w:szCs w:val="30"/>
                <w:shd w:val="clear" w:color="auto" w:fill="FFFFFF"/>
              </w:rPr>
              <w:t>7.承担公路、水路建设市场监管责任。拟订全县公路、水路工程建设相关政策、制度和技术标准并监督实施。组织实施国家、省、市、县重点和大中型公路、水路交通工程建设，负责公路、水路交通建设工程造价控制和工程质量、安全生产的监督管理。指导交通运输基础设施 管理和维护，承担有关重要设施的管理和维护。</w:t>
            </w:r>
          </w:p>
          <w:p>
            <w:pPr>
              <w:pStyle w:val="4"/>
              <w:shd w:val="clear" w:color="auto" w:fill="FFFFFF"/>
              <w:spacing w:before="0" w:beforeAutospacing="0" w:after="0" w:afterAutospacing="0" w:line="572" w:lineRule="exact"/>
              <w:ind w:firstLine="726" w:firstLineChars="242"/>
              <w:rPr>
                <w:rFonts w:cs="仿宋_GB2312"/>
                <w:color w:val="333333"/>
                <w:kern w:val="2"/>
                <w:sz w:val="30"/>
                <w:szCs w:val="30"/>
              </w:rPr>
            </w:pPr>
            <w:r>
              <w:rPr>
                <w:rFonts w:hint="eastAsia" w:cs="仿宋_GB2312"/>
                <w:color w:val="333333"/>
                <w:kern w:val="2"/>
                <w:sz w:val="30"/>
                <w:szCs w:val="30"/>
                <w:shd w:val="clear" w:color="auto" w:fill="FFFFFF"/>
              </w:rPr>
              <w:t>8.指导全县公路、水路行业安全生产和应急管理工作。按规定组织协调全县重点物资和紧急客货运输，负责全县干线路网运行监测和协调，负责全县国防交通战备工作。</w:t>
            </w:r>
          </w:p>
          <w:p>
            <w:pPr>
              <w:pStyle w:val="4"/>
              <w:shd w:val="clear" w:color="auto" w:fill="FFFFFF"/>
              <w:spacing w:before="0" w:beforeAutospacing="0" w:after="0" w:afterAutospacing="0" w:line="572" w:lineRule="exact"/>
              <w:ind w:firstLine="726" w:firstLineChars="242"/>
              <w:rPr>
                <w:rFonts w:cs="仿宋_GB2312"/>
                <w:color w:val="333333"/>
                <w:kern w:val="2"/>
                <w:sz w:val="30"/>
                <w:szCs w:val="30"/>
              </w:rPr>
            </w:pPr>
            <w:r>
              <w:rPr>
                <w:rFonts w:hint="eastAsia" w:cs="仿宋_GB2312"/>
                <w:color w:val="333333"/>
                <w:kern w:val="2"/>
                <w:sz w:val="30"/>
                <w:szCs w:val="30"/>
                <w:shd w:val="clear" w:color="auto" w:fill="FFFFFF"/>
              </w:rPr>
              <w:t>9.负责全县交通运输行业科技工作。指导全县交通运输信息化建设，监测分析运行情况，开展相关统计工作，发布有关信息。指导公路、水路行业环境保护和节能减排工作。</w:t>
            </w:r>
          </w:p>
          <w:p>
            <w:pPr>
              <w:pStyle w:val="4"/>
              <w:shd w:val="clear" w:color="auto" w:fill="FFFFFF"/>
              <w:spacing w:before="0" w:beforeAutospacing="0" w:after="0" w:afterAutospacing="0" w:line="572" w:lineRule="exact"/>
              <w:ind w:firstLine="726" w:firstLineChars="242"/>
              <w:rPr>
                <w:rFonts w:cs="仿宋_GB2312"/>
                <w:color w:val="333333"/>
                <w:kern w:val="2"/>
                <w:sz w:val="30"/>
                <w:szCs w:val="30"/>
              </w:rPr>
            </w:pPr>
            <w:r>
              <w:rPr>
                <w:rFonts w:hint="eastAsia" w:cs="仿宋_GB2312"/>
                <w:color w:val="333333"/>
                <w:kern w:val="2"/>
                <w:sz w:val="30"/>
                <w:szCs w:val="30"/>
                <w:shd w:val="clear" w:color="auto" w:fill="FFFFFF"/>
              </w:rPr>
              <w:t>10.负责局属单位国有资产、集体资产的监督管理，指导交通企业体制改革。</w:t>
            </w:r>
          </w:p>
          <w:p>
            <w:pPr>
              <w:pStyle w:val="4"/>
              <w:shd w:val="clear" w:color="auto" w:fill="FFFFFF"/>
              <w:spacing w:before="0" w:beforeAutospacing="0" w:after="0" w:afterAutospacing="0" w:line="572" w:lineRule="exact"/>
              <w:ind w:firstLine="726" w:firstLineChars="242"/>
              <w:rPr>
                <w:rFonts w:cs="仿宋_GB2312"/>
                <w:color w:val="333333"/>
                <w:kern w:val="2"/>
                <w:sz w:val="30"/>
                <w:szCs w:val="30"/>
              </w:rPr>
            </w:pPr>
            <w:r>
              <w:rPr>
                <w:rFonts w:hint="eastAsia" w:cs="仿宋_GB2312"/>
                <w:color w:val="333333"/>
                <w:kern w:val="2"/>
                <w:sz w:val="30"/>
                <w:szCs w:val="30"/>
                <w:shd w:val="clear" w:color="auto" w:fill="FFFFFF"/>
              </w:rPr>
              <w:t>11．指导交通运输行业开展对外交流合作和交通 外经外贸工作。</w:t>
            </w:r>
          </w:p>
          <w:p>
            <w:pPr>
              <w:pStyle w:val="4"/>
              <w:shd w:val="clear" w:color="auto" w:fill="FFFFFF"/>
              <w:spacing w:before="0" w:beforeAutospacing="0" w:after="0" w:afterAutospacing="0" w:line="572" w:lineRule="exact"/>
              <w:ind w:firstLine="726" w:firstLineChars="242"/>
              <w:rPr>
                <w:rFonts w:cs="仿宋_GB2312"/>
                <w:color w:val="333333"/>
                <w:kern w:val="2"/>
                <w:sz w:val="30"/>
                <w:szCs w:val="30"/>
              </w:rPr>
            </w:pPr>
            <w:r>
              <w:rPr>
                <w:rFonts w:hint="eastAsia"/>
                <w:kern w:val="2"/>
                <w:sz w:val="30"/>
                <w:szCs w:val="30"/>
                <w:shd w:val="clear" w:color="auto" w:fill="FFFFFF"/>
              </w:rPr>
              <w:t>12.承办县委、县人民政府交办的其他事项。</w:t>
            </w:r>
          </w:p>
          <w:p>
            <w:pPr>
              <w:spacing w:beforeLines="50" w:line="520" w:lineRule="exact"/>
              <w:ind w:firstLine="602" w:firstLineChars="200"/>
              <w:rPr>
                <w:rFonts w:ascii="宋体"/>
                <w:b/>
                <w:sz w:val="30"/>
                <w:szCs w:val="30"/>
                <w:shd w:val="clear" w:color="auto" w:fill="FFFFFF"/>
              </w:rPr>
            </w:pPr>
            <w:r>
              <w:rPr>
                <w:rFonts w:hint="eastAsia" w:ascii="宋体" w:hAnsi="宋体"/>
                <w:b/>
                <w:sz w:val="30"/>
                <w:szCs w:val="30"/>
                <w:shd w:val="clear" w:color="auto" w:fill="FFFFFF"/>
              </w:rPr>
              <w:t>（三）机构设置和人员情况：</w:t>
            </w:r>
          </w:p>
          <w:p>
            <w:pPr>
              <w:pStyle w:val="4"/>
              <w:shd w:val="clear" w:color="auto" w:fill="FFFFFF"/>
              <w:spacing w:before="0" w:beforeAutospacing="0" w:after="0" w:afterAutospacing="0" w:line="572" w:lineRule="exact"/>
              <w:ind w:firstLine="726" w:firstLineChars="242"/>
              <w:rPr>
                <w:rFonts w:cs="仿宋_GB2312"/>
                <w:color w:val="333333"/>
                <w:kern w:val="2"/>
                <w:sz w:val="30"/>
                <w:szCs w:val="30"/>
                <w:shd w:val="clear" w:color="auto" w:fill="FFFFFF"/>
              </w:rPr>
            </w:pPr>
            <w:r>
              <w:rPr>
                <w:rFonts w:hint="eastAsia" w:cs="仿宋_GB2312"/>
                <w:color w:val="333333"/>
                <w:kern w:val="2"/>
                <w:sz w:val="30"/>
                <w:szCs w:val="30"/>
                <w:shd w:val="clear" w:color="auto" w:fill="FFFFFF"/>
              </w:rPr>
              <w:t>1.根据上述职责，县交通运输局设13个内设机构：办公室、人事股、财务审计股(财务核算中心)、计划股、基建股、运输管理股（战备股）、安全监督股、政策法规股、行政审批办公室、前期办、企管股、纪检(监察)、工、青、妇机构按有关规定设置，人员编制在机关总编制内解决。</w:t>
            </w:r>
          </w:p>
          <w:p>
            <w:pPr>
              <w:pStyle w:val="4"/>
              <w:shd w:val="clear" w:color="auto" w:fill="FFFFFF"/>
              <w:spacing w:before="0" w:beforeAutospacing="0" w:after="0" w:afterAutospacing="0" w:line="572" w:lineRule="exact"/>
              <w:ind w:firstLine="726" w:firstLineChars="242"/>
              <w:rPr>
                <w:rFonts w:cs="仿宋_GB2312"/>
                <w:color w:val="333333"/>
                <w:kern w:val="2"/>
                <w:sz w:val="30"/>
                <w:szCs w:val="30"/>
                <w:shd w:val="clear" w:color="auto" w:fill="FFFFFF"/>
              </w:rPr>
            </w:pPr>
            <w:r>
              <w:rPr>
                <w:rFonts w:hint="eastAsia" w:cs="仿宋_GB2312"/>
                <w:color w:val="333333"/>
                <w:kern w:val="2"/>
                <w:sz w:val="30"/>
                <w:szCs w:val="30"/>
                <w:shd w:val="clear" w:color="auto" w:fill="FFFFFF"/>
              </w:rPr>
              <w:t>2. 二级机构：①岳阳县道路运输管理所：为副科级行政支持类事业单位，核定自收自支事业编制74名，其中所长1名，副所长3名。</w:t>
            </w:r>
          </w:p>
          <w:p>
            <w:pPr>
              <w:pStyle w:val="4"/>
              <w:shd w:val="clear" w:color="auto" w:fill="FFFFFF"/>
              <w:spacing w:before="0" w:beforeAutospacing="0" w:after="0" w:afterAutospacing="0" w:line="572" w:lineRule="exact"/>
              <w:ind w:firstLine="420"/>
              <w:rPr>
                <w:rFonts w:cs="仿宋_GB2312"/>
                <w:color w:val="333333"/>
                <w:kern w:val="2"/>
                <w:sz w:val="30"/>
                <w:szCs w:val="30"/>
                <w:shd w:val="clear" w:color="auto" w:fill="FFFFFF"/>
              </w:rPr>
            </w:pPr>
            <w:r>
              <w:rPr>
                <w:rFonts w:hint="eastAsia" w:cs="仿宋_GB2312"/>
                <w:color w:val="333333"/>
                <w:kern w:val="2"/>
                <w:sz w:val="30"/>
                <w:szCs w:val="30"/>
                <w:shd w:val="clear" w:color="auto" w:fill="FFFFFF"/>
              </w:rPr>
              <w:t>②岳阳县港口航务管理所：为副科级纯公益类事业单位，核定自收自支事业编制43名，其中所长1名，副所长2名。</w:t>
            </w:r>
          </w:p>
          <w:p>
            <w:pPr>
              <w:pStyle w:val="4"/>
              <w:shd w:val="clear" w:color="auto" w:fill="FFFFFF"/>
              <w:spacing w:before="0" w:beforeAutospacing="0" w:after="0" w:afterAutospacing="0" w:line="572" w:lineRule="exact"/>
              <w:ind w:firstLine="420"/>
              <w:rPr>
                <w:rFonts w:cs="仿宋_GB2312"/>
                <w:color w:val="333333"/>
                <w:kern w:val="2"/>
                <w:sz w:val="30"/>
                <w:szCs w:val="30"/>
                <w:shd w:val="clear" w:color="auto" w:fill="FFFFFF"/>
              </w:rPr>
            </w:pPr>
            <w:r>
              <w:rPr>
                <w:rFonts w:hint="eastAsia" w:cs="仿宋_GB2312"/>
                <w:color w:val="333333"/>
                <w:kern w:val="2"/>
                <w:sz w:val="30"/>
                <w:szCs w:val="30"/>
                <w:shd w:val="clear" w:color="auto" w:fill="FFFFFF"/>
              </w:rPr>
              <w:t>③岳阳县农村公路管理所：为副科级行政支持类 事业单位，核定全额拨款事业编制30名，其中所长1名，副所长2名。</w:t>
            </w:r>
          </w:p>
          <w:p>
            <w:pPr>
              <w:pStyle w:val="4"/>
              <w:shd w:val="clear" w:color="auto" w:fill="FFFFFF"/>
              <w:spacing w:before="0" w:beforeAutospacing="0" w:after="0" w:afterAutospacing="0" w:line="572" w:lineRule="exact"/>
              <w:ind w:firstLine="420"/>
              <w:rPr>
                <w:rFonts w:cs="仿宋_GB2312"/>
                <w:color w:val="333333"/>
                <w:kern w:val="2"/>
                <w:sz w:val="30"/>
                <w:szCs w:val="30"/>
                <w:shd w:val="clear" w:color="auto" w:fill="FFFFFF"/>
              </w:rPr>
            </w:pPr>
            <w:r>
              <w:rPr>
                <w:rFonts w:hint="eastAsia" w:cs="仿宋_GB2312"/>
                <w:color w:val="333333"/>
                <w:kern w:val="2"/>
                <w:sz w:val="30"/>
                <w:szCs w:val="30"/>
                <w:shd w:val="clear" w:color="auto" w:fill="FFFFFF"/>
              </w:rPr>
              <w:t>④岳阳县农村公路路政执法大队：为副科级行政支持类事业单位，核定全额拨款事业编制12名，其中所长1名，副所长2名。</w:t>
            </w:r>
          </w:p>
          <w:p>
            <w:pPr>
              <w:pStyle w:val="4"/>
              <w:shd w:val="clear" w:color="auto" w:fill="FFFFFF"/>
              <w:spacing w:before="0" w:beforeAutospacing="0" w:after="0" w:afterAutospacing="0" w:line="572" w:lineRule="exact"/>
              <w:ind w:firstLine="420"/>
              <w:rPr>
                <w:rFonts w:cs="仿宋_GB2312"/>
                <w:color w:val="333333"/>
                <w:kern w:val="2"/>
                <w:sz w:val="30"/>
                <w:szCs w:val="30"/>
                <w:shd w:val="clear" w:color="auto" w:fill="FFFFFF"/>
              </w:rPr>
            </w:pPr>
            <w:r>
              <w:rPr>
                <w:rFonts w:hint="eastAsia" w:cs="仿宋_GB2312"/>
                <w:color w:val="333333"/>
                <w:kern w:val="2"/>
                <w:sz w:val="30"/>
                <w:szCs w:val="30"/>
                <w:shd w:val="clear" w:color="auto" w:fill="FFFFFF"/>
              </w:rPr>
              <w:t>⑤岳阳县交通工程质量和安全监督管理站：为正股级行政支持类事业单位，核定自收自支事业编制6名，其中站长1名，副站长1名。</w:t>
            </w:r>
          </w:p>
          <w:p>
            <w:pPr>
              <w:pStyle w:val="4"/>
              <w:shd w:val="clear" w:color="auto" w:fill="FFFFFF"/>
              <w:spacing w:before="0" w:beforeAutospacing="0" w:after="0" w:afterAutospacing="0" w:line="572" w:lineRule="exact"/>
              <w:ind w:firstLine="420"/>
              <w:rPr>
                <w:rFonts w:cs="仿宋_GB2312"/>
                <w:color w:val="333333"/>
                <w:kern w:val="2"/>
                <w:sz w:val="30"/>
                <w:szCs w:val="30"/>
                <w:shd w:val="clear" w:color="auto" w:fill="FFFFFF"/>
              </w:rPr>
            </w:pPr>
            <w:r>
              <w:rPr>
                <w:rFonts w:hint="eastAsia" w:cs="仿宋_GB2312"/>
                <w:color w:val="333333"/>
                <w:kern w:val="2"/>
                <w:sz w:val="30"/>
                <w:szCs w:val="30"/>
                <w:shd w:val="clear" w:color="auto" w:fill="FFFFFF"/>
              </w:rPr>
              <w:t>⑥岳阳县城市公共交通管理所(县城市公交执法大队)：为正股级行政支持类事业单位，核定差额拨款事业编制20名，其中所长1名，副所长2名。</w:t>
            </w:r>
          </w:p>
          <w:p>
            <w:pPr>
              <w:spacing w:line="520" w:lineRule="exact"/>
              <w:ind w:firstLine="635"/>
              <w:rPr>
                <w:rFonts w:ascii="宋体"/>
                <w:b/>
                <w:sz w:val="30"/>
                <w:szCs w:val="30"/>
              </w:rPr>
            </w:pPr>
            <w:r>
              <w:rPr>
                <w:rFonts w:hint="eastAsia" w:ascii="宋体" w:hAnsi="宋体"/>
                <w:b/>
                <w:sz w:val="30"/>
                <w:szCs w:val="30"/>
              </w:rPr>
              <w:t>二、单位整体支出管理及使用情况</w:t>
            </w:r>
          </w:p>
          <w:p>
            <w:pPr>
              <w:pStyle w:val="4"/>
              <w:spacing w:line="520" w:lineRule="exact"/>
              <w:ind w:firstLine="629"/>
              <w:jc w:val="both"/>
              <w:rPr>
                <w:rFonts w:cs="仿宋_GB2312"/>
                <w:kern w:val="2"/>
                <w:sz w:val="30"/>
                <w:szCs w:val="30"/>
              </w:rPr>
            </w:pPr>
            <w:r>
              <w:rPr>
                <w:rFonts w:hint="eastAsia"/>
                <w:kern w:val="2"/>
                <w:sz w:val="30"/>
                <w:szCs w:val="30"/>
              </w:rPr>
              <w:t>2021年岳阳县交通运输局严格按照中央“八项规定”和省、市、县有关文件精神，坚持“依章办事、服务大局、围绕中心、突出重点、求真务实”的工作方针，压缩非生产开支，进一步规范会计核算行为，成立了财务管理工作领导小组，制定了一系列财务管理制度，实行会计出纳分工管理。在资金使用上，我们一直按照国家财经法规和机关财务管理制度规定，以及有关专项资金管理办法的规定开支。资金结付有完整的审批程序和手续，按照财经制度的有关要求，做到专款专用，专人保管，单位分管领导对资金的使用进行全程监督，保证资金使用的合规性。资金使用无截留、挤占、挪用、虚列支出等情况。相关发票由财务室审核后，再由分管局领导审批、主要负责人签字同意报账后方可结算。加强预算管理和执行力度，确保资金安全，有效运行，积极服务本单位发展，实现了年度收支平衡。</w:t>
            </w:r>
          </w:p>
          <w:p>
            <w:pPr>
              <w:pStyle w:val="4"/>
              <w:numPr>
                <w:ilvl w:val="0"/>
                <w:numId w:val="1"/>
              </w:numPr>
              <w:spacing w:line="520" w:lineRule="exact"/>
              <w:ind w:firstLine="629"/>
              <w:jc w:val="both"/>
              <w:rPr>
                <w:rFonts w:cs="仿宋_GB2312"/>
                <w:bCs/>
                <w:kern w:val="2"/>
                <w:sz w:val="30"/>
                <w:szCs w:val="30"/>
              </w:rPr>
            </w:pPr>
            <w:r>
              <w:rPr>
                <w:rFonts w:hint="eastAsia" w:cs="仿宋_GB2312"/>
                <w:bCs/>
                <w:kern w:val="2"/>
                <w:sz w:val="30"/>
                <w:szCs w:val="30"/>
              </w:rPr>
              <w:t>基本支出</w:t>
            </w:r>
          </w:p>
          <w:p>
            <w:pPr>
              <w:pStyle w:val="4"/>
              <w:spacing w:line="520" w:lineRule="exact"/>
              <w:jc w:val="both"/>
              <w:rPr>
                <w:rFonts w:cs="仿宋_GB2312"/>
                <w:kern w:val="2"/>
                <w:sz w:val="30"/>
                <w:szCs w:val="30"/>
              </w:rPr>
            </w:pPr>
            <w:r>
              <w:rPr>
                <w:rFonts w:hint="eastAsia" w:cs="仿宋_GB2312"/>
                <w:bCs/>
                <w:kern w:val="2"/>
                <w:sz w:val="30"/>
                <w:szCs w:val="30"/>
              </w:rPr>
              <w:t xml:space="preserve">      2021年岳阳县交通运输局支出</w:t>
            </w:r>
            <w:r>
              <w:rPr>
                <w:rFonts w:hint="eastAsia" w:cs="仿宋_GB2312"/>
                <w:kern w:val="2"/>
              </w:rPr>
              <w:t>9685.85</w:t>
            </w:r>
            <w:r>
              <w:rPr>
                <w:rFonts w:hint="eastAsia" w:cs="仿宋_GB2312"/>
                <w:kern w:val="2"/>
                <w:sz w:val="30"/>
                <w:szCs w:val="30"/>
              </w:rPr>
              <w:t>万元，系保障我局行政运行各项支出。包括用于工资福利支出、一般商品和服务支出、对个人和家庭的补助等人员经费和日常公用经费以及公路养护专项经费与其他上级专项经费。总支出9685.85万元，基本支出1021.47万元。工资福利支出635.35万元，对个人和家庭补助支出52.05万元,对企业补助32.44万元，一般商品服务支出300.92万元。上级专项项目经费8664.38万元“三公”经费支出年初预算2.</w:t>
            </w:r>
            <w:r>
              <w:rPr>
                <w:rFonts w:hint="eastAsia" w:cs="仿宋_GB2312"/>
                <w:kern w:val="2"/>
                <w:sz w:val="30"/>
                <w:szCs w:val="30"/>
                <w:lang w:val="en-US" w:eastAsia="zh-CN"/>
              </w:rPr>
              <w:t>25</w:t>
            </w:r>
            <w:r>
              <w:rPr>
                <w:rFonts w:hint="eastAsia" w:cs="仿宋_GB2312"/>
                <w:kern w:val="2"/>
                <w:sz w:val="30"/>
                <w:szCs w:val="30"/>
              </w:rPr>
              <w:t>万元，本年度“三公”经费实际支出0.89</w:t>
            </w:r>
            <w:r>
              <w:rPr>
                <w:rFonts w:hint="eastAsia" w:cs="仿宋_GB2312"/>
                <w:kern w:val="2"/>
                <w:sz w:val="30"/>
                <w:szCs w:val="30"/>
              </w:rPr>
              <w:t>万元。</w:t>
            </w:r>
          </w:p>
          <w:p>
            <w:pPr>
              <w:pStyle w:val="4"/>
              <w:numPr>
                <w:ilvl w:val="0"/>
                <w:numId w:val="1"/>
              </w:numPr>
              <w:spacing w:line="520" w:lineRule="exact"/>
              <w:ind w:firstLine="629"/>
              <w:jc w:val="both"/>
              <w:rPr>
                <w:rFonts w:cs="仿宋_GB2312"/>
                <w:kern w:val="2"/>
                <w:sz w:val="30"/>
                <w:szCs w:val="30"/>
              </w:rPr>
            </w:pPr>
            <w:r>
              <w:rPr>
                <w:rFonts w:hint="eastAsia" w:cs="仿宋_GB2312"/>
                <w:kern w:val="2"/>
                <w:sz w:val="30"/>
                <w:szCs w:val="30"/>
              </w:rPr>
              <w:t>项目支出</w:t>
            </w:r>
          </w:p>
          <w:p>
            <w:pPr>
              <w:spacing w:line="560" w:lineRule="exact"/>
              <w:ind w:firstLine="600" w:firstLineChars="200"/>
              <w:rPr>
                <w:rFonts w:ascii="宋体" w:cs="仿宋_GB2312"/>
                <w:bCs/>
                <w:sz w:val="30"/>
                <w:szCs w:val="30"/>
              </w:rPr>
            </w:pPr>
            <w:r>
              <w:rPr>
                <w:rFonts w:hint="eastAsia" w:ascii="宋体" w:hAnsi="宋体" w:cs="仿宋_GB2312"/>
                <w:bCs/>
                <w:sz w:val="30"/>
                <w:szCs w:val="30"/>
              </w:rPr>
              <w:t>1、专项资金安排落实、总投入等情况分析</w:t>
            </w:r>
          </w:p>
          <w:p>
            <w:pPr>
              <w:spacing w:line="560" w:lineRule="exact"/>
              <w:ind w:firstLine="600" w:firstLineChars="200"/>
              <w:rPr>
                <w:rFonts w:ascii="宋体" w:cs="仿宋_GB2312"/>
                <w:bCs/>
                <w:sz w:val="30"/>
                <w:szCs w:val="30"/>
              </w:rPr>
            </w:pPr>
            <w:r>
              <w:rPr>
                <w:rFonts w:hint="eastAsia" w:ascii="宋体" w:hAnsi="宋体" w:cs="仿宋_GB2312"/>
                <w:bCs/>
                <w:sz w:val="30"/>
                <w:szCs w:val="30"/>
              </w:rPr>
              <w:t>2021年度县财政安排我</w:t>
            </w:r>
            <w:r>
              <w:rPr>
                <w:rFonts w:hint="eastAsia" w:ascii="宋体" w:hAnsi="宋体" w:cs="仿宋_GB2312"/>
                <w:sz w:val="30"/>
                <w:szCs w:val="30"/>
              </w:rPr>
              <w:t>局岳阳县公路养护专项经费700万元。</w:t>
            </w:r>
          </w:p>
          <w:p>
            <w:pPr>
              <w:numPr>
                <w:ilvl w:val="0"/>
                <w:numId w:val="2"/>
              </w:numPr>
              <w:spacing w:line="560" w:lineRule="exact"/>
              <w:ind w:firstLine="600" w:firstLineChars="200"/>
              <w:rPr>
                <w:rFonts w:ascii="宋体" w:cs="楷体_GB2312"/>
                <w:b/>
                <w:bCs/>
                <w:sz w:val="30"/>
                <w:szCs w:val="30"/>
                <w:shd w:val="clear" w:color="auto" w:fill="FFFFFF"/>
              </w:rPr>
            </w:pPr>
            <w:r>
              <w:rPr>
                <w:rFonts w:hint="eastAsia" w:ascii="宋体" w:hAnsi="宋体" w:cs="仿宋_GB2312"/>
                <w:bCs/>
                <w:sz w:val="30"/>
                <w:szCs w:val="30"/>
              </w:rPr>
              <w:t>专项资金实际使用情况分析</w:t>
            </w:r>
          </w:p>
          <w:p>
            <w:pPr>
              <w:ind w:firstLine="900" w:firstLineChars="300"/>
              <w:rPr>
                <w:rFonts w:ascii="仿宋" w:hAnsi="仿宋" w:eastAsia="仿宋" w:cs="仿宋"/>
                <w:sz w:val="32"/>
                <w:szCs w:val="32"/>
              </w:rPr>
            </w:pPr>
            <w:r>
              <w:rPr>
                <w:rFonts w:hint="eastAsia" w:ascii="宋体" w:hAnsi="宋体" w:cs="仿宋_GB2312"/>
                <w:bCs/>
                <w:sz w:val="30"/>
                <w:szCs w:val="30"/>
              </w:rPr>
              <w:t xml:space="preserve">    </w:t>
            </w:r>
            <w:r>
              <w:rPr>
                <w:rFonts w:hint="eastAsia" w:ascii="仿宋" w:hAnsi="仿宋" w:eastAsia="仿宋" w:cs="仿宋"/>
                <w:sz w:val="32"/>
                <w:szCs w:val="32"/>
              </w:rPr>
              <w:t>我县农村公路省、县级道路的建设和养护工作主要由岳阳县交通运输局二级机构农村公路养护中心负责，共管养农村公路里程2577.673公里（其中规划省道149.228公里、县道320.967公里、乡道571.808公里、村道1535.67公里）。乡、村级公路由14个乡镇政府、村委会负责管理养护。</w:t>
            </w:r>
          </w:p>
          <w:p>
            <w:pPr>
              <w:spacing w:line="560" w:lineRule="exact"/>
              <w:rPr>
                <w:rFonts w:ascii="宋体" w:cs="仿宋_GB2312"/>
                <w:sz w:val="30"/>
                <w:szCs w:val="30"/>
                <w:shd w:val="clear" w:color="auto" w:fill="FFFFFF"/>
              </w:rPr>
            </w:pPr>
            <w:r>
              <w:rPr>
                <w:rFonts w:hint="eastAsia" w:ascii="宋体" w:hAnsi="宋体" w:cs="仿宋_GB2312"/>
                <w:sz w:val="32"/>
                <w:szCs w:val="32"/>
              </w:rPr>
              <w:t>桥梁814座16411.29延米。为确保交通公路畅通，一是精心组织日常养护。我所进一步加大公路管养力度。先后对县道X118荣宝线沥青路（K0+000-K3+606）段、X145兰关线、X039刘凤线等主要道路路面及时进行挖补维修。砼路面挖补维修有宝青线、荣黄线、新黄线、柏祥</w:t>
            </w:r>
            <w:r>
              <w:rPr>
                <w:rFonts w:hint="eastAsia" w:ascii="宋体" w:cs="仿宋_GB2312"/>
                <w:sz w:val="32"/>
                <w:szCs w:val="32"/>
              </w:rPr>
              <w:t>-</w:t>
            </w:r>
            <w:r>
              <w:rPr>
                <w:rFonts w:hint="eastAsia" w:ascii="宋体" w:hAnsi="宋体" w:cs="仿宋_GB2312"/>
                <w:sz w:val="32"/>
                <w:szCs w:val="32"/>
              </w:rPr>
              <w:t>长湖线、长湖</w:t>
            </w:r>
            <w:r>
              <w:rPr>
                <w:rFonts w:hint="eastAsia" w:ascii="宋体" w:cs="仿宋_GB2312"/>
                <w:sz w:val="32"/>
                <w:szCs w:val="32"/>
              </w:rPr>
              <w:t>-</w:t>
            </w:r>
            <w:r>
              <w:rPr>
                <w:rFonts w:hint="eastAsia" w:ascii="宋体" w:hAnsi="宋体" w:cs="仿宋_GB2312"/>
                <w:sz w:val="32"/>
                <w:szCs w:val="32"/>
              </w:rPr>
              <w:t>黄沙街线、龙芭线。二是开展好农村公路活动，全面调查规划，认真做好“四好”农村公路建设和养护工作，开展县道维护工作，对兰关线等路段破损路面进行了维修。十月份积极落实上级政府交办的岳阳县农村公路提质改造工程项目，完成黄沙街茶香特色小镇Y348、C283、X005、Y329四条主路共计8.91Km的提质改造工程建设。我所加大了汛期水毁、冰雪灾害天气造成的危险路段、桥梁应急抢险费用投入，在领导现场指挥安排下，迅速抢通线路，确保了人民群众的安全出行。全年共完成养护资金700万元。</w:t>
            </w:r>
          </w:p>
          <w:p>
            <w:pPr>
              <w:pStyle w:val="4"/>
              <w:spacing w:line="520" w:lineRule="exact"/>
              <w:ind w:firstLine="630"/>
              <w:jc w:val="both"/>
              <w:rPr>
                <w:rFonts w:cs="黑体"/>
                <w:b/>
                <w:bCs/>
                <w:kern w:val="2"/>
                <w:sz w:val="30"/>
                <w:szCs w:val="30"/>
              </w:rPr>
            </w:pPr>
            <w:r>
              <w:rPr>
                <w:rFonts w:hint="eastAsia" w:cs="黑体"/>
                <w:b/>
                <w:bCs/>
                <w:kern w:val="2"/>
                <w:sz w:val="30"/>
                <w:szCs w:val="30"/>
              </w:rPr>
              <w:t>三、部门（单位）专项组织实施情况</w:t>
            </w:r>
          </w:p>
          <w:p>
            <w:pPr>
              <w:spacing w:line="560" w:lineRule="exact"/>
              <w:ind w:firstLine="600" w:firstLineChars="200"/>
              <w:rPr>
                <w:rFonts w:ascii="宋体" w:cs="仿宋_GB2312"/>
                <w:bCs/>
                <w:sz w:val="30"/>
                <w:szCs w:val="30"/>
              </w:rPr>
            </w:pPr>
            <w:r>
              <w:rPr>
                <w:rFonts w:hint="eastAsia" w:ascii="宋体" w:hAnsi="宋体" w:cs="仿宋_GB2312"/>
                <w:bCs/>
                <w:sz w:val="30"/>
                <w:szCs w:val="30"/>
              </w:rPr>
              <w:t>（一）专项组织情况分析</w:t>
            </w:r>
          </w:p>
          <w:p>
            <w:pPr>
              <w:spacing w:line="560" w:lineRule="exact"/>
              <w:ind w:firstLine="640" w:firstLineChars="200"/>
              <w:rPr>
                <w:rFonts w:ascii="宋体" w:cs="仿宋_GB2312"/>
                <w:bCs/>
                <w:sz w:val="30"/>
                <w:szCs w:val="30"/>
              </w:rPr>
            </w:pPr>
            <w:r>
              <w:rPr>
                <w:rFonts w:hint="eastAsia" w:ascii="宋体" w:hAnsi="宋体" w:cs="仿宋_GB2312"/>
                <w:sz w:val="32"/>
                <w:szCs w:val="32"/>
              </w:rPr>
              <w:t>按照 “有路必养”的原则，和省公路局提出的“七无三有”目标，我县以公路养护质量检查评定为标准，科学合理安排养护工作，坚持公路养护经常化、全面化、科学化，强化责任，勤管勤查。先后对县道、乡村道路肩进行整修培护，特别是针对上半年雨水天气多的情况，对桥梁、涵洞、排水沟全面进行了清理疏通。加大巡查督促力度和日常路面保洁力度，及时维修、扶正、加固各类公路附属设施。同时，对目前养护线路存在的问题，逐条线路进行登记，狠抓整改落实，路容路貌大有改观，养护质量明显提高。实现了养护线路常年保持路面平整，路肩整洁，无杂草，水沟通畅，桥涵构造完好，标志齐全。所养护的道路完好率达到88%以上。</w:t>
            </w:r>
          </w:p>
          <w:p>
            <w:pPr>
              <w:numPr>
                <w:ilvl w:val="0"/>
                <w:numId w:val="3"/>
              </w:numPr>
              <w:spacing w:line="560" w:lineRule="exact"/>
              <w:ind w:firstLine="600" w:firstLineChars="200"/>
              <w:rPr>
                <w:rFonts w:ascii="宋体" w:cs="仿宋_GB2312"/>
                <w:bCs/>
                <w:sz w:val="30"/>
                <w:szCs w:val="30"/>
              </w:rPr>
            </w:pPr>
            <w:r>
              <w:rPr>
                <w:rFonts w:hint="eastAsia" w:ascii="宋体" w:hAnsi="宋体" w:cs="仿宋_GB2312"/>
                <w:bCs/>
                <w:sz w:val="30"/>
                <w:szCs w:val="30"/>
              </w:rPr>
              <w:t>专项管理情况分析</w:t>
            </w:r>
          </w:p>
          <w:p>
            <w:pPr>
              <w:spacing w:line="560" w:lineRule="exact"/>
              <w:rPr>
                <w:rFonts w:ascii="宋体" w:cs="楷体_GB2312"/>
                <w:b/>
                <w:bCs/>
                <w:sz w:val="32"/>
                <w:szCs w:val="32"/>
                <w:shd w:val="clear" w:color="auto" w:fill="FFFFFF"/>
              </w:rPr>
            </w:pPr>
            <w:r>
              <w:rPr>
                <w:rFonts w:hint="eastAsia" w:ascii="宋体" w:hAnsi="宋体" w:cs="仿宋_GB2312"/>
                <w:b/>
                <w:bCs/>
                <w:sz w:val="30"/>
                <w:szCs w:val="30"/>
                <w:shd w:val="clear" w:color="auto" w:fill="FFFFFF"/>
              </w:rPr>
              <w:t xml:space="preserve">    </w:t>
            </w:r>
            <w:r>
              <w:rPr>
                <w:rFonts w:hint="eastAsia" w:ascii="宋体" w:hAnsi="宋体" w:cs="仿宋_GB2312"/>
                <w:sz w:val="32"/>
                <w:szCs w:val="32"/>
              </w:rPr>
              <w:t>为确保交通公路畅通，一是精心组织日常养护。我所进一步加大公路管养力度。先后对县道X118荣宝线沥青路（K0+000-K3+606）段、X145兰关线、X039刘凤线等主要道路路面及时进行挖补维修。砼路面挖补维修有宝青线、荣黄线、新黄线、柏祥</w:t>
            </w:r>
            <w:r>
              <w:rPr>
                <w:rFonts w:hint="eastAsia" w:ascii="宋体" w:cs="仿宋_GB2312"/>
                <w:sz w:val="32"/>
                <w:szCs w:val="32"/>
              </w:rPr>
              <w:t>-</w:t>
            </w:r>
            <w:r>
              <w:rPr>
                <w:rFonts w:hint="eastAsia" w:ascii="宋体" w:hAnsi="宋体" w:cs="仿宋_GB2312"/>
                <w:sz w:val="32"/>
                <w:szCs w:val="32"/>
              </w:rPr>
              <w:t>长湖线、长湖</w:t>
            </w:r>
            <w:r>
              <w:rPr>
                <w:rFonts w:hint="eastAsia" w:ascii="宋体" w:cs="仿宋_GB2312"/>
                <w:sz w:val="32"/>
                <w:szCs w:val="32"/>
              </w:rPr>
              <w:t>-</w:t>
            </w:r>
            <w:r>
              <w:rPr>
                <w:rFonts w:hint="eastAsia" w:ascii="宋体" w:hAnsi="宋体" w:cs="仿宋_GB2312"/>
                <w:sz w:val="32"/>
                <w:szCs w:val="32"/>
              </w:rPr>
              <w:t>黄沙街线、龙芭线。二是开展好农村公路活动，全面调查规划，认真做好“四好”农村公路建设和养护工作，开展县道维护工作，对兰关线等路段破损路面进行了维修。十月份积极落实上级政府交办的岳阳县农村公路提质改造工程项目，完成黄沙街茶香特色小镇Y348、C283、X005、Y329四条主路共计8.91Km的提质改造工程建设。我所加大了汛期水毁、冰雪灾害天气造成的危险路段、桥梁应急抢险费用投入，在领导现场指挥安排下，迅速抢通线路，确保了人民群众的安全出行。全年共完成养护资金700万元。</w:t>
            </w:r>
          </w:p>
          <w:p>
            <w:pPr>
              <w:spacing w:line="560" w:lineRule="exact"/>
              <w:rPr>
                <w:rFonts w:ascii="宋体" w:cs="仿宋_GB2312"/>
                <w:bCs/>
                <w:sz w:val="30"/>
                <w:szCs w:val="30"/>
              </w:rPr>
            </w:pPr>
          </w:p>
          <w:p>
            <w:pPr>
              <w:spacing w:line="560" w:lineRule="exact"/>
              <w:ind w:firstLine="753" w:firstLineChars="250"/>
              <w:rPr>
                <w:rFonts w:ascii="宋体" w:cs="黑体"/>
                <w:b/>
                <w:bCs/>
                <w:sz w:val="30"/>
                <w:szCs w:val="30"/>
              </w:rPr>
            </w:pPr>
            <w:r>
              <w:rPr>
                <w:rFonts w:hint="eastAsia" w:ascii="宋体" w:hAnsi="宋体" w:cs="黑体"/>
                <w:b/>
                <w:bCs/>
                <w:sz w:val="30"/>
                <w:szCs w:val="30"/>
              </w:rPr>
              <w:t>四、部门（单位）整体支出绩效情况</w:t>
            </w:r>
          </w:p>
          <w:p>
            <w:pPr>
              <w:pStyle w:val="4"/>
              <w:spacing w:line="520" w:lineRule="exact"/>
              <w:jc w:val="both"/>
              <w:rPr>
                <w:rFonts w:cs="仿宋_GB2312"/>
                <w:kern w:val="2"/>
                <w:sz w:val="30"/>
                <w:szCs w:val="30"/>
              </w:rPr>
            </w:pPr>
            <w:r>
              <w:rPr>
                <w:rFonts w:hint="eastAsia" w:cs="仿宋_GB2312"/>
                <w:kern w:val="2"/>
                <w:sz w:val="30"/>
                <w:szCs w:val="30"/>
              </w:rPr>
              <w:t xml:space="preserve">    </w:t>
            </w:r>
            <w:r>
              <w:rPr>
                <w:rFonts w:hint="eastAsia" w:cs="仿宋_GB2312"/>
                <w:bCs/>
                <w:kern w:val="2"/>
                <w:sz w:val="30"/>
                <w:szCs w:val="30"/>
              </w:rPr>
              <w:t xml:space="preserve"> 2021年岳阳县交通运输局支出</w:t>
            </w:r>
            <w:r>
              <w:rPr>
                <w:rFonts w:hint="eastAsia" w:cs="仿宋_GB2312"/>
                <w:kern w:val="2"/>
              </w:rPr>
              <w:t>9685.85</w:t>
            </w:r>
            <w:r>
              <w:rPr>
                <w:rFonts w:hint="eastAsia" w:cs="仿宋_GB2312"/>
                <w:kern w:val="2"/>
                <w:sz w:val="30"/>
                <w:szCs w:val="30"/>
              </w:rPr>
              <w:t>万元，系保障我局行政运行各项支出。包括用于工资福利支出、一般商品和服务支出、对个人和家庭的补助等人员经费和日常公用经费以及公路养护专项经费与其他上级专项经费。总支出9685.85万元，基本支出1021.47万元。工资福利支出635.35万元，对个人和家庭补助支出52.05万元,对企业补助32.44。一般商品服务支出300.92万元，其他上级专项项目经费8664.38万元，</w:t>
            </w:r>
            <w:r>
              <w:rPr>
                <w:rFonts w:hint="eastAsia"/>
                <w:kern w:val="2"/>
                <w:sz w:val="30"/>
                <w:szCs w:val="30"/>
              </w:rPr>
              <w:t>本年度“三公”经费实际支出0.89</w:t>
            </w:r>
            <w:r>
              <w:rPr>
                <w:rFonts w:hint="eastAsia" w:cs="仿宋_GB2312"/>
                <w:kern w:val="2"/>
                <w:sz w:val="30"/>
                <w:szCs w:val="30"/>
              </w:rPr>
              <w:t>万元，低于去年，系我局严格执行财务制度紧缩开支所致。分项为：因公出国(境)费支出0万元，比预算减少0万元，降低0%，</w:t>
            </w:r>
            <w:r>
              <w:rPr>
                <w:rFonts w:hint="eastAsia" w:cs="仿宋_GB2312"/>
                <w:color w:val="000000"/>
                <w:kern w:val="2"/>
                <w:sz w:val="30"/>
                <w:szCs w:val="30"/>
              </w:rPr>
              <w:t>公务接待共17批 153余人次。</w:t>
            </w:r>
          </w:p>
          <w:p>
            <w:pPr>
              <w:pStyle w:val="4"/>
              <w:spacing w:line="520" w:lineRule="exact"/>
              <w:ind w:firstLine="443" w:firstLineChars="147"/>
              <w:jc w:val="both"/>
              <w:rPr>
                <w:rFonts w:cs="仿宋_GB2312"/>
                <w:kern w:val="2"/>
                <w:sz w:val="30"/>
                <w:szCs w:val="30"/>
              </w:rPr>
            </w:pPr>
            <w:r>
              <w:rPr>
                <w:rFonts w:hint="eastAsia"/>
                <w:b/>
                <w:kern w:val="2"/>
                <w:sz w:val="30"/>
                <w:szCs w:val="30"/>
              </w:rPr>
              <w:t>（一）预算管理。</w:t>
            </w:r>
            <w:r>
              <w:rPr>
                <w:rFonts w:hint="eastAsia"/>
                <w:kern w:val="2"/>
                <w:sz w:val="30"/>
                <w:szCs w:val="30"/>
              </w:rPr>
              <w:t>1、控制日常公用经费开支。“三公”经费支出年初预算</w:t>
            </w:r>
            <w:r>
              <w:rPr>
                <w:rFonts w:hint="eastAsia"/>
                <w:kern w:val="2"/>
                <w:sz w:val="30"/>
                <w:szCs w:val="30"/>
                <w:lang w:val="en-US" w:eastAsia="zh-CN"/>
              </w:rPr>
              <w:t>2.25</w:t>
            </w:r>
            <w:r>
              <w:rPr>
                <w:rFonts w:hint="eastAsia"/>
                <w:kern w:val="2"/>
                <w:sz w:val="30"/>
                <w:szCs w:val="30"/>
              </w:rPr>
              <w:t>万元，本年度“三公”经费实际支出0.89万元，少于公开的部门预算数，系我局严格执行财务制度紧缩开支所致。分项为：因公出国(境)费支出0万元，比预算减少0万元，降低0%，</w:t>
            </w:r>
            <w:r>
              <w:rPr>
                <w:rFonts w:hint="eastAsia"/>
                <w:color w:val="000000"/>
                <w:kern w:val="2"/>
                <w:sz w:val="30"/>
                <w:szCs w:val="30"/>
              </w:rPr>
              <w:t>公务接待共17批 153余人次。</w:t>
            </w:r>
          </w:p>
          <w:p>
            <w:pPr>
              <w:spacing w:line="520" w:lineRule="exact"/>
              <w:rPr>
                <w:rFonts w:ascii="宋体"/>
                <w:b/>
                <w:sz w:val="30"/>
                <w:szCs w:val="30"/>
              </w:rPr>
            </w:pPr>
            <w:r>
              <w:rPr>
                <w:rFonts w:hint="eastAsia" w:ascii="宋体" w:hAnsi="宋体"/>
                <w:b/>
                <w:sz w:val="30"/>
                <w:szCs w:val="30"/>
              </w:rPr>
              <w:t xml:space="preserve">    （二）职责履行。</w:t>
            </w:r>
          </w:p>
          <w:p>
            <w:pPr>
              <w:ind w:firstLine="753" w:firstLineChars="250"/>
              <w:rPr>
                <w:rFonts w:ascii="宋体"/>
                <w:b/>
                <w:sz w:val="30"/>
                <w:szCs w:val="30"/>
              </w:rPr>
            </w:pPr>
            <w:r>
              <w:rPr>
                <w:rFonts w:hint="eastAsia" w:ascii="宋体" w:hAnsi="宋体"/>
                <w:b/>
                <w:sz w:val="30"/>
                <w:szCs w:val="30"/>
              </w:rPr>
              <w:t>1、奋力先行，倾力助推发展</w:t>
            </w:r>
          </w:p>
          <w:p>
            <w:pPr>
              <w:ind w:firstLine="600" w:firstLineChars="200"/>
              <w:rPr>
                <w:rFonts w:ascii="宋体"/>
                <w:sz w:val="30"/>
                <w:szCs w:val="30"/>
              </w:rPr>
            </w:pPr>
            <w:r>
              <w:rPr>
                <w:rFonts w:hint="eastAsia" w:ascii="宋体" w:hAnsi="宋体"/>
                <w:sz w:val="30"/>
                <w:szCs w:val="30"/>
              </w:rPr>
              <w:t>一方面全力推进重大项目建设。岳望高速是省重点建设项目，但因工程几经停工，历史遗留问题成堆，债务数额巨大、涉及人员众多、矛盾尖锐复杂，项目指挥部全力加强协调，并通过司法途径化解复杂债务纠纷，保障了工程顺利推进，全线于9月29日竣工通车。我县境内G240 于年初完成全线绿化、亮化工程，4月底完成跨岳望高速桥段600余米沥青路面施工，通过交工验收并正式投入使用。新通车的两大干线公路犹如两条蜿蜒长龙纵贯县境，为我县融入大岳阳城区、洞庭湖生态经济区和长江经济带连通了大动脉，为经济社会发展安装了助推器，按下了加速键。</w:t>
            </w:r>
          </w:p>
          <w:p>
            <w:pPr>
              <w:ind w:firstLine="600" w:firstLineChars="200"/>
              <w:rPr>
                <w:rFonts w:ascii="宋体"/>
                <w:sz w:val="30"/>
                <w:szCs w:val="30"/>
              </w:rPr>
            </w:pPr>
            <w:r>
              <w:rPr>
                <w:rFonts w:hint="eastAsia" w:ascii="宋体" w:hAnsi="宋体"/>
                <w:sz w:val="30"/>
                <w:szCs w:val="30"/>
              </w:rPr>
              <w:t>另一方面全力包装储备项目。鹿角汗水坡临港产业园码头是我县港口建设大会战的核心项目。我局将此作为重中之重，全力加强协调对接，目前已完成项目套物流协议签订、项目备案、经营合作协议 、用地证明、库房租赁，港区水流数学模型、港池工程泥沙问题分析、东洞庭湖生物多样性影响评价都通过了专家评审验收，并经市政府第21次常务会议审议纳入《岳阳港总体规划》。临港产业园意向引进湖南建丰建筑PC板材项目及江西赣中航运公司砂石（骨材）加工项目，计划投资4亿余元。全力推进S308月新线、XJ04麻黄线、S312中张线等一批重大干线项目前期工作，除国土用地等审批受政策制约一时难以完成外，其余项目前期工作基本完成。S308月新线项目工程已于3月20日开标，县建设协调指挥部成立并投入运转。</w:t>
            </w:r>
          </w:p>
          <w:p>
            <w:pPr>
              <w:ind w:firstLine="602" w:firstLineChars="200"/>
              <w:rPr>
                <w:rFonts w:ascii="宋体"/>
                <w:b/>
                <w:sz w:val="30"/>
                <w:szCs w:val="30"/>
              </w:rPr>
            </w:pPr>
            <w:r>
              <w:rPr>
                <w:rFonts w:hint="eastAsia" w:ascii="宋体" w:hAnsi="宋体"/>
                <w:b/>
                <w:sz w:val="30"/>
                <w:szCs w:val="30"/>
              </w:rPr>
              <w:t>2、主动担当，竭力服务大局</w:t>
            </w:r>
          </w:p>
          <w:p>
            <w:pPr>
              <w:ind w:firstLine="600" w:firstLineChars="200"/>
              <w:rPr>
                <w:rFonts w:ascii="宋体" w:cs="宋体"/>
                <w:sz w:val="30"/>
                <w:szCs w:val="30"/>
              </w:rPr>
            </w:pPr>
            <w:r>
              <w:rPr>
                <w:rFonts w:hint="eastAsia" w:ascii="宋体" w:hAnsi="宋体"/>
                <w:sz w:val="30"/>
                <w:szCs w:val="30"/>
              </w:rPr>
              <w:t>一是动真碰硬抓打非治违。摩托车非法营运是影响城市交通秩序的顽疾，也是制约全国文明县城创建的拦路石。8月2日我县召开打击非法营运集中整治动员会以来，工作人员不分日夜、雷霆出击，共查处非法营运摩托车241台、汽车24台，有效遏制了非法营运乱象，维护了城区道路交通秩序，保障了人民群众生命财产安全，为文明县城创建写下浓墨重彩的一笔。</w:t>
            </w:r>
          </w:p>
          <w:p>
            <w:pPr>
              <w:ind w:firstLine="600" w:firstLineChars="200"/>
              <w:rPr>
                <w:rFonts w:ascii="宋体" w:cs="宋体"/>
                <w:sz w:val="30"/>
                <w:szCs w:val="30"/>
              </w:rPr>
            </w:pPr>
            <w:r>
              <w:rPr>
                <w:rFonts w:hint="eastAsia" w:ascii="宋体" w:hAnsi="宋体"/>
                <w:sz w:val="30"/>
                <w:szCs w:val="30"/>
              </w:rPr>
              <w:t>二是全力以赴抓春运保障。春运是检验政府交通运输保障能力的一次大考。春运前夕，交通人克服冰雪严寒，排查并消除各类安全隐患850多个。春运期间，交通人24小时值班，协调处理矛盾，科学调度运力，组织各类客运车辆586台投入运营，开展“情满旅途”优质服务竞赛和“暖冬行动”志愿服务活动，确保旅客走得了、走得好、走得平安、走得满意，向党政和人民交上一份圆满的春运答卷。</w:t>
            </w:r>
          </w:p>
          <w:p>
            <w:pPr>
              <w:ind w:firstLine="600" w:firstLineChars="200"/>
              <w:rPr>
                <w:rFonts w:ascii="宋体" w:cs="宋体"/>
                <w:sz w:val="30"/>
                <w:szCs w:val="30"/>
              </w:rPr>
            </w:pPr>
            <w:r>
              <w:rPr>
                <w:rFonts w:hint="eastAsia" w:ascii="宋体" w:hAnsi="宋体"/>
                <w:sz w:val="30"/>
                <w:szCs w:val="30"/>
              </w:rPr>
              <w:t>三是攻坚克难抓环保整治。关停非法砂石码头、清理僵尸船、打击洗砂船、整治非法浮吊船，每一项环保整治任务都是一块难啃的硬骨头。我局港航所直面矛盾、迎难而上，对4处死灰复燃的砂石码头进行再次关停，完成23处非法砂石码头、堆场27.64万平方米复绿，将18艘僵尸船集中拖拽到安全水域集中停放，清理打击非法洗砂船5艘、浮吊船2艘。</w:t>
            </w:r>
          </w:p>
          <w:p>
            <w:pPr>
              <w:ind w:firstLine="602" w:firstLineChars="200"/>
              <w:rPr>
                <w:rFonts w:ascii="宋体"/>
                <w:b/>
                <w:sz w:val="30"/>
                <w:szCs w:val="30"/>
              </w:rPr>
            </w:pPr>
            <w:r>
              <w:rPr>
                <w:rFonts w:hint="eastAsia" w:ascii="宋体" w:hAnsi="宋体"/>
                <w:b/>
                <w:sz w:val="30"/>
                <w:szCs w:val="30"/>
              </w:rPr>
              <w:t>3、不忘初心，全力造福民生</w:t>
            </w:r>
          </w:p>
          <w:p>
            <w:pPr>
              <w:ind w:firstLine="600" w:firstLineChars="200"/>
              <w:rPr>
                <w:rFonts w:ascii="宋体"/>
                <w:sz w:val="30"/>
                <w:szCs w:val="30"/>
              </w:rPr>
            </w:pPr>
            <w:r>
              <w:rPr>
                <w:rFonts w:hint="eastAsia" w:ascii="宋体" w:hAnsi="宋体"/>
                <w:sz w:val="30"/>
                <w:szCs w:val="30"/>
              </w:rPr>
              <w:t>全力打造“四好”农村公路。坚持民生为本，建设、管理、养护、运营好农村公路，方便群众生产生活。今年来，我县投入8668万元，实施自然村通水泥路128公里，窄路加宽49公里, 危桥改造7座，农村道路安防工程281公里，新建客运招呼站55个。加强农村道路养护，探索实施“分片联管”及“生态养护”模式，投入120万元，对全县2570公里农村道路实行常态化养护，农村道路完好率达88%。加大治理超限超载力度，通过联合行动、日常巡查、重点蹲守、设置龙门架等措施，开展治超行动，共计出动执法人员465人次，执法车辆121台次，处罚超限车辆84台次，卸载1767.57吨货物，有效保护了农村公路免遭损毁。农村道路路网越来越密、路况越来越好。坚持政府主导、政策引导，优化整合农村客运资源，科学合理安排班线、车辆、班次，全县行政村通班率稳定在100%。农村基本实现“出门有路、提脚上车”。</w:t>
            </w:r>
          </w:p>
          <w:p>
            <w:pPr>
              <w:ind w:firstLine="600" w:firstLineChars="200"/>
              <w:rPr>
                <w:rFonts w:ascii="宋体"/>
                <w:sz w:val="30"/>
                <w:szCs w:val="30"/>
              </w:rPr>
            </w:pPr>
            <w:r>
              <w:rPr>
                <w:rFonts w:hint="eastAsia" w:ascii="宋体" w:hAnsi="宋体"/>
                <w:sz w:val="30"/>
                <w:szCs w:val="30"/>
              </w:rPr>
              <w:t>全力优化城市公交服务。增大公交运力，新能源公交车达53辆</w:t>
            </w:r>
            <w:r>
              <w:rPr>
                <w:rFonts w:hint="eastAsia" w:ascii="宋体"/>
                <w:sz w:val="30"/>
                <w:szCs w:val="30"/>
              </w:rPr>
              <w:t>,</w:t>
            </w:r>
            <w:r>
              <w:rPr>
                <w:rFonts w:hint="eastAsia" w:ascii="宋体" w:hAnsi="宋体"/>
                <w:sz w:val="30"/>
                <w:szCs w:val="30"/>
              </w:rPr>
              <w:t>县城共开辟5条公交线路</w:t>
            </w:r>
            <w:r>
              <w:rPr>
                <w:rFonts w:hint="eastAsia" w:ascii="宋体"/>
                <w:sz w:val="30"/>
                <w:szCs w:val="30"/>
              </w:rPr>
              <w:t>,</w:t>
            </w:r>
            <w:r>
              <w:rPr>
                <w:rFonts w:hint="eastAsia" w:ascii="宋体" w:hAnsi="宋体"/>
                <w:sz w:val="30"/>
                <w:szCs w:val="30"/>
              </w:rPr>
              <w:t>设置站点251个</w:t>
            </w:r>
            <w:r>
              <w:rPr>
                <w:rFonts w:hint="eastAsia" w:ascii="宋体"/>
                <w:sz w:val="30"/>
                <w:szCs w:val="30"/>
              </w:rPr>
              <w:t>,</w:t>
            </w:r>
            <w:r>
              <w:rPr>
                <w:rFonts w:hint="eastAsia" w:ascii="宋体" w:hAnsi="宋体"/>
                <w:sz w:val="30"/>
                <w:szCs w:val="30"/>
              </w:rPr>
              <w:t>路线全长41.5公理</w:t>
            </w:r>
            <w:r>
              <w:rPr>
                <w:rFonts w:hint="eastAsia" w:ascii="宋体"/>
                <w:sz w:val="30"/>
                <w:szCs w:val="30"/>
              </w:rPr>
              <w:t>,</w:t>
            </w:r>
            <w:r>
              <w:rPr>
                <w:rFonts w:hint="eastAsia" w:ascii="宋体" w:hAnsi="宋体"/>
                <w:sz w:val="30"/>
                <w:szCs w:val="30"/>
              </w:rPr>
              <w:t>覆盖县城及附近5个村和18个居委会</w:t>
            </w:r>
            <w:r>
              <w:rPr>
                <w:rFonts w:hint="eastAsia" w:ascii="宋体"/>
                <w:sz w:val="30"/>
                <w:szCs w:val="30"/>
              </w:rPr>
              <w:t>,</w:t>
            </w:r>
            <w:r>
              <w:rPr>
                <w:rFonts w:hint="eastAsia" w:ascii="宋体" w:hAnsi="宋体"/>
                <w:sz w:val="30"/>
                <w:szCs w:val="30"/>
              </w:rPr>
              <w:t>年运送旅客量650万人次。高考期间，组织65台出租车和20台公交车参与爱心送考，为高考学子开辟免费绿色通道。</w:t>
            </w:r>
          </w:p>
          <w:p>
            <w:pPr>
              <w:ind w:firstLine="600" w:firstLineChars="200"/>
              <w:rPr>
                <w:rFonts w:ascii="宋体"/>
                <w:sz w:val="30"/>
                <w:szCs w:val="30"/>
              </w:rPr>
            </w:pPr>
            <w:r>
              <w:rPr>
                <w:rFonts w:hint="eastAsia" w:ascii="宋体" w:hAnsi="宋体"/>
                <w:sz w:val="30"/>
                <w:szCs w:val="30"/>
              </w:rPr>
              <w:t>全力守住安全生产底线。按照“一岗双责”和“三个必须”原则，建立健全安全生产责任体系。通过安全例会、电子海报、推送短信、主题布展等形式加强交通运输安全生产宣传。常态化开展道路运输安全“隐患清零”行动，工作成效受到省交通运输厅通报表彰，并奖励工作经费5万元；组织开展</w:t>
            </w:r>
            <w:r>
              <w:rPr>
                <w:rFonts w:hint="eastAsia" w:ascii="宋体" w:hAnsi="宋体"/>
                <w:color w:val="000000"/>
                <w:sz w:val="30"/>
                <w:szCs w:val="30"/>
              </w:rPr>
              <w:t>“打非治违百日行动”和“道路运输安全百日会战行动”，有效避免了交通运输领域安全生产责任事故，保护了人民群众生命财产安全，工作受到市、县安委会高度肯定，。</w:t>
            </w:r>
          </w:p>
          <w:p>
            <w:pPr>
              <w:ind w:firstLine="602" w:firstLineChars="200"/>
              <w:rPr>
                <w:rFonts w:ascii="宋体"/>
                <w:sz w:val="30"/>
                <w:szCs w:val="30"/>
              </w:rPr>
            </w:pPr>
            <w:r>
              <w:rPr>
                <w:rFonts w:hint="eastAsia" w:ascii="宋体" w:hAnsi="宋体"/>
                <w:b/>
                <w:sz w:val="30"/>
                <w:szCs w:val="30"/>
              </w:rPr>
              <w:t>4、优化作风，着力锻造队伍</w:t>
            </w:r>
          </w:p>
          <w:p>
            <w:pPr>
              <w:ind w:firstLine="600" w:firstLineChars="200"/>
              <w:rPr>
                <w:rFonts w:ascii="宋体"/>
                <w:sz w:val="30"/>
                <w:szCs w:val="30"/>
              </w:rPr>
            </w:pPr>
            <w:r>
              <w:rPr>
                <w:rFonts w:hint="eastAsia" w:ascii="宋体" w:hAnsi="宋体"/>
                <w:sz w:val="30"/>
                <w:szCs w:val="30"/>
              </w:rPr>
              <w:t>抓班子建设。局班子带头加强政治理论学习，认真开展民主生活会，班子成员带头践行一线工作法，在项目建设协调、急难险重任务中直面矛盾、攻坚克难。班子成员用身影指挥，用行动说话，引导全局干部职工敬业爱岗、忠诚履职。班子成员带头履行“一岗双责”，落实</w:t>
            </w:r>
            <w:r>
              <w:rPr>
                <w:rFonts w:hint="eastAsia" w:ascii="宋体"/>
                <w:sz w:val="30"/>
                <w:szCs w:val="30"/>
              </w:rPr>
              <w:t>“</w:t>
            </w:r>
            <w:r>
              <w:rPr>
                <w:rFonts w:hint="eastAsia" w:ascii="宋体" w:hAnsi="宋体"/>
                <w:sz w:val="30"/>
                <w:szCs w:val="30"/>
              </w:rPr>
              <w:t>两个责任</w:t>
            </w:r>
            <w:r>
              <w:rPr>
                <w:rFonts w:hint="eastAsia" w:ascii="宋体"/>
                <w:sz w:val="30"/>
                <w:szCs w:val="30"/>
              </w:rPr>
              <w:t>”</w:t>
            </w:r>
            <w:r>
              <w:rPr>
                <w:rFonts w:hint="eastAsia" w:ascii="宋体" w:hAnsi="宋体"/>
                <w:sz w:val="30"/>
                <w:szCs w:val="30"/>
              </w:rPr>
              <w:t>，对全体党员干部开展常态化的理想信念教育、党规党纪教育，不断提升纪律意识和规矩意识，筑牢拒腐防变思想防线。</w:t>
            </w:r>
          </w:p>
          <w:p>
            <w:pPr>
              <w:pStyle w:val="4"/>
              <w:spacing w:before="0" w:beforeAutospacing="0" w:after="0" w:afterAutospacing="0"/>
              <w:ind w:firstLine="641"/>
              <w:rPr>
                <w:kern w:val="2"/>
                <w:sz w:val="30"/>
                <w:szCs w:val="30"/>
              </w:rPr>
            </w:pPr>
            <w:r>
              <w:rPr>
                <w:rFonts w:hint="eastAsia" w:cs="仿宋_GB2312"/>
                <w:color w:val="242424"/>
                <w:kern w:val="2"/>
                <w:sz w:val="30"/>
                <w:szCs w:val="30"/>
              </w:rPr>
              <w:t>抓廉政建设。抓教育，党员领导干部重点学习了《党员领导干部廉洁从政手册》、党内监督“两个条例”，观看了反腐电影《决不姑息》、《迷失》，组织局机关全体干部职工和二级机构负责人到县检察院参加反腐警示教育，从思想上筑牢反腐倡廉防线。抓落实，把执行规章制度、加强风险点防控作为建设廉洁交通的重要抓手，按照“依法、规范、优质、高效”要求，进一步规范交通执法、行业监管行为，着力在简化工作程序、提高执法效率、增强执法透明度等方面下功夫。</w:t>
            </w:r>
          </w:p>
          <w:p>
            <w:pPr>
              <w:ind w:firstLine="641"/>
              <w:rPr>
                <w:rFonts w:ascii="宋体"/>
                <w:sz w:val="30"/>
                <w:szCs w:val="30"/>
              </w:rPr>
            </w:pPr>
            <w:r>
              <w:rPr>
                <w:rFonts w:hint="eastAsia" w:ascii="宋体" w:hAnsi="宋体"/>
                <w:sz w:val="30"/>
                <w:szCs w:val="30"/>
              </w:rPr>
              <w:t>抓依法行政。加强培训，采取专家讲座、集中学习和自学相结合的方式，开展执法人员培训，组织全系统200余名干部职工参加网上学法考法，参考率、及格率均达100%。健全制度，制订《交通行政执法队伍建设方案》、《行政执法队伍管理制度》和《行政执法全过程记录制度》等相关制度，通过健全内部管理制度，规范交通行政执法行为。强力推进，通过路政大队试点，着力推进基层执法队伍的职业化、基层执法站所的标准化、基础管理制度的规范化建设，逐步推进执法人员执法证件、工作服装、、执法标志、基层站所外观形象四个统一。通过案卷评查、执法评议、“双随机一公开”检查、综合考核评估等形式，对交通系统执法案件办理、队伍建设、行政审批、行政复议应诉等进行全面监督检查。2018年我局无一起行政复议、行政诉讼案件。</w:t>
            </w:r>
          </w:p>
          <w:p>
            <w:pPr>
              <w:spacing w:line="520" w:lineRule="exact"/>
              <w:ind w:firstLine="635"/>
              <w:rPr>
                <w:rFonts w:ascii="宋体"/>
                <w:b/>
                <w:sz w:val="30"/>
                <w:szCs w:val="30"/>
              </w:rPr>
            </w:pPr>
            <w:r>
              <w:rPr>
                <w:rFonts w:hint="eastAsia" w:ascii="宋体" w:hAnsi="宋体"/>
                <w:b/>
                <w:sz w:val="30"/>
                <w:szCs w:val="30"/>
              </w:rPr>
              <w:t>五、存在的主要问题</w:t>
            </w:r>
          </w:p>
          <w:p>
            <w:pPr>
              <w:pStyle w:val="4"/>
              <w:spacing w:before="0" w:beforeAutospacing="0" w:after="0" w:afterAutospacing="0" w:line="590" w:lineRule="exact"/>
              <w:ind w:firstLine="888" w:firstLineChars="296"/>
              <w:rPr>
                <w:kern w:val="2"/>
                <w:sz w:val="30"/>
                <w:szCs w:val="30"/>
              </w:rPr>
            </w:pPr>
            <w:r>
              <w:rPr>
                <w:rFonts w:hint="eastAsia"/>
                <w:kern w:val="2"/>
                <w:sz w:val="30"/>
                <w:szCs w:val="30"/>
              </w:rPr>
              <w:t>一是政策制约项目推进。S308、S312、XJ04等干线公路项目前期工作，因国家自然资源部未开窗审批，难以推进。受上级严控政府债务风险政策制约，我县计划今年实施的多个交通建设大会战项目被迫暂缓、暂停实施。二是专技人才严重短缺。交</w:t>
            </w:r>
            <w:r>
              <w:rPr>
                <w:rFonts w:hint="eastAsia" w:cs="Times New Roman"/>
                <w:kern w:val="2"/>
                <w:sz w:val="30"/>
                <w:szCs w:val="30"/>
                <w:shd w:val="clear" w:color="auto" w:fill="FFFFFF"/>
              </w:rPr>
              <w:t>通项目建设需要大量的专业技术人员，而交通系统干部职工大多为退伍安置军人，近十年未补充1名专业技术人员，导致专业技术人才匮乏，急需通过招聘、选调等途径补充。</w:t>
            </w:r>
          </w:p>
          <w:p>
            <w:pPr>
              <w:spacing w:line="520" w:lineRule="exact"/>
              <w:ind w:firstLine="635"/>
              <w:rPr>
                <w:rFonts w:ascii="宋体"/>
                <w:b/>
                <w:sz w:val="30"/>
                <w:szCs w:val="30"/>
              </w:rPr>
            </w:pPr>
            <w:r>
              <w:rPr>
                <w:rFonts w:hint="eastAsia" w:ascii="宋体" w:hAnsi="宋体"/>
                <w:b/>
                <w:sz w:val="30"/>
                <w:szCs w:val="30"/>
              </w:rPr>
              <w:t>六、改进措施和有关建议</w:t>
            </w:r>
          </w:p>
          <w:p>
            <w:pPr>
              <w:ind w:firstLine="600" w:firstLineChars="200"/>
              <w:rPr>
                <w:rFonts w:ascii="宋体" w:cs="宋体"/>
                <w:kern w:val="0"/>
                <w:sz w:val="30"/>
                <w:szCs w:val="30"/>
              </w:rPr>
            </w:pPr>
            <w:r>
              <w:rPr>
                <w:rFonts w:hint="eastAsia" w:ascii="宋体" w:hAnsi="宋体" w:cs="宋体"/>
                <w:kern w:val="0"/>
                <w:sz w:val="30"/>
                <w:szCs w:val="30"/>
              </w:rPr>
              <w:t>我们将严格按照相关规定，整章建制，加强核算中心工作，严肃财经纪律；组织系统各单位财务人员加强上级组织的业务培训，加强会计更新知识的继续教育；加强行政事业单位内部控制建设；加强系统内部财务审计工作，特别是对项目资金的财务监督和内部审计力度，使系统财务各项工作逐步步入规范化轨道。</w:t>
            </w:r>
          </w:p>
          <w:p>
            <w:pPr>
              <w:spacing w:line="520" w:lineRule="exact"/>
              <w:ind w:firstLine="635"/>
              <w:rPr>
                <w:rFonts w:ascii="宋体"/>
                <w:sz w:val="30"/>
                <w:szCs w:val="30"/>
              </w:rPr>
            </w:pPr>
          </w:p>
          <w:p>
            <w:pPr>
              <w:spacing w:line="520" w:lineRule="exact"/>
              <w:ind w:firstLine="635"/>
              <w:rPr>
                <w:rFonts w:ascii="宋体"/>
                <w:b/>
                <w:bCs/>
                <w:sz w:val="30"/>
                <w:szCs w:val="30"/>
              </w:rPr>
            </w:pPr>
            <w:r>
              <w:rPr>
                <w:rFonts w:hint="eastAsia" w:ascii="宋体" w:hAnsi="宋体"/>
                <w:b/>
                <w:bCs/>
                <w:sz w:val="30"/>
                <w:szCs w:val="30"/>
              </w:rPr>
              <w:t>七、评分结论</w:t>
            </w:r>
          </w:p>
          <w:p>
            <w:pPr>
              <w:spacing w:line="520" w:lineRule="exact"/>
              <w:ind w:firstLine="635"/>
              <w:rPr>
                <w:rFonts w:ascii="宋体"/>
                <w:sz w:val="30"/>
                <w:szCs w:val="30"/>
              </w:rPr>
            </w:pPr>
            <w:r>
              <w:rPr>
                <w:rFonts w:hint="eastAsia" w:ascii="宋体" w:hAnsi="宋体"/>
                <w:sz w:val="30"/>
                <w:szCs w:val="30"/>
              </w:rPr>
              <w:t>综合以上各项指标，财务管理健全规范，没有发生违法违规现象，县交通运输局2021年的部门整体支出绩效自我评价得到97分，自评结果是优秀。我们将在以后的工作中加强预算管理，严格控制各项经费的开支，提高经费的使用效率。</w:t>
            </w:r>
          </w:p>
          <w:p>
            <w:pPr>
              <w:spacing w:line="520" w:lineRule="exact"/>
              <w:ind w:firstLine="635"/>
              <w:rPr>
                <w:rFonts w:ascii="宋体"/>
                <w:sz w:val="30"/>
                <w:szCs w:val="30"/>
              </w:rPr>
            </w:pPr>
          </w:p>
          <w:p>
            <w:pPr>
              <w:ind w:right="640" w:firstLine="635"/>
              <w:jc w:val="right"/>
              <w:rPr>
                <w:rFonts w:ascii="宋体"/>
                <w:sz w:val="30"/>
                <w:szCs w:val="30"/>
              </w:rPr>
            </w:pPr>
          </w:p>
          <w:p>
            <w:pPr>
              <w:ind w:right="640" w:firstLine="635"/>
              <w:jc w:val="right"/>
              <w:rPr>
                <w:rFonts w:ascii="宋体"/>
                <w:sz w:val="30"/>
                <w:szCs w:val="30"/>
              </w:rPr>
            </w:pPr>
          </w:p>
          <w:p>
            <w:pPr>
              <w:ind w:right="666" w:firstLine="635"/>
              <w:jc w:val="right"/>
              <w:rPr>
                <w:rFonts w:ascii="宋体"/>
                <w:sz w:val="30"/>
                <w:szCs w:val="30"/>
              </w:rPr>
            </w:pPr>
            <w:r>
              <w:rPr>
                <w:rFonts w:hint="eastAsia" w:ascii="宋体" w:hAnsi="宋体"/>
                <w:sz w:val="30"/>
                <w:szCs w:val="30"/>
              </w:rPr>
              <w:t>岳阳县交通运输局</w:t>
            </w:r>
          </w:p>
          <w:p>
            <w:pPr>
              <w:ind w:right="640" w:firstLine="635"/>
              <w:jc w:val="right"/>
              <w:rPr>
                <w:rFonts w:ascii="宋体"/>
                <w:bCs/>
                <w:sz w:val="28"/>
                <w:szCs w:val="28"/>
              </w:rPr>
            </w:pPr>
            <w:r>
              <w:rPr>
                <w:rFonts w:hint="eastAsia" w:ascii="宋体" w:hAnsi="宋体"/>
                <w:sz w:val="30"/>
                <w:szCs w:val="30"/>
              </w:rPr>
              <w:t>2022年6月29日</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ascii="黑体" w:hAnsi="黑体" w:eastAsia="黑体"/>
          <w:sz w:val="32"/>
          <w:szCs w:val="32"/>
        </w:rPr>
      </w:pPr>
      <w:r>
        <w:rPr>
          <w:rFonts w:hint="eastAsia" w:ascii="黑体" w:hAnsi="黑体" w:eastAsia="黑体"/>
          <w:sz w:val="32"/>
          <w:szCs w:val="32"/>
        </w:rPr>
        <w:t>附件3-1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5"/>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5"/>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根据岳县办发（2021年）1号《全面建成小康社会综合绩效考评实施方案》的通知折算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建设岳阳县新增及目标任务完成情况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97</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singleLevel"/>
    <w:tmpl w:val="0000000C"/>
    <w:lvl w:ilvl="0" w:tentative="0">
      <w:start w:val="1"/>
      <w:numFmt w:val="chineseCounting"/>
      <w:suff w:val="nothing"/>
      <w:lvlText w:val="（%1）"/>
      <w:lvlJc w:val="left"/>
      <w:pPr>
        <w:ind w:left="0" w:firstLine="0"/>
      </w:pPr>
      <w:rPr>
        <w:rFonts w:cs="Times New Roman"/>
      </w:rPr>
    </w:lvl>
  </w:abstractNum>
  <w:abstractNum w:abstractNumId="1">
    <w:nsid w:val="0000000E"/>
    <w:multiLevelType w:val="singleLevel"/>
    <w:tmpl w:val="0000000E"/>
    <w:lvl w:ilvl="0" w:tentative="0">
      <w:start w:val="2"/>
      <w:numFmt w:val="chineseCounting"/>
      <w:suff w:val="nothing"/>
      <w:lvlText w:val="（%1）"/>
      <w:lvlJc w:val="left"/>
      <w:pPr>
        <w:ind w:left="0" w:firstLine="0"/>
      </w:pPr>
      <w:rPr>
        <w:rFonts w:cs="Times New Roman"/>
      </w:rPr>
    </w:lvl>
  </w:abstractNum>
  <w:abstractNum w:abstractNumId="2">
    <w:nsid w:val="0000000F"/>
    <w:multiLevelType w:val="singleLevel"/>
    <w:tmpl w:val="0000000F"/>
    <w:lvl w:ilvl="0" w:tentative="0">
      <w:start w:val="2"/>
      <w:numFmt w:val="decimal"/>
      <w:suff w:val="nothing"/>
      <w:lvlText w:val="%1、"/>
      <w:lvlJc w:val="left"/>
      <w:pPr>
        <w:ind w:left="0" w:firstLine="0"/>
      </w:pPr>
      <w:rPr>
        <w:rFonts w:cs="Times New Roman"/>
      </w:rPr>
    </w:lvl>
  </w:abstractNum>
  <w:num w:numId="1">
    <w:abstractNumId w:val="0"/>
    <w:lvlOverride w:ilvl="0">
      <w:startOverride w:val="1"/>
    </w:lvlOverride>
  </w:num>
  <w:num w:numId="2">
    <w:abstractNumId w:val="2"/>
    <w:lvlOverride w:ilvl="0">
      <w:startOverride w:val="2"/>
    </w:lvlOverride>
  </w:num>
  <w:num w:numId="3">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M1MDU0NmQwMTBkNjg1NjNhMTU0MTU2MzBkYjk2MjQifQ=="/>
  </w:docVars>
  <w:rsids>
    <w:rsidRoot w:val="00BB401E"/>
    <w:rsid w:val="00026DBB"/>
    <w:rsid w:val="0008474A"/>
    <w:rsid w:val="000A0186"/>
    <w:rsid w:val="000E47AE"/>
    <w:rsid w:val="00111A4B"/>
    <w:rsid w:val="00124BAC"/>
    <w:rsid w:val="002049C3"/>
    <w:rsid w:val="00293449"/>
    <w:rsid w:val="002C4B38"/>
    <w:rsid w:val="0031379D"/>
    <w:rsid w:val="00385B8A"/>
    <w:rsid w:val="003A7046"/>
    <w:rsid w:val="003D31CF"/>
    <w:rsid w:val="003D429B"/>
    <w:rsid w:val="00442915"/>
    <w:rsid w:val="00445786"/>
    <w:rsid w:val="00474DCC"/>
    <w:rsid w:val="00490ABF"/>
    <w:rsid w:val="0053218F"/>
    <w:rsid w:val="005B3FC0"/>
    <w:rsid w:val="005F3700"/>
    <w:rsid w:val="00623CC8"/>
    <w:rsid w:val="007261BD"/>
    <w:rsid w:val="0075186A"/>
    <w:rsid w:val="00841768"/>
    <w:rsid w:val="0088541C"/>
    <w:rsid w:val="008A79F5"/>
    <w:rsid w:val="00901E4B"/>
    <w:rsid w:val="00924A33"/>
    <w:rsid w:val="009279AE"/>
    <w:rsid w:val="00954FA8"/>
    <w:rsid w:val="009B52E6"/>
    <w:rsid w:val="009F3E81"/>
    <w:rsid w:val="00A04984"/>
    <w:rsid w:val="00A075A7"/>
    <w:rsid w:val="00AF2689"/>
    <w:rsid w:val="00AF6604"/>
    <w:rsid w:val="00B80514"/>
    <w:rsid w:val="00BB401E"/>
    <w:rsid w:val="00BE3BD6"/>
    <w:rsid w:val="00C21A05"/>
    <w:rsid w:val="00C55016"/>
    <w:rsid w:val="00C768F8"/>
    <w:rsid w:val="00C96815"/>
    <w:rsid w:val="00CE31BA"/>
    <w:rsid w:val="00D74CE2"/>
    <w:rsid w:val="00D87C17"/>
    <w:rsid w:val="00DD333B"/>
    <w:rsid w:val="00DE17A5"/>
    <w:rsid w:val="00E27ED5"/>
    <w:rsid w:val="00E31E79"/>
    <w:rsid w:val="00EA5CEF"/>
    <w:rsid w:val="00EE68DD"/>
    <w:rsid w:val="00FC4667"/>
    <w:rsid w:val="1B460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semiHidden/>
    <w:qFormat/>
    <w:uiPriority w:val="99"/>
    <w:rPr>
      <w:rFonts w:ascii="Times New Roman" w:hAnsi="Times New Roman" w:eastAsia="宋体" w:cs="Times New Roman"/>
      <w:sz w:val="18"/>
      <w:szCs w:val="18"/>
    </w:rPr>
  </w:style>
  <w:style w:type="character" w:customStyle="1" w:styleId="8">
    <w:name w:val="页脚 Char"/>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18</Pages>
  <Words>9371</Words>
  <Characters>10102</Characters>
  <Lines>81</Lines>
  <Paragraphs>22</Paragraphs>
  <TotalTime>141</TotalTime>
  <ScaleCrop>false</ScaleCrop>
  <LinksUpToDate>false</LinksUpToDate>
  <CharactersWithSpaces>10697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2021-07-12T02:43:00Z</dcterms:created>
  <dc:creator>个人用户</dc:creator>
  <cp:lastModifiedBy>Administrator</cp:lastModifiedBy>
  <dcterms:modified xsi:type="dcterms:W3CDTF">2022-10-27T01:33:20Z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2A0B38940D5D43B29314A82DA9411CAF</vt:lpwstr>
  </property>
</Properties>
</file>