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bookmarkStart w:id="0" w:name="_GoBack"/>
      <w:r>
        <w:rPr>
          <w:rFonts w:hint="eastAsia" w:eastAsia="仿宋_GB2312"/>
          <w:sz w:val="32"/>
          <w:szCs w:val="32"/>
          <w:u w:val="single"/>
          <w:lang w:eastAsia="zh-CN"/>
        </w:rPr>
        <w:t>岳阳县城市管理环境执法大队</w:t>
      </w:r>
      <w:bookmarkEnd w:id="0"/>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416006</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2022</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eastAsia="仿宋_GB2312"/>
          <w:sz w:val="32"/>
        </w:rPr>
        <w:t xml:space="preserve">  </w:t>
      </w:r>
      <w:r>
        <w:rPr>
          <w:rFonts w:hint="eastAsia" w:eastAsia="仿宋_GB2312"/>
          <w:sz w:val="32"/>
          <w:lang w:val="en-US" w:eastAsia="zh-CN"/>
        </w:rPr>
        <w:t>15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王煌</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07307635359</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w:t>
            </w:r>
          </w:p>
        </w:tc>
      </w:tr>
      <w:tr>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Theme="minorEastAsia" w:hAnsiTheme="minorEastAsia"/>
                <w:sz w:val="32"/>
                <w:szCs w:val="32"/>
              </w:rPr>
              <w:t>城区禁炮、城区渣土扬尘管理、城区噪音管理，城区露天焚烧管理，城区油烟治理、城区河道乱占乱采乱堆管理</w:t>
            </w:r>
          </w:p>
        </w:tc>
      </w:tr>
      <w:tr>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岳阳县城市管理环境执法大队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642.57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277.74</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301.92</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岳阳县城市环境管理执法大队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641.09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532.96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395.91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137.05</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108.13</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岳阳县城市环境管理执法大队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leftChars="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岳阳县城市管理环境执法大队</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120.59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120.59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_GB2312" w:hAnsi="仿宋_GB2312" w:eastAsia="仿宋_GB2312" w:cs="仿宋_GB2312"/>
                <w:color w:val="000000"/>
                <w:sz w:val="24"/>
                <w:lang w:val="en-US" w:eastAsia="zh-CN"/>
              </w:rPr>
              <w:t>641.09</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指标1：加强行业监管，树立建设行业窗口单位形象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指标1：减少污染、提高人文居住环境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97分</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岳阳县城市管理环境执法大队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孙四平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岳阳县城市管理环境执法大队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万小斌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岳阳县城市管理环境执法大队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邹定峰</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机关支部纪检委员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岳阳县城市管理环境执法大队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皮六荣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岳阳县城市管理环境执法大队</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皮六荣</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0730-7635359</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1920" w:firstLineChars="6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岳阳县城市管理环境执法大队</w:t>
            </w:r>
            <w:r>
              <w:rPr>
                <w:rFonts w:hint="eastAsia" w:ascii="黑体" w:hAnsi="黑体" w:eastAsia="黑体" w:cs="黑体"/>
                <w:bCs/>
                <w:sz w:val="32"/>
                <w:szCs w:val="32"/>
                <w:lang w:val="en-US" w:eastAsia="zh-CN"/>
              </w:rPr>
              <w:t>2021年评价报告综述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部门（单位）概况</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部门（单位）基本情况</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sz w:val="32"/>
                <w:szCs w:val="32"/>
              </w:rPr>
              <w:t>1.城区禁炮、城区渣土扬尘管理、城区噪音管理，城区露天焚烧管理，城区油烟治理、城区河道乱占乱采乱堆管理。</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sz w:val="32"/>
                <w:szCs w:val="32"/>
              </w:rPr>
              <w:t>2.行使县城控详规划区范围内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sz w:val="32"/>
                <w:szCs w:val="32"/>
              </w:rPr>
              <w:t>3.行使县城控详规划区范围内向城市河道和其他水域倾倒废弃物和垃圾以及违规取土、城市河道违法建筑物拆除等水务管理方面的行政处罚权。</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sz w:val="32"/>
                <w:szCs w:val="32"/>
              </w:rPr>
              <w:t>4.完成上级主管部门交办的其他工作任务。</w:t>
            </w:r>
          </w:p>
          <w:p>
            <w:pPr>
              <w:widowControl/>
              <w:spacing w:line="600" w:lineRule="exact"/>
              <w:outlineLvl w:val="0"/>
              <w:rPr>
                <w:rFonts w:hint="eastAsia" w:ascii="仿宋" w:hAnsi="仿宋" w:eastAsia="仿宋" w:cs="仿宋"/>
                <w:sz w:val="32"/>
                <w:szCs w:val="32"/>
              </w:rPr>
            </w:pPr>
          </w:p>
          <w:p>
            <w:pPr>
              <w:pStyle w:val="2"/>
              <w:widowControl/>
              <w:spacing w:before="0" w:beforeAutospacing="0" w:after="0" w:afterAutospacing="0" w:line="33" w:lineRule="atLeast"/>
              <w:ind w:firstLine="420"/>
              <w:jc w:val="both"/>
              <w:rPr>
                <w:rFonts w:hint="eastAsia" w:ascii="仿宋" w:hAnsi="仿宋" w:eastAsia="仿宋" w:cs="仿宋"/>
                <w:color w:val="555555"/>
                <w:sz w:val="32"/>
                <w:szCs w:val="32"/>
                <w:lang w:eastAsia="zh-CN"/>
              </w:rPr>
            </w:pPr>
            <w:r>
              <w:rPr>
                <w:rFonts w:hint="eastAsia" w:ascii="仿宋" w:hAnsi="仿宋" w:eastAsia="仿宋" w:cs="仿宋"/>
                <w:color w:val="555555"/>
                <w:sz w:val="32"/>
                <w:szCs w:val="32"/>
                <w:lang w:eastAsia="zh-CN"/>
              </w:rPr>
              <w:t>岳阳县城市管理环境执法大队属岳阳县城市管理和综合执法局下设二级机构，为正股级事业单位。</w:t>
            </w:r>
          </w:p>
          <w:p>
            <w:pPr>
              <w:pStyle w:val="2"/>
              <w:widowControl/>
              <w:spacing w:before="0" w:beforeAutospacing="0" w:after="0" w:afterAutospacing="0" w:line="33" w:lineRule="atLeast"/>
              <w:ind w:firstLine="420"/>
              <w:jc w:val="both"/>
              <w:rPr>
                <w:rFonts w:hint="eastAsia" w:ascii="仿宋" w:hAnsi="仿宋" w:eastAsia="仿宋" w:cs="仿宋"/>
                <w:color w:val="555555"/>
                <w:sz w:val="32"/>
                <w:szCs w:val="32"/>
                <w:lang w:eastAsia="zh-CN"/>
              </w:rPr>
            </w:pPr>
            <w:r>
              <w:rPr>
                <w:rFonts w:hint="eastAsia" w:ascii="仿宋" w:hAnsi="仿宋" w:eastAsia="仿宋" w:cs="仿宋"/>
                <w:color w:val="555555"/>
                <w:sz w:val="32"/>
                <w:szCs w:val="32"/>
                <w:lang w:eastAsia="zh-CN"/>
              </w:rPr>
              <w:t>岳阳县城市管理环境执法大队现有干部职工63人，其中有编人员20人，临聘人员43。县城市管理环境执法大队下设5个内设机构：办公室、禁炮中队、执法中队、渣土南中队、渣土北中队。</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全年预算申请到位和下达数量在</w:t>
            </w:r>
            <w:r>
              <w:rPr>
                <w:rFonts w:hint="eastAsia" w:ascii="仿宋" w:hAnsi="仿宋" w:eastAsia="仿宋" w:cs="仿宋"/>
                <w:color w:val="auto"/>
                <w:sz w:val="32"/>
                <w:szCs w:val="32"/>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目标2：</w:t>
            </w:r>
            <w:r>
              <w:rPr>
                <w:rFonts w:hint="eastAsia" w:ascii="仿宋" w:hAnsi="仿宋" w:eastAsia="仿宋" w:cs="仿宋"/>
                <w:color w:val="auto"/>
                <w:sz w:val="32"/>
                <w:szCs w:val="32"/>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2021年岳阳县城市管理环境执法大队总支出641.09万元，其中：基本支出532.96万元，包括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；项目支出108.13万元。年末结转和结余1.48万元。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2021年岳阳县城市管理环境执法大队基本支出532.96万元,主要用于人员支出395.91万元，公用支出137.05万元。“三公经费”支出5.05万元。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2021我单位项目支出108.13万元，用于城市管理环境执法油烟专项整治。</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减少污染、提高人文居住环境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四、</w:t>
            </w:r>
            <w:r>
              <w:rPr>
                <w:rFonts w:hint="eastAsia" w:ascii="仿宋" w:hAnsi="仿宋" w:eastAsia="仿宋" w:cs="仿宋"/>
                <w:bCs/>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223F4E00"/>
    <w:multiLevelType w:val="singleLevel"/>
    <w:tmpl w:val="223F4E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A1A313F"/>
    <w:rsid w:val="02DA2069"/>
    <w:rsid w:val="06314567"/>
    <w:rsid w:val="0A1A313F"/>
    <w:rsid w:val="0A533FDD"/>
    <w:rsid w:val="0C7E3877"/>
    <w:rsid w:val="0D874C5B"/>
    <w:rsid w:val="0D8E229F"/>
    <w:rsid w:val="0DB65991"/>
    <w:rsid w:val="0F201A80"/>
    <w:rsid w:val="0F8E2A2A"/>
    <w:rsid w:val="14AD1543"/>
    <w:rsid w:val="155D419E"/>
    <w:rsid w:val="19144D19"/>
    <w:rsid w:val="19422E64"/>
    <w:rsid w:val="1B6F6E2E"/>
    <w:rsid w:val="1B9719D0"/>
    <w:rsid w:val="1EA62ED2"/>
    <w:rsid w:val="23845D9E"/>
    <w:rsid w:val="26A17F53"/>
    <w:rsid w:val="2A605BE4"/>
    <w:rsid w:val="2B247840"/>
    <w:rsid w:val="2BE72128"/>
    <w:rsid w:val="2BEA2ED3"/>
    <w:rsid w:val="2D20037D"/>
    <w:rsid w:val="30566C9F"/>
    <w:rsid w:val="316F477E"/>
    <w:rsid w:val="32D875C8"/>
    <w:rsid w:val="33265E11"/>
    <w:rsid w:val="343230D5"/>
    <w:rsid w:val="349211B7"/>
    <w:rsid w:val="36283A3E"/>
    <w:rsid w:val="370E1E08"/>
    <w:rsid w:val="37EB05DA"/>
    <w:rsid w:val="391B4A7F"/>
    <w:rsid w:val="3A2F3BFE"/>
    <w:rsid w:val="3A4D5720"/>
    <w:rsid w:val="3A7D1496"/>
    <w:rsid w:val="3B70245C"/>
    <w:rsid w:val="3BAE6861"/>
    <w:rsid w:val="3C681373"/>
    <w:rsid w:val="3E107914"/>
    <w:rsid w:val="3ED62761"/>
    <w:rsid w:val="40405E31"/>
    <w:rsid w:val="41EE1888"/>
    <w:rsid w:val="440F72B8"/>
    <w:rsid w:val="44896249"/>
    <w:rsid w:val="47B5738E"/>
    <w:rsid w:val="4B591B02"/>
    <w:rsid w:val="4FA0745D"/>
    <w:rsid w:val="4FDEBB1C"/>
    <w:rsid w:val="50B22936"/>
    <w:rsid w:val="5232687A"/>
    <w:rsid w:val="55133157"/>
    <w:rsid w:val="57EC78BB"/>
    <w:rsid w:val="5AA605CD"/>
    <w:rsid w:val="5AEA06F1"/>
    <w:rsid w:val="5CAD5ED1"/>
    <w:rsid w:val="5CC3007B"/>
    <w:rsid w:val="5D8F040A"/>
    <w:rsid w:val="5E2430CD"/>
    <w:rsid w:val="5FC64C01"/>
    <w:rsid w:val="5FF60134"/>
    <w:rsid w:val="65BA5EA0"/>
    <w:rsid w:val="661871B9"/>
    <w:rsid w:val="666741CE"/>
    <w:rsid w:val="66F217FA"/>
    <w:rsid w:val="6C133210"/>
    <w:rsid w:val="6F1E7F02"/>
    <w:rsid w:val="706E310B"/>
    <w:rsid w:val="75630D65"/>
    <w:rsid w:val="76D71B44"/>
    <w:rsid w:val="775D5A0F"/>
    <w:rsid w:val="77B67919"/>
    <w:rsid w:val="7B931F32"/>
    <w:rsid w:val="7BF407DF"/>
    <w:rsid w:val="7C987027"/>
    <w:rsid w:val="7E745D91"/>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2356</Words>
  <Characters>2553</Characters>
  <Lines>0</Lines>
  <Paragraphs>0</Paragraphs>
  <TotalTime>4</TotalTime>
  <ScaleCrop>false</ScaleCrop>
  <LinksUpToDate>false</LinksUpToDate>
  <CharactersWithSpaces>2962</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2021-07-23T15:46:00Z</dcterms:created>
  <dc:creator>Administrator</dc:creator>
  <cp:lastModifiedBy>花卉子</cp:lastModifiedBy>
  <cp:lastPrinted>2022-10-20T17:06:00Z</cp:lastPrinted>
  <dcterms:modified xsi:type="dcterms:W3CDTF">2023-09-15T11:36:32Z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F4B5BE25CCCD979C40D10365573D47E3_43</vt:lpwstr>
  </property>
</Properties>
</file>