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eastAsia" w:ascii="方正小标宋简体" w:hAnsi="方正小标宋简体" w:eastAsia="方正小标宋简体" w:cs="方正小标宋简体"/>
          <w:b/>
          <w:bCs/>
          <w:kern w:val="0"/>
          <w:sz w:val="72"/>
          <w:szCs w:val="7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岳阳县市场建设管理中心202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kern w:val="0"/>
          <w:sz w:val="72"/>
          <w:szCs w:val="72"/>
          <w:lang w:eastAsia="zh-CN"/>
        </w:rPr>
        <w:t>年</w:t>
      </w:r>
      <w:r>
        <w:rPr>
          <w:rFonts w:hint="eastAsia" w:ascii="微软雅黑" w:hAnsi="微软雅黑" w:eastAsia="微软雅黑" w:cs="微软雅黑"/>
          <w:kern w:val="0"/>
          <w:sz w:val="72"/>
          <w:szCs w:val="72"/>
        </w:rPr>
        <w:t>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kern w:val="0"/>
          <w:sz w:val="72"/>
          <w:szCs w:val="72"/>
        </w:rPr>
      </w:pPr>
      <w:r>
        <w:rPr>
          <w:rFonts w:hint="eastAsia" w:ascii="微软雅黑" w:hAnsi="微软雅黑" w:eastAsia="微软雅黑" w:cs="微软雅黑"/>
          <w:kern w:val="0"/>
          <w:sz w:val="72"/>
          <w:szCs w:val="72"/>
          <w:lang w:val="en-US" w:eastAsia="zh-CN"/>
        </w:rPr>
        <w:t>单位预算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 w:cs="黑体"/>
          <w:kern w:val="0"/>
          <w:sz w:val="44"/>
          <w:szCs w:val="44"/>
        </w:rPr>
      </w:pPr>
      <w:r>
        <w:rPr>
          <w:rFonts w:hint="eastAsia" w:ascii="黑体" w:hAnsi="黑体" w:eastAsia="黑体" w:cs="黑体"/>
          <w:kern w:val="0"/>
          <w:sz w:val="44"/>
          <w:szCs w:val="44"/>
        </w:rPr>
        <w:t>目录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ind w:firstLine="643" w:firstLineChars="200"/>
        <w:textAlignment w:val="auto"/>
        <w:rPr>
          <w:rFonts w:ascii="仿宋_GB2312" w:eastAsia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color w:val="auto"/>
          <w:kern w:val="0"/>
          <w:sz w:val="32"/>
          <w:szCs w:val="32"/>
        </w:rPr>
      </w:pPr>
      <w:r>
        <w:rPr>
          <w:rFonts w:hint="eastAsia" w:eastAsia="黑体" w:cs="黑体"/>
          <w:color w:val="auto"/>
          <w:kern w:val="0"/>
          <w:sz w:val="32"/>
          <w:szCs w:val="32"/>
        </w:rPr>
        <w:t>第一部分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黑体" w:cs="黑体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黑体" w:cs="黑体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color w:val="auto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单位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预算</w:t>
      </w:r>
      <w:r>
        <w:rPr>
          <w:rFonts w:hint="eastAsia" w:eastAsia="黑体" w:cs="黑体"/>
          <w:kern w:val="0"/>
          <w:sz w:val="32"/>
          <w:szCs w:val="32"/>
        </w:rPr>
        <w:t>公开表格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7、一般公共预算支出表</w:t>
      </w:r>
    </w:p>
    <w:p>
      <w:pPr>
        <w:widowControl/>
        <w:spacing w:line="600" w:lineRule="exact"/>
        <w:ind w:firstLine="640" w:firstLineChars="200"/>
        <w:jc w:val="left"/>
      </w:pP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一般公共预算基本支出表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、一般公共预算基本支出表-人员经费（工资福利支出）（按政府预算经济分类）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eastAsia="仿宋_GB2312"/>
          <w:sz w:val="32"/>
          <w:szCs w:val="32"/>
        </w:rPr>
        <w:t>、一般公共预算基本支出表-人员经费（工资福利支出）（按部门预算经济分类）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、一般公共预算基本支出表-人员经费（对个人和家庭的补助）（按政府预算经济分类）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、一般公共预算基本支出表-人员经费（对个人和家庭的补助）（按部门预算经济分类）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、一般公共预算基本支出表-</w:t>
      </w:r>
      <w:r>
        <w:rPr>
          <w:rFonts w:hint="eastAsia" w:eastAsia="仿宋_GB2312"/>
          <w:sz w:val="32"/>
          <w:szCs w:val="32"/>
          <w:lang w:eastAsia="zh-CN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5</w:t>
      </w:r>
      <w:r>
        <w:rPr>
          <w:rFonts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6</w:t>
      </w:r>
      <w:r>
        <w:rPr>
          <w:rFonts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7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、专项资金预算汇总表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项目支出</w:t>
      </w:r>
      <w:r>
        <w:rPr>
          <w:rFonts w:eastAsia="仿宋_GB2312"/>
          <w:sz w:val="32"/>
          <w:szCs w:val="32"/>
        </w:rPr>
        <w:t>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3" w:firstLineChars="200"/>
        <w:rPr>
          <w:rFonts w:hint="eastAsia"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注：以上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eastAsia="zh-CN"/>
        </w:rPr>
        <w:t>预算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公开</w:t>
      </w: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报表中，空表表示本</w:t>
      </w:r>
      <w:r>
        <w:rPr>
          <w:rFonts w:hint="eastAsia" w:eastAsia="仿宋_GB2312"/>
          <w:b/>
          <w:bCs w:val="0"/>
          <w:color w:val="auto"/>
          <w:kern w:val="0"/>
          <w:sz w:val="32"/>
          <w:szCs w:val="32"/>
          <w:lang w:val="en-US" w:eastAsia="zh-CN"/>
        </w:rPr>
        <w:t>单位</w:t>
      </w:r>
      <w:r>
        <w:rPr>
          <w:rFonts w:eastAsia="仿宋_GB2312"/>
          <w:b/>
          <w:bCs w:val="0"/>
          <w:color w:val="auto"/>
          <w:kern w:val="0"/>
          <w:sz w:val="32"/>
          <w:szCs w:val="32"/>
        </w:rPr>
        <w:t>无相关收支情况。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2024年单位预算</w:t>
      </w:r>
      <w:r>
        <w:rPr>
          <w:rFonts w:hint="eastAsia" w:ascii="黑体" w:hAnsi="黑体" w:eastAsia="黑体" w:cs="黑体"/>
          <w:kern w:val="0"/>
          <w:sz w:val="32"/>
          <w:szCs w:val="32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一、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单位</w:t>
      </w:r>
      <w:r>
        <w:rPr>
          <w:rFonts w:hint="eastAsia" w:ascii="黑体" w:hAnsi="黑体" w:eastAsia="黑体" w:cs="黑体"/>
          <w:kern w:val="0"/>
          <w:sz w:val="32"/>
          <w:szCs w:val="32"/>
        </w:rPr>
        <w:t>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（一）职能职责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岳阳县市场建设管理中心主要负责所辖市场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和超市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的经营管理及物业管理、市场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和超市的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开发和维修；提供交易场所和服务设施。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（二）机构设置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机关设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综合股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征收稽查股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、物业股、卫生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秩序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股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个股室。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有在编人数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48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人，退休2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人，临聘市场清洁人员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楷体_GB2312" w:hAnsi="楷体_GB2312" w:eastAsia="仿宋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包括一般公共预算、政府性基金、国有资本经营预算等财政拨款收入，以及经营收入、事业收入等单位资金。2024年本单位收入预算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543.99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万元，其中，一般公共预算拨款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543.99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万元，政府性基金预算拨款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万元，国有资本经营预算拨款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万元，财政专户管理资金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万元，上级补助收入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万元，事业单位经营收入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万元，上年结转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ascii="仿宋" w:hAnsi="仿宋" w:eastAsia="仿宋" w:cs="仿宋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见表2)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20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年没有政府性基金预算拨款和纳入专户管理的非税收入拨款收入，也没有使用政府性基金预算拨款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国有资本经营预算收入和纳入专户管理的非税收入拨款安排的支出，所以公开的附件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19（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国有资本经营预算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、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表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财政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专户管理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资金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预算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）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</w:rPr>
        <w:t>均为空。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收入较去年减少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52.28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因为有人员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退休和解聘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（二）支出预算</w:t>
      </w:r>
    </w:p>
    <w:p>
      <w:pPr>
        <w:widowControl/>
        <w:spacing w:line="600" w:lineRule="exact"/>
        <w:ind w:firstLine="627" w:firstLineChars="196"/>
        <w:jc w:val="left"/>
        <w:rPr>
          <w:rFonts w:hint="eastAsia" w:eastAsia="仿宋_GB2312" w:cs="仿宋_GB2312"/>
          <w:color w:val="auto"/>
          <w:kern w:val="0"/>
          <w:sz w:val="32"/>
          <w:szCs w:val="32"/>
        </w:rPr>
      </w:pPr>
      <w:r>
        <w:rPr>
          <w:rFonts w:hint="eastAsia" w:eastAsia="仿宋_GB2312"/>
          <w:color w:val="auto"/>
          <w:sz w:val="32"/>
          <w:szCs w:val="32"/>
          <w:lang w:eastAsia="zh-CN"/>
        </w:rPr>
        <w:t>2024年本单位</w:t>
      </w:r>
      <w:r>
        <w:rPr>
          <w:rFonts w:eastAsia="仿宋_GB2312"/>
          <w:color w:val="auto"/>
          <w:sz w:val="32"/>
          <w:szCs w:val="32"/>
        </w:rPr>
        <w:t>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543.99</w:t>
      </w:r>
      <w:r>
        <w:rPr>
          <w:rFonts w:eastAsia="仿宋_GB2312"/>
          <w:color w:val="auto"/>
          <w:sz w:val="32"/>
          <w:szCs w:val="32"/>
        </w:rPr>
        <w:t>万元，其中，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社会保障和就业支出（类）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51.51</w:t>
      </w:r>
      <w:r>
        <w:rPr>
          <w:rFonts w:eastAsia="仿宋_GB2312"/>
          <w:color w:val="auto"/>
          <w:sz w:val="32"/>
          <w:szCs w:val="32"/>
        </w:rPr>
        <w:t>万元，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卫生健康支出（类）28.78万元，商业服务业等支出（类）427.34万元，住房保障支出（类）36.36万元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见表6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）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。</w:t>
      </w:r>
      <w:r>
        <w:rPr>
          <w:rFonts w:hint="eastAsia" w:eastAsia="仿宋_GB2312"/>
          <w:color w:val="auto"/>
          <w:sz w:val="32"/>
          <w:szCs w:val="32"/>
        </w:rPr>
        <w:t>支出较去年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52.28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其中</w:t>
      </w:r>
      <w:r>
        <w:rPr>
          <w:rFonts w:hint="eastAsia" w:eastAsia="仿宋_GB2312"/>
          <w:color w:val="auto"/>
          <w:sz w:val="32"/>
          <w:szCs w:val="32"/>
        </w:rPr>
        <w:t>基本支出</w:t>
      </w:r>
      <w:r>
        <w:rPr>
          <w:rFonts w:hint="eastAsia" w:eastAsia="仿宋_GB2312"/>
          <w:color w:val="auto"/>
          <w:sz w:val="32"/>
          <w:szCs w:val="32"/>
          <w:lang w:eastAsia="zh-CN"/>
        </w:rPr>
        <w:t>减少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52.28</w:t>
      </w:r>
      <w:r>
        <w:rPr>
          <w:rFonts w:hint="eastAsia" w:eastAsia="仿宋_GB2312"/>
          <w:color w:val="auto"/>
          <w:sz w:val="32"/>
          <w:szCs w:val="32"/>
        </w:rPr>
        <w:t>万元，项目支出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增加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/>
          <w:color w:val="auto"/>
          <w:sz w:val="32"/>
          <w:szCs w:val="32"/>
        </w:rPr>
        <w:t>万元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（数据来源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见表7、16、19、20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，将其基本支出、项目支出相加）</w:t>
      </w:r>
      <w:r>
        <w:rPr>
          <w:rFonts w:hint="eastAsia" w:eastAsia="仿宋_GB2312"/>
          <w:color w:val="auto"/>
          <w:sz w:val="32"/>
          <w:szCs w:val="32"/>
          <w:lang w:eastAsia="zh-CN"/>
        </w:rPr>
        <w:t>，其中基本支出较上年减少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主要是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因为有人员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eastAsia="zh-CN"/>
        </w:rPr>
        <w:t>退休和解聘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一般公共预算拨款支出预算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543.99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万元，其中</w:t>
      </w:r>
      <w:r>
        <w:rPr>
          <w:rFonts w:eastAsia="仿宋_GB2312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社会保障和就业支出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51.51万元，</w:t>
      </w:r>
      <w:r>
        <w:rPr>
          <w:rFonts w:hint="eastAsia" w:eastAsia="仿宋_GB2312"/>
          <w:color w:val="auto"/>
          <w:sz w:val="32"/>
          <w:szCs w:val="32"/>
          <w:lang w:eastAsia="zh-CN"/>
        </w:rPr>
        <w:t>占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9.47%，卫生健康支出28.78万元，占5.29%，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商业服务业支出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427.34万元，占78.56%，住房保障支出36.36万元，占6.68%。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见表7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）具体安排情况如下：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（一）基本支出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：2024年基本支出年初预算数为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512.99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>
      <w:pPr>
        <w:widowControl/>
        <w:spacing w:line="600" w:lineRule="exact"/>
        <w:ind w:firstLine="660"/>
        <w:jc w:val="left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（二）项目支出：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2024年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项目支出年初预算数为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eastAsia="仿宋_GB2312"/>
          <w:b/>
          <w:bCs/>
          <w:color w:val="auto"/>
          <w:sz w:val="32"/>
          <w:szCs w:val="32"/>
          <w:lang w:val="en-US" w:eastAsia="zh-CN"/>
        </w:rPr>
        <w:t>见表5</w:t>
      </w:r>
      <w:r>
        <w:rPr>
          <w:rFonts w:hint="eastAsia" w:ascii="Times New Roman" w:hAnsi="Times New Roman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，是指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为完成特定行政工作任务或事业发展目标而发生的支出，包括有关业务工作经费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、</w:t>
      </w:r>
      <w:r>
        <w:rPr>
          <w:rFonts w:hint="eastAsia" w:eastAsia="仿宋_GB2312"/>
          <w:color w:val="auto"/>
          <w:sz w:val="32"/>
          <w:szCs w:val="32"/>
        </w:rPr>
        <w:t>运行维护经费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等</w:t>
      </w:r>
      <w:r>
        <w:rPr>
          <w:rFonts w:hint="eastAsia" w:eastAsia="仿宋_GB2312"/>
          <w:color w:val="auto"/>
          <w:sz w:val="32"/>
          <w:szCs w:val="32"/>
        </w:rPr>
        <w:t>。其中：业务工作经费支出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31</w:t>
      </w:r>
      <w:r>
        <w:rPr>
          <w:rFonts w:hint="eastAsia" w:eastAsia="仿宋_GB2312"/>
          <w:color w:val="auto"/>
          <w:sz w:val="32"/>
          <w:szCs w:val="32"/>
        </w:rPr>
        <w:t>万元，主要用于</w:t>
      </w:r>
      <w:r>
        <w:rPr>
          <w:rFonts w:hint="eastAsia" w:eastAsia="仿宋_GB2312"/>
          <w:color w:val="auto"/>
          <w:sz w:val="32"/>
          <w:szCs w:val="32"/>
          <w:lang w:eastAsia="zh-CN"/>
        </w:rPr>
        <w:t>市场建设管理</w:t>
      </w:r>
      <w:r>
        <w:rPr>
          <w:rFonts w:hint="eastAsia" w:eastAsia="仿宋_GB2312"/>
          <w:color w:val="auto"/>
          <w:sz w:val="32"/>
          <w:szCs w:val="32"/>
        </w:rPr>
        <w:t>等方面</w:t>
      </w:r>
      <w:r>
        <w:rPr>
          <w:rFonts w:hint="eastAsia" w:eastAsia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2024年度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</w:rPr>
        <w:t>无政府性基金安排的支出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所以公开的附件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16-18（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政府性基金预算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eastAsia="仿宋_GB2312" w:cs="仿宋_GB2312"/>
          <w:i w:val="0"/>
          <w:iCs w:val="0"/>
          <w:color w:val="auto"/>
          <w:kern w:val="0"/>
          <w:sz w:val="32"/>
          <w:szCs w:val="32"/>
          <w:u w:val="none"/>
        </w:rPr>
        <w:t>为空。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 w:cs="仿宋_GB2312"/>
          <w:kern w:val="0"/>
          <w:sz w:val="32"/>
          <w:szCs w:val="32"/>
          <w:lang w:eastAsia="zh-CN"/>
        </w:rPr>
        <w:t>本单位202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4年</w:t>
      </w:r>
      <w:r>
        <w:rPr>
          <w:rFonts w:hint="eastAsia" w:ascii="仿宋" w:hAnsi="仿宋" w:eastAsia="仿宋" w:cs="仿宋"/>
          <w:kern w:val="0"/>
          <w:sz w:val="32"/>
          <w:szCs w:val="32"/>
        </w:rPr>
        <w:t>机关运行经费当年一般公共预算拨款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25.92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（数据来源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见表14，表14中公用经费26.64万元包含工作人员公务交通补贴0.72万元和机关运行经费25.92万元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）,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比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上一年减少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1.8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万元，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6.49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%。主要原因是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人员减少，压缩了公用经费支出。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本单位2024年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“三公”经费预算数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万元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数据来源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见表15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，其中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，公务接待费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万元，因公出国（境）费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万元，公务用车购置及运行费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其中公务用车购置费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万元，公务用车运行费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万元。比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  <w:t>减少</w:t>
      </w:r>
      <w:r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val="en-US" w:eastAsia="zh-CN"/>
        </w:rPr>
        <w:t>1.6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降低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100%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主要原因是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认真贯彻落实中央八项规定精神和厉行节约要求，从严控制“三公”经费开支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（三）一般性支出情况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本单位2024培训费预算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万元</w:t>
      </w:r>
      <w:r>
        <w:rPr>
          <w:rFonts w:hint="eastAsia" w:ascii="仿宋" w:hAnsi="仿宋" w:eastAsia="仿宋" w:cs="仿宋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（数据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来源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见表14会议费+培训费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olor w:val="auto"/>
          <w:kern w:val="0"/>
          <w:sz w:val="32"/>
          <w:szCs w:val="32"/>
          <w:u w:val="none"/>
          <w:lang w:val="en-US" w:eastAsia="zh-CN"/>
        </w:rPr>
        <w:t>）。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lang w:eastAsia="zh-CN"/>
        </w:rPr>
        <w:t>拟开展一次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培训，人数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人，内容为对事业单位工作人员在岗培训和对专业技术人员的业务培训。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2024年度本单位未计划举办节庆、晚会、论坛、赛事活动。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eastAsia="zh-CN"/>
        </w:rPr>
        <w:t>（四）政府采购情况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本单位2024年政府采购预算总额23.56万元，其中工程类0万元，货物类2.56万元，服务类21万元。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（五）国有资产占有使用及新增资产配置情况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eastAsia="仿宋_GB2312" w:cs="仿宋_GB2312"/>
          <w:color w:val="auto"/>
          <w:kern w:val="0"/>
          <w:sz w:val="32"/>
          <w:szCs w:val="32"/>
        </w:rPr>
        <w:t>截至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上一年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12月底，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本单位</w:t>
      </w:r>
      <w:r>
        <w:rPr>
          <w:rFonts w:hint="eastAsia" w:eastAsia="仿宋_GB2312" w:cs="仿宋_GB2312"/>
          <w:color w:val="auto"/>
          <w:kern w:val="0"/>
          <w:sz w:val="32"/>
          <w:szCs w:val="32"/>
        </w:rPr>
        <w:t>共有车</w:t>
      </w:r>
      <w:r>
        <w:rPr>
          <w:rFonts w:hint="eastAsia" w:eastAsia="仿宋_GB2312" w:cs="仿宋_GB2312"/>
          <w:kern w:val="0"/>
          <w:sz w:val="32"/>
          <w:szCs w:val="32"/>
        </w:rPr>
        <w:t>辆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辆，其中领导干部用车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辆，一般公务用车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辆，其他用车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辆。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价值50万元以上通用设备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台，</w:t>
      </w:r>
      <w:r>
        <w:rPr>
          <w:rFonts w:hint="eastAsia" w:eastAsia="仿宋_GB2312" w:cs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 w:cs="仿宋_GB2312"/>
          <w:kern w:val="0"/>
          <w:sz w:val="32"/>
          <w:szCs w:val="32"/>
        </w:rPr>
        <w:t>价值100万元以上专用设备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0</w:t>
      </w:r>
      <w:r>
        <w:rPr>
          <w:rFonts w:hint="eastAsia" w:eastAsia="仿宋_GB2312" w:cs="仿宋_GB2312"/>
          <w:kern w:val="0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 w:cs="仿宋_GB2312"/>
          <w:color w:val="000000" w:themeColor="text1"/>
          <w:kern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 w:cs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2024年度本单位未计划处置或新增车辆、设备等。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（六）预算绩效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val="en-US" w:eastAsia="zh-CN"/>
        </w:rPr>
        <w:t>目标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eastAsia="仿宋_GB2312"/>
          <w:bCs/>
          <w:kern w:val="0"/>
          <w:sz w:val="32"/>
          <w:szCs w:val="32"/>
          <w:lang w:eastAsia="zh-CN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2024年单位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543.99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512.99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31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详见文尾附表中单位预算公开表格的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val="en-US" w:eastAsia="zh-CN"/>
        </w:rPr>
        <w:t>表22-23</w:t>
      </w:r>
      <w:r>
        <w:rPr>
          <w:rFonts w:hint="eastAsia" w:eastAsia="仿宋_GB2312" w:cs="仿宋_GB2312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kern w:val="0"/>
          <w:sz w:val="32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1、机关运行经费：是指各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</w:rPr>
        <w:t>2、“三公”经费：纳入财政预算管理的“三公“经费，是指用一般公共预算拨款安排的公务接待费、公务用车购置及运行维护费和因公出国（境）费。其中，公务接待费反映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按规定开支的各类公务接待支出；公务用车购置及运行费反映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公务用车车辆购置支出（含车辆购置税），以及燃料费、维修费、保险费等支出；因公出国（境）费反映</w:t>
      </w:r>
      <w:r>
        <w:rPr>
          <w:rFonts w:hint="eastAsia" w:eastAsia="仿宋_GB2312"/>
          <w:kern w:val="0"/>
          <w:sz w:val="32"/>
          <w:szCs w:val="32"/>
          <w:lang w:eastAsia="zh-CN"/>
        </w:rPr>
        <w:t>单位</w:t>
      </w:r>
      <w:r>
        <w:rPr>
          <w:rFonts w:hint="eastAsia" w:eastAsia="仿宋_GB2312"/>
          <w:kern w:val="0"/>
          <w:sz w:val="32"/>
          <w:szCs w:val="32"/>
        </w:rPr>
        <w:t>公务出国（境）的国际旅费、国外城市间交通费、食宿费等支出。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eastAsia="黑体" w:cs="黑体"/>
          <w:kern w:val="0"/>
          <w:sz w:val="32"/>
          <w:szCs w:val="32"/>
        </w:rPr>
        <w:br w:type="page"/>
      </w:r>
      <w:r>
        <w:rPr>
          <w:rFonts w:hint="eastAsia" w:eastAsia="黑体" w:cs="黑体"/>
          <w:kern w:val="0"/>
          <w:sz w:val="32"/>
          <w:szCs w:val="32"/>
        </w:rPr>
        <w:t>第二部分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黑体" w:cs="黑体"/>
          <w:kern w:val="0"/>
          <w:sz w:val="32"/>
          <w:szCs w:val="32"/>
          <w:lang w:eastAsia="zh-CN"/>
        </w:rPr>
        <w:t>单位预算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公开</w:t>
      </w:r>
      <w:r>
        <w:rPr>
          <w:rFonts w:hint="eastAsia" w:eastAsia="黑体" w:cs="黑体"/>
          <w:kern w:val="0"/>
          <w:sz w:val="32"/>
          <w:szCs w:val="32"/>
        </w:rPr>
        <w:t>表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0880" w:firstLineChars="3400"/>
        <w:textAlignment w:val="auto"/>
        <w:rPr>
          <w:rFonts w:hint="eastAsia" w:ascii="黑体" w:hAnsi="黑体" w:eastAsia="黑体" w:cs="黑体"/>
          <w:color w:val="0000FF"/>
          <w:kern w:val="0"/>
          <w:sz w:val="32"/>
          <w:szCs w:val="32"/>
        </w:rPr>
      </w:pPr>
      <w:r>
        <w:rPr>
          <w:rFonts w:hint="eastAsia" w:eastAsia="黑体" w:cs="黑体"/>
          <w:kern w:val="0"/>
          <w:sz w:val="32"/>
          <w:szCs w:val="32"/>
          <w:lang w:eastAsia="zh-CN"/>
        </w:rPr>
        <w:t>附件：</w:t>
      </w:r>
      <w:r>
        <w:rPr>
          <w:rFonts w:hint="eastAsia" w:eastAsia="黑体" w:cs="黑体"/>
          <w:kern w:val="0"/>
          <w:sz w:val="32"/>
          <w:szCs w:val="32"/>
          <w:lang w:val="en-US" w:eastAsia="zh-CN"/>
        </w:rPr>
        <w:t>岳阳县市场建设管理中心单位预算公开表格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600" w:lineRule="exact"/>
        <w:ind w:firstLine="11520" w:firstLineChars="3600"/>
        <w:textAlignment w:val="auto"/>
        <w:rPr>
          <w:rFonts w:hint="default" w:eastAsia="黑体" w:cs="黑体"/>
          <w:kern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72FA73-4FE9-4979-815A-2DED246472D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C2EAA891-4E13-4DBC-9C81-A9C8DF50EA57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09B519E8-86BA-4CE2-95B0-3D8E22ECFA19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4" w:fontKey="{384259BE-654C-4E3C-8C64-6AF35558D0D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4D2064E-B537-472D-909D-A7359A981CE4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6" w:fontKey="{EF9207BC-E96E-48EA-A787-F583B2DF26AC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YTVjYTIyMmQ2ZGZiNzljNzFhMTAyNzRlODllNTAifQ=="/>
  </w:docVars>
  <w:rsids>
    <w:rsidRoot w:val="00CA5057"/>
    <w:rsid w:val="00001697"/>
    <w:rsid w:val="000034D6"/>
    <w:rsid w:val="0006270B"/>
    <w:rsid w:val="00065DA2"/>
    <w:rsid w:val="00117900"/>
    <w:rsid w:val="001336FC"/>
    <w:rsid w:val="00193395"/>
    <w:rsid w:val="001A0136"/>
    <w:rsid w:val="001A3382"/>
    <w:rsid w:val="001A3861"/>
    <w:rsid w:val="001A6377"/>
    <w:rsid w:val="001C6E63"/>
    <w:rsid w:val="001D154A"/>
    <w:rsid w:val="001F365A"/>
    <w:rsid w:val="00203B0A"/>
    <w:rsid w:val="00207852"/>
    <w:rsid w:val="0025517E"/>
    <w:rsid w:val="00270E85"/>
    <w:rsid w:val="002B0968"/>
    <w:rsid w:val="002C117B"/>
    <w:rsid w:val="002F5747"/>
    <w:rsid w:val="002F57F8"/>
    <w:rsid w:val="00344D3D"/>
    <w:rsid w:val="003457B4"/>
    <w:rsid w:val="00355284"/>
    <w:rsid w:val="003C0AE2"/>
    <w:rsid w:val="003C0E16"/>
    <w:rsid w:val="003C62F5"/>
    <w:rsid w:val="003E6642"/>
    <w:rsid w:val="00452611"/>
    <w:rsid w:val="00464A20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4440F"/>
    <w:rsid w:val="005E6320"/>
    <w:rsid w:val="006137D9"/>
    <w:rsid w:val="00617392"/>
    <w:rsid w:val="00637664"/>
    <w:rsid w:val="00687143"/>
    <w:rsid w:val="00695750"/>
    <w:rsid w:val="006C1259"/>
    <w:rsid w:val="006E013D"/>
    <w:rsid w:val="006E335E"/>
    <w:rsid w:val="006F2FD2"/>
    <w:rsid w:val="00714685"/>
    <w:rsid w:val="00754296"/>
    <w:rsid w:val="00755471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143CB"/>
    <w:rsid w:val="0093410B"/>
    <w:rsid w:val="00990520"/>
    <w:rsid w:val="00995AF1"/>
    <w:rsid w:val="009D1CA3"/>
    <w:rsid w:val="009D450C"/>
    <w:rsid w:val="009E5041"/>
    <w:rsid w:val="009E7921"/>
    <w:rsid w:val="00A0350C"/>
    <w:rsid w:val="00A03C0E"/>
    <w:rsid w:val="00A867C6"/>
    <w:rsid w:val="00AA481C"/>
    <w:rsid w:val="00AB576D"/>
    <w:rsid w:val="00AB6861"/>
    <w:rsid w:val="00AC160E"/>
    <w:rsid w:val="00B0403C"/>
    <w:rsid w:val="00B21CBD"/>
    <w:rsid w:val="00B366B4"/>
    <w:rsid w:val="00B82665"/>
    <w:rsid w:val="00BC04D7"/>
    <w:rsid w:val="00BE4229"/>
    <w:rsid w:val="00BF5A08"/>
    <w:rsid w:val="00C36022"/>
    <w:rsid w:val="00C5316A"/>
    <w:rsid w:val="00CA5057"/>
    <w:rsid w:val="00CB1E6F"/>
    <w:rsid w:val="00CB5C8F"/>
    <w:rsid w:val="00CF2BA3"/>
    <w:rsid w:val="00D1730A"/>
    <w:rsid w:val="00D279D7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4E3790E"/>
    <w:rsid w:val="069419C6"/>
    <w:rsid w:val="08281851"/>
    <w:rsid w:val="0A717628"/>
    <w:rsid w:val="0AF15A72"/>
    <w:rsid w:val="0B6A4871"/>
    <w:rsid w:val="0C0C6008"/>
    <w:rsid w:val="0C4F7AFC"/>
    <w:rsid w:val="0D5B6622"/>
    <w:rsid w:val="0E064421"/>
    <w:rsid w:val="0ED234CD"/>
    <w:rsid w:val="0F654CC7"/>
    <w:rsid w:val="0F9E0A26"/>
    <w:rsid w:val="110805BA"/>
    <w:rsid w:val="14903A2F"/>
    <w:rsid w:val="14B46A8F"/>
    <w:rsid w:val="15D9563A"/>
    <w:rsid w:val="17A31566"/>
    <w:rsid w:val="19420C90"/>
    <w:rsid w:val="19D5374E"/>
    <w:rsid w:val="1AB27BAD"/>
    <w:rsid w:val="1AC31CB7"/>
    <w:rsid w:val="1B3474B9"/>
    <w:rsid w:val="1BEF6124"/>
    <w:rsid w:val="1E5C162A"/>
    <w:rsid w:val="1EAD2225"/>
    <w:rsid w:val="1F1F1226"/>
    <w:rsid w:val="23A10B26"/>
    <w:rsid w:val="26570D53"/>
    <w:rsid w:val="27D848B8"/>
    <w:rsid w:val="29883BEF"/>
    <w:rsid w:val="2BAA609E"/>
    <w:rsid w:val="2C2602E1"/>
    <w:rsid w:val="2CDB483B"/>
    <w:rsid w:val="2D362920"/>
    <w:rsid w:val="2E821F20"/>
    <w:rsid w:val="2FC40521"/>
    <w:rsid w:val="2FEA5603"/>
    <w:rsid w:val="32406977"/>
    <w:rsid w:val="33010C9A"/>
    <w:rsid w:val="3405688C"/>
    <w:rsid w:val="34E11E02"/>
    <w:rsid w:val="372907BF"/>
    <w:rsid w:val="388764A3"/>
    <w:rsid w:val="38912AC0"/>
    <w:rsid w:val="3AC737BA"/>
    <w:rsid w:val="3BC82B6A"/>
    <w:rsid w:val="3E4D3BDD"/>
    <w:rsid w:val="3FEF6B9B"/>
    <w:rsid w:val="419B49AF"/>
    <w:rsid w:val="41DA7DB9"/>
    <w:rsid w:val="447637E8"/>
    <w:rsid w:val="450103AD"/>
    <w:rsid w:val="4541586E"/>
    <w:rsid w:val="45BB5097"/>
    <w:rsid w:val="492902BF"/>
    <w:rsid w:val="49EF4858"/>
    <w:rsid w:val="4AE9742D"/>
    <w:rsid w:val="4BA67C06"/>
    <w:rsid w:val="4CA46ED7"/>
    <w:rsid w:val="4D013E21"/>
    <w:rsid w:val="4D8D7228"/>
    <w:rsid w:val="4DDD2C7F"/>
    <w:rsid w:val="4E8830AE"/>
    <w:rsid w:val="4F1826FF"/>
    <w:rsid w:val="5069668C"/>
    <w:rsid w:val="506C2AB0"/>
    <w:rsid w:val="51FD681E"/>
    <w:rsid w:val="53344C63"/>
    <w:rsid w:val="53F50503"/>
    <w:rsid w:val="55295806"/>
    <w:rsid w:val="55D3446A"/>
    <w:rsid w:val="593F63D3"/>
    <w:rsid w:val="5B423ECD"/>
    <w:rsid w:val="5B885B4D"/>
    <w:rsid w:val="5CDA4DA9"/>
    <w:rsid w:val="605B66C8"/>
    <w:rsid w:val="61586B0D"/>
    <w:rsid w:val="62820F98"/>
    <w:rsid w:val="62873CEC"/>
    <w:rsid w:val="64035B71"/>
    <w:rsid w:val="64DB31B9"/>
    <w:rsid w:val="64FF0C2E"/>
    <w:rsid w:val="65964F64"/>
    <w:rsid w:val="676167D7"/>
    <w:rsid w:val="681842B0"/>
    <w:rsid w:val="6AE87D9C"/>
    <w:rsid w:val="6BCA69F3"/>
    <w:rsid w:val="6F8561D3"/>
    <w:rsid w:val="70271B5B"/>
    <w:rsid w:val="715E0A8A"/>
    <w:rsid w:val="71AC0C24"/>
    <w:rsid w:val="773C67F0"/>
    <w:rsid w:val="785B5D23"/>
    <w:rsid w:val="79CE0777"/>
    <w:rsid w:val="7AAC4F5C"/>
    <w:rsid w:val="7CA62EE2"/>
    <w:rsid w:val="7DAA32A9"/>
    <w:rsid w:val="7DFA5EB0"/>
    <w:rsid w:val="7E3E7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99"/>
    <w:pPr>
      <w:spacing w:before="120" w:after="200" w:line="276" w:lineRule="auto"/>
    </w:pPr>
    <w:rPr>
      <w:rFonts w:ascii="Arial" w:hAnsi="Arial"/>
      <w:sz w:val="24"/>
    </w:rPr>
  </w:style>
  <w:style w:type="paragraph" w:styleId="3">
    <w:name w:val="Body Text"/>
    <w:basedOn w:val="1"/>
    <w:link w:val="11"/>
    <w:qFormat/>
    <w:uiPriority w:val="0"/>
    <w:pPr>
      <w:spacing w:after="120"/>
    </w:pPr>
  </w:style>
  <w:style w:type="paragraph" w:styleId="4">
    <w:name w:val="Date"/>
    <w:basedOn w:val="1"/>
    <w:next w:val="1"/>
    <w:link w:val="12"/>
    <w:qFormat/>
    <w:uiPriority w:val="0"/>
    <w:pPr>
      <w:ind w:left="100" w:leftChars="2500"/>
    </w:pPr>
  </w:style>
  <w:style w:type="paragraph" w:styleId="5">
    <w:name w:val="Balloon Text"/>
    <w:basedOn w:val="1"/>
    <w:link w:val="13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1">
    <w:name w:val="Body Text Char"/>
    <w:basedOn w:val="9"/>
    <w:link w:val="3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2">
    <w:name w:val="Date Char"/>
    <w:basedOn w:val="9"/>
    <w:link w:val="4"/>
    <w:qFormat/>
    <w:locked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13">
    <w:name w:val="Balloon Text Char"/>
    <w:basedOn w:val="9"/>
    <w:link w:val="5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4">
    <w:name w:val="Footer Char"/>
    <w:basedOn w:val="9"/>
    <w:link w:val="6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5">
    <w:name w:val="Header Char"/>
    <w:basedOn w:val="9"/>
    <w:link w:val="7"/>
    <w:qFormat/>
    <w:locked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6">
    <w:name w:val="表格内容"/>
    <w:basedOn w:val="3"/>
    <w:qFormat/>
    <w:uiPriority w:val="0"/>
    <w:pPr>
      <w:suppressLineNumbers/>
      <w:suppressAutoHyphens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9</Pages>
  <Words>2687</Words>
  <Characters>2902</Characters>
  <Lines>38</Lines>
  <Paragraphs>10</Paragraphs>
  <TotalTime>0</TotalTime>
  <ScaleCrop>false</ScaleCrop>
  <LinksUpToDate>false</LinksUpToDate>
  <CharactersWithSpaces>2925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2018-08-09T00:21:00Z</dcterms:created>
  <dc:creator>周继恩 10.105.113.143</dc:creator>
  <cp:lastModifiedBy>Administrator</cp:lastModifiedBy>
  <cp:lastPrinted>2019-05-05T07:55:00Z</cp:lastPrinted>
  <dcterms:modified xsi:type="dcterms:W3CDTF">2024-03-13T02:57:18Z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76AD9678C1BE4ADD903EC68B8539919F_13</vt:lpwstr>
  </property>
</Properties>
</file>