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72"/>
          <w:szCs w:val="7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kern w:val="0"/>
          <w:sz w:val="72"/>
          <w:szCs w:val="72"/>
        </w:rPr>
      </w:pPr>
      <w:r>
        <w:rPr>
          <w:rFonts w:hint="eastAsia" w:ascii="微软雅黑" w:hAnsi="微软雅黑" w:eastAsia="微软雅黑" w:cs="微软雅黑"/>
          <w:kern w:val="0"/>
          <w:sz w:val="72"/>
          <w:szCs w:val="72"/>
          <w:lang w:eastAsia="zh-CN"/>
        </w:rPr>
        <w:t>岳阳县旅游开发中心202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eastAsia="zh-CN"/>
        </w:rPr>
        <w:t>年</w:t>
      </w:r>
      <w:r>
        <w:rPr>
          <w:rFonts w:hint="eastAsia" w:ascii="微软雅黑" w:hAnsi="微软雅黑" w:eastAsia="微软雅黑" w:cs="微软雅黑"/>
          <w:kern w:val="0"/>
          <w:sz w:val="72"/>
          <w:szCs w:val="72"/>
        </w:rPr>
        <w:t>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kern w:val="0"/>
          <w:sz w:val="72"/>
          <w:szCs w:val="72"/>
        </w:rPr>
      </w:pP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单位预算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0" w:firstLineChars="200"/>
        <w:jc w:val="center"/>
        <w:textAlignment w:val="auto"/>
        <w:rPr>
          <w:rFonts w:hint="eastAsia" w:ascii="黑体" w:hAnsi="黑体" w:eastAsia="黑体" w:cs="黑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0" w:firstLineChars="200"/>
        <w:jc w:val="center"/>
        <w:textAlignment w:val="auto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643" w:firstLineChars="200"/>
        <w:textAlignment w:val="auto"/>
        <w:rPr>
          <w:rFonts w:ascii="仿宋_GB2312" w:eastAsia="仿宋_GB2312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color w:val="auto"/>
          <w:kern w:val="0"/>
          <w:sz w:val="32"/>
          <w:szCs w:val="32"/>
        </w:rPr>
      </w:pPr>
      <w:r>
        <w:rPr>
          <w:rFonts w:hint="eastAsia" w:eastAsia="黑体" w:cs="黑体"/>
          <w:color w:val="auto"/>
          <w:kern w:val="0"/>
          <w:sz w:val="32"/>
          <w:szCs w:val="32"/>
        </w:rPr>
        <w:t>第一部分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2024年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>单位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预算</w:t>
      </w:r>
      <w:r>
        <w:rPr>
          <w:rFonts w:hint="eastAsia" w:eastAsia="黑体" w:cs="黑体"/>
          <w:color w:val="auto"/>
          <w:kern w:val="0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t>第二部分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 xml:space="preserve">  单位</w:t>
      </w:r>
      <w:r>
        <w:rPr>
          <w:rFonts w:hint="eastAsia" w:eastAsia="黑体" w:cs="黑体"/>
          <w:kern w:val="0"/>
          <w:sz w:val="32"/>
          <w:szCs w:val="32"/>
          <w:lang w:eastAsia="zh-CN"/>
        </w:rPr>
        <w:t>预算</w:t>
      </w:r>
      <w:r>
        <w:rPr>
          <w:rFonts w:hint="eastAsia" w:eastAsia="黑体" w:cs="黑体"/>
          <w:kern w:val="0"/>
          <w:sz w:val="32"/>
          <w:szCs w:val="32"/>
        </w:rPr>
        <w:t>公开表格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2、收入总表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3、支出总表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4、支出预算分类汇总表（按政府预算经济分类）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5、支出预算分类汇总表（按部门预算经济分类）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6、财政拨款收支总表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7、一般公共预算支出表</w:t>
      </w:r>
    </w:p>
    <w:p>
      <w:pPr>
        <w:widowControl/>
        <w:spacing w:line="600" w:lineRule="exact"/>
        <w:ind w:firstLine="640" w:firstLineChars="200"/>
        <w:jc w:val="left"/>
      </w:pP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一般公共预算基本支出表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、一般公共预算基本支出表-人员经费（工资福利支出）（按政府预算经济分类）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eastAsia="仿宋_GB2312"/>
          <w:sz w:val="32"/>
          <w:szCs w:val="32"/>
        </w:rPr>
        <w:t>、一般公共预算基本支出表-人员经费（工资福利支出）（按部门预算经济分类）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、一般公共预算基本支出表-人员经费（对个人和家庭的补助）（按政府预算经济分类）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、一般公共预算基本支出表-人员经费（对个人和家庭的补助）（按部门预算经济分类）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、一般公共预算基本支出表-</w:t>
      </w:r>
      <w:r>
        <w:rPr>
          <w:rFonts w:hint="eastAsia" w:eastAsia="仿宋_GB2312"/>
          <w:sz w:val="32"/>
          <w:szCs w:val="32"/>
          <w:lang w:eastAsia="zh-CN"/>
        </w:rPr>
        <w:t>公用</w:t>
      </w:r>
      <w:r>
        <w:rPr>
          <w:rFonts w:eastAsia="仿宋_GB2312"/>
          <w:sz w:val="32"/>
          <w:szCs w:val="32"/>
        </w:rPr>
        <w:t>经费（商品和服务支出）（按政府预算经济分类）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、一般公共预算基本支出表-</w:t>
      </w:r>
      <w:r>
        <w:rPr>
          <w:rFonts w:hint="eastAsia" w:eastAsia="仿宋_GB2312"/>
          <w:sz w:val="32"/>
          <w:szCs w:val="32"/>
          <w:lang w:eastAsia="zh-CN"/>
        </w:rPr>
        <w:t>公用</w:t>
      </w:r>
      <w:r>
        <w:rPr>
          <w:rFonts w:eastAsia="仿宋_GB2312"/>
          <w:sz w:val="32"/>
          <w:szCs w:val="32"/>
        </w:rPr>
        <w:t>经费（商品和服务支出）（按部门预算经济分类）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、一般公共预算“三公”经费支出表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eastAsia="仿宋_GB2312"/>
          <w:sz w:val="32"/>
          <w:szCs w:val="32"/>
        </w:rPr>
        <w:t>、政府性基金预算支出表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eastAsia="仿宋_GB2312"/>
          <w:sz w:val="32"/>
          <w:szCs w:val="32"/>
        </w:rPr>
        <w:t>、政府性基金预算支出分类汇总表（按政府预算经济分类）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、政府性基金预算支出分类汇总表（按部门预算经济分类）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、国有资本经营预算支出表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、财政专户管理资金预算支出表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、专项资金预算汇总表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项目支出</w:t>
      </w:r>
      <w:r>
        <w:rPr>
          <w:rFonts w:eastAsia="仿宋_GB2312"/>
          <w:sz w:val="32"/>
          <w:szCs w:val="32"/>
        </w:rPr>
        <w:t>绩效目标表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、部门整体支出绩效目标表</w:t>
      </w:r>
    </w:p>
    <w:p>
      <w:pPr>
        <w:widowControl/>
        <w:spacing w:line="600" w:lineRule="exact"/>
        <w:ind w:firstLine="643" w:firstLineChars="200"/>
        <w:rPr>
          <w:rFonts w:hint="eastAsia" w:eastAsia="仿宋_GB2312" w:cs="仿宋_GB2312"/>
          <w:color w:val="FF0000"/>
          <w:kern w:val="0"/>
          <w:sz w:val="32"/>
          <w:szCs w:val="32"/>
        </w:rPr>
      </w:pPr>
      <w:r>
        <w:rPr>
          <w:rFonts w:eastAsia="仿宋_GB2312"/>
          <w:b/>
          <w:bCs w:val="0"/>
          <w:color w:val="FF0000"/>
          <w:kern w:val="0"/>
          <w:sz w:val="32"/>
          <w:szCs w:val="32"/>
        </w:rPr>
        <w:t>注：以上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val="en-US" w:eastAsia="zh-CN"/>
        </w:rPr>
        <w:t>单位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eastAsia="zh-CN"/>
        </w:rPr>
        <w:t>预算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val="en-US" w:eastAsia="zh-CN"/>
        </w:rPr>
        <w:t>公开</w:t>
      </w:r>
      <w:r>
        <w:rPr>
          <w:rFonts w:eastAsia="仿宋_GB2312"/>
          <w:b/>
          <w:bCs w:val="0"/>
          <w:color w:val="FF0000"/>
          <w:kern w:val="0"/>
          <w:sz w:val="32"/>
          <w:szCs w:val="32"/>
        </w:rPr>
        <w:t>报表中，空表表示本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val="en-US" w:eastAsia="zh-CN"/>
        </w:rPr>
        <w:t>单位</w:t>
      </w:r>
      <w:r>
        <w:rPr>
          <w:rFonts w:eastAsia="仿宋_GB2312"/>
          <w:b/>
          <w:bCs w:val="0"/>
          <w:color w:val="FF0000"/>
          <w:kern w:val="0"/>
          <w:sz w:val="32"/>
          <w:szCs w:val="32"/>
        </w:rPr>
        <w:t>无相关收支情况。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2024年单位预算</w:t>
      </w:r>
      <w:r>
        <w:rPr>
          <w:rFonts w:hint="eastAsia" w:ascii="黑体" w:hAnsi="黑体" w:eastAsia="黑体" w:cs="黑体"/>
          <w:kern w:val="0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（一）职能职责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岳阳县旅游开发中心负责指导全县旅游资源合理开发与利用；指导全县旅游产品开发；负责培训和完善旅游市场，开拓国际国内市场；负责指导旅游教育、培训；负责全县旅游统计和行业信息发布等。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（二）机构设置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岳阳县旅游开发中心属副科级公益一类事业单位，在职在编人数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人，无退休人员。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收支总体情况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（一）收入预算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包括一般公共预算、政府性基金、国有资本经营预算等财政拨款收入，以及经营收入、事业收入等单位资金。202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年本单位收入预算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97.66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万元，其中，一般公共预算拨款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76.12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万元，政府性基金预算拨款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万元，国有资本经营预算拨款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万元，财政专户管理资金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万元，上级补助收入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万元，事业单位经营收入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万元，上年结转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21.54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万元。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 w:cs="仿宋_GB2312"/>
          <w:b/>
          <w:bCs/>
          <w:i w:val="0"/>
          <w:iCs w:val="0"/>
          <w:color w:val="FF0000"/>
          <w:kern w:val="0"/>
          <w:sz w:val="32"/>
          <w:szCs w:val="32"/>
          <w:u w:val="none"/>
          <w:lang w:val="en-US" w:eastAsia="zh-CN"/>
        </w:rPr>
        <w:t>见表2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。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eastAsia="zh-CN"/>
        </w:rPr>
        <w:t>“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single"/>
          <w:lang w:eastAsia="zh-CN"/>
        </w:rPr>
        <w:t>本单位2024年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single"/>
        </w:rPr>
        <w:t>没有政府性基金预算拨款和纳入专户管理的非税收入拨款收入，也没有使用政府性基金预算拨款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single"/>
          <w:lang w:eastAsia="zh-CN"/>
        </w:rPr>
        <w:t>、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single"/>
        </w:rPr>
        <w:t>国有资本经营预算收入和纳入专户管理的非税收入拨款安排的支出，所以公开的附件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  <w:lang w:val="en-US" w:eastAsia="zh-CN"/>
        </w:rPr>
        <w:t>16-18（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</w:rPr>
        <w:t>政府性基金预算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  <w:lang w:val="en-US" w:eastAsia="zh-CN"/>
        </w:rPr>
        <w:t>）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</w:rPr>
        <w:t>、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  <w:lang w:val="en-US" w:eastAsia="zh-CN"/>
        </w:rPr>
        <w:t>19（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</w:rPr>
        <w:t>国有资本经营预算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  <w:lang w:val="en-US" w:eastAsia="zh-CN"/>
        </w:rPr>
        <w:t>）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</w:rPr>
        <w:t>、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  <w:lang w:val="en-US" w:eastAsia="zh-CN"/>
        </w:rPr>
        <w:t>20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</w:rPr>
        <w:t>表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  <w:lang w:eastAsia="zh-CN"/>
        </w:rPr>
        <w:t>（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  <w:lang w:val="en-US" w:eastAsia="zh-CN"/>
        </w:rPr>
        <w:t>财政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</w:rPr>
        <w:t>专户管理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  <w:lang w:val="en-US" w:eastAsia="zh-CN"/>
        </w:rPr>
        <w:t>资金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</w:rPr>
        <w:t>预算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  <w:lang w:eastAsia="zh-CN"/>
        </w:rPr>
        <w:t>）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single"/>
        </w:rPr>
        <w:t>均为空。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eastAsia="zh-CN"/>
        </w:rPr>
        <w:t>”）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收入较去年</w:t>
      </w:r>
      <w:r>
        <w:rPr>
          <w:rFonts w:hint="eastAsia" w:eastAsia="仿宋_GB2312" w:cs="仿宋_GB2312"/>
          <w:color w:val="3216DC"/>
          <w:kern w:val="0"/>
          <w:sz w:val="32"/>
          <w:szCs w:val="32"/>
          <w:u w:val="single"/>
          <w:lang w:eastAsia="zh-CN"/>
        </w:rPr>
        <w:t>增加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7.28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万元，主要是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因为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本年度增加了上年结转数。</w:t>
      </w:r>
    </w:p>
    <w:p>
      <w:pPr>
        <w:widowControl/>
        <w:spacing w:line="600" w:lineRule="exact"/>
        <w:ind w:firstLine="630" w:firstLineChars="196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（二）支出预算</w:t>
      </w:r>
    </w:p>
    <w:p>
      <w:pPr>
        <w:widowControl/>
        <w:spacing w:line="600" w:lineRule="exact"/>
        <w:ind w:firstLine="627" w:firstLineChars="196"/>
        <w:jc w:val="left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  <w:lang w:eastAsia="zh-CN"/>
        </w:rPr>
        <w:t>年本单位</w:t>
      </w:r>
      <w:r>
        <w:rPr>
          <w:rFonts w:eastAsia="仿宋_GB2312"/>
          <w:sz w:val="32"/>
          <w:szCs w:val="32"/>
        </w:rPr>
        <w:t>支出预算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97.66</w:t>
      </w:r>
      <w:r>
        <w:rPr>
          <w:rFonts w:eastAsia="仿宋_GB2312"/>
          <w:sz w:val="32"/>
          <w:szCs w:val="32"/>
        </w:rPr>
        <w:t>万元，其中，</w:t>
      </w:r>
      <w:r>
        <w:rPr>
          <w:rFonts w:hint="eastAsia" w:eastAsia="仿宋_GB2312"/>
          <w:sz w:val="32"/>
          <w:szCs w:val="32"/>
        </w:rPr>
        <w:t>文化旅游体育与传媒支出</w:t>
      </w:r>
      <w:r>
        <w:rPr>
          <w:rFonts w:hint="eastAsia" w:eastAsia="仿宋_GB2312"/>
          <w:sz w:val="32"/>
          <w:szCs w:val="32"/>
          <w:lang w:val="en-US" w:eastAsia="zh-CN"/>
        </w:rPr>
        <w:t>85.38万元，社会保障和就业支出5.42万元，卫生健康支出3.03万元，住房保障支出3.83万元。</w:t>
      </w:r>
      <w:r>
        <w:rPr>
          <w:rFonts w:hint="eastAsia" w:eastAsia="仿宋_GB2312"/>
          <w:color w:val="3216DC"/>
          <w:sz w:val="32"/>
          <w:szCs w:val="32"/>
          <w:lang w:eastAsia="zh-CN"/>
        </w:rPr>
        <w:t>（</w:t>
      </w:r>
      <w:r>
        <w:rPr>
          <w:rFonts w:hint="eastAsia" w:eastAsia="仿宋_GB2312"/>
          <w:color w:val="3216DC"/>
          <w:sz w:val="32"/>
          <w:szCs w:val="32"/>
          <w:lang w:val="en-US" w:eastAsia="zh-CN"/>
        </w:rPr>
        <w:t>按</w:t>
      </w:r>
      <w:r>
        <w:rPr>
          <w:rFonts w:hint="eastAsia" w:eastAsia="仿宋_GB2312" w:cs="仿宋_GB2312"/>
          <w:color w:val="3216DC"/>
          <w:kern w:val="0"/>
          <w:sz w:val="32"/>
          <w:szCs w:val="32"/>
          <w:lang w:eastAsia="zh-CN"/>
        </w:rPr>
        <w:t>类级</w:t>
      </w:r>
      <w:r>
        <w:rPr>
          <w:rFonts w:hint="eastAsia" w:eastAsia="仿宋_GB2312"/>
          <w:color w:val="3216DC"/>
          <w:sz w:val="32"/>
          <w:szCs w:val="32"/>
          <w:lang w:val="en-US" w:eastAsia="zh-CN"/>
        </w:rPr>
        <w:t>功能科目列出支出预算明细，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FF0000"/>
          <w:sz w:val="32"/>
          <w:szCs w:val="32"/>
          <w:lang w:val="en-US" w:eastAsia="zh-CN"/>
        </w:rPr>
        <w:t>见表6</w:t>
      </w:r>
      <w:r>
        <w:rPr>
          <w:rFonts w:hint="eastAsia" w:eastAsia="仿宋_GB2312"/>
          <w:color w:val="3216DC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支出较去年</w:t>
      </w:r>
      <w:r>
        <w:rPr>
          <w:rFonts w:hint="eastAsia" w:eastAsia="仿宋_GB2312" w:cs="仿宋_GB2312"/>
          <w:color w:val="3216DC"/>
          <w:kern w:val="0"/>
          <w:sz w:val="32"/>
          <w:szCs w:val="32"/>
          <w:u w:val="single"/>
          <w:lang w:eastAsia="zh-CN"/>
        </w:rPr>
        <w:t>增加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7.28</w:t>
      </w:r>
      <w:r>
        <w:rPr>
          <w:rFonts w:hint="eastAsia"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  <w:lang w:eastAsia="zh-CN"/>
        </w:rPr>
        <w:t>其中</w:t>
      </w:r>
      <w:r>
        <w:rPr>
          <w:rFonts w:hint="eastAsia" w:eastAsia="仿宋_GB2312"/>
          <w:sz w:val="32"/>
          <w:szCs w:val="32"/>
        </w:rPr>
        <w:t>基本支出</w:t>
      </w:r>
      <w:r>
        <w:rPr>
          <w:rFonts w:hint="eastAsia" w:eastAsia="仿宋_GB2312" w:cs="仿宋_GB2312"/>
          <w:color w:val="3216DC"/>
          <w:kern w:val="0"/>
          <w:sz w:val="32"/>
          <w:szCs w:val="32"/>
          <w:u w:val="single"/>
          <w:lang w:eastAsia="zh-CN"/>
        </w:rPr>
        <w:t>增加</w:t>
      </w:r>
      <w:r>
        <w:rPr>
          <w:rFonts w:hint="eastAsia" w:eastAsia="仿宋_GB2312" w:cs="仿宋_GB2312"/>
          <w:color w:val="3216DC"/>
          <w:kern w:val="0"/>
          <w:sz w:val="32"/>
          <w:szCs w:val="32"/>
          <w:u w:val="single"/>
          <w:lang w:val="en-US" w:eastAsia="zh-CN"/>
        </w:rPr>
        <w:t>0.49</w:t>
      </w:r>
      <w:r>
        <w:rPr>
          <w:rFonts w:hint="eastAsia" w:eastAsia="仿宋_GB2312"/>
          <w:sz w:val="32"/>
          <w:szCs w:val="32"/>
        </w:rPr>
        <w:t>万元，项目支出</w:t>
      </w:r>
      <w:r>
        <w:rPr>
          <w:rFonts w:hint="eastAsia" w:eastAsia="仿宋_GB2312" w:cs="仿宋_GB2312"/>
          <w:color w:val="3216DC"/>
          <w:kern w:val="0"/>
          <w:sz w:val="32"/>
          <w:szCs w:val="32"/>
          <w:u w:val="single"/>
          <w:lang w:eastAsia="zh-CN"/>
        </w:rPr>
        <w:t>增加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6.79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hint="eastAsia" w:ascii="Times New Roman" w:hAnsi="Times New Roman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FF0000"/>
          <w:sz w:val="32"/>
          <w:szCs w:val="32"/>
          <w:lang w:val="en-US" w:eastAsia="zh-CN"/>
        </w:rPr>
        <w:t>见表7、16、19、20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，将其基本支出、项目支出相加</w:t>
      </w:r>
      <w:r>
        <w:rPr>
          <w:rFonts w:hint="eastAsia" w:ascii="Times New Roman" w:hAnsi="Times New Roman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  <w:lang w:eastAsia="zh-CN"/>
        </w:rPr>
        <w:t>其中基本支出较上年</w:t>
      </w:r>
      <w:r>
        <w:rPr>
          <w:rFonts w:hint="eastAsia" w:eastAsia="仿宋_GB2312" w:cs="仿宋_GB2312"/>
          <w:color w:val="3216DC"/>
          <w:kern w:val="0"/>
          <w:sz w:val="32"/>
          <w:szCs w:val="32"/>
          <w:u w:val="single"/>
          <w:lang w:eastAsia="zh-CN"/>
        </w:rPr>
        <w:t>增加</w:t>
      </w:r>
      <w:r>
        <w:rPr>
          <w:rFonts w:hint="eastAsia" w:eastAsia="仿宋_GB2312"/>
          <w:sz w:val="32"/>
          <w:szCs w:val="32"/>
          <w:lang w:eastAsia="zh-CN"/>
        </w:rPr>
        <w:t>主要是</w:t>
      </w:r>
      <w:r>
        <w:rPr>
          <w:rFonts w:hint="eastAsia" w:eastAsia="仿宋_GB2312"/>
          <w:sz w:val="32"/>
          <w:szCs w:val="32"/>
          <w:lang w:val="en-US" w:eastAsia="zh-CN"/>
        </w:rPr>
        <w:t>因为增加了车补</w:t>
      </w:r>
      <w:r>
        <w:rPr>
          <w:rFonts w:hint="eastAsia" w:eastAsia="仿宋_GB2312"/>
          <w:sz w:val="32"/>
          <w:szCs w:val="32"/>
          <w:lang w:eastAsia="zh-CN"/>
        </w:rPr>
        <w:t>，项目支出</w:t>
      </w:r>
      <w:r>
        <w:rPr>
          <w:rFonts w:hint="eastAsia" w:eastAsia="仿宋_GB2312" w:cs="仿宋_GB2312"/>
          <w:color w:val="3216DC"/>
          <w:kern w:val="0"/>
          <w:sz w:val="32"/>
          <w:szCs w:val="32"/>
          <w:u w:val="single"/>
          <w:lang w:eastAsia="zh-CN"/>
        </w:rPr>
        <w:t>增加</w:t>
      </w:r>
      <w:r>
        <w:rPr>
          <w:rFonts w:hint="eastAsia" w:eastAsia="仿宋_GB2312"/>
          <w:sz w:val="32"/>
          <w:szCs w:val="32"/>
          <w:lang w:val="en-US" w:eastAsia="zh-CN"/>
        </w:rPr>
        <w:t>主要是</w:t>
      </w:r>
      <w:r>
        <w:rPr>
          <w:rFonts w:hint="eastAsia" w:eastAsia="仿宋_GB2312"/>
          <w:sz w:val="32"/>
          <w:szCs w:val="32"/>
          <w:lang w:eastAsia="zh-CN"/>
        </w:rPr>
        <w:t>因为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本年度增加了上年结转数。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kern w:val="0"/>
          <w:sz w:val="32"/>
          <w:szCs w:val="32"/>
        </w:rPr>
        <w:t>一般公共预算拨款支出预算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2024年</w:t>
      </w:r>
      <w:r>
        <w:rPr>
          <w:rFonts w:hint="eastAsia" w:eastAsia="仿宋_GB2312" w:cs="仿宋_GB2312"/>
          <w:kern w:val="0"/>
          <w:sz w:val="32"/>
          <w:szCs w:val="32"/>
        </w:rPr>
        <w:t>一般公共预算拨款支出预算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97.66</w:t>
      </w:r>
      <w:r>
        <w:rPr>
          <w:rFonts w:hint="eastAsia" w:eastAsia="仿宋_GB2312" w:cs="仿宋_GB2312"/>
          <w:kern w:val="0"/>
          <w:sz w:val="32"/>
          <w:szCs w:val="32"/>
        </w:rPr>
        <w:t>万元，其中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文化旅游体育与传媒支出</w:t>
      </w:r>
      <w:r>
        <w:rPr>
          <w:rFonts w:hint="eastAsia" w:eastAsia="仿宋_GB2312"/>
          <w:sz w:val="32"/>
          <w:szCs w:val="32"/>
          <w:lang w:val="en-US" w:eastAsia="zh-CN"/>
        </w:rPr>
        <w:t>85.38万元，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87.4</w:t>
      </w:r>
      <w:r>
        <w:rPr>
          <w:rFonts w:hint="eastAsia" w:eastAsia="仿宋_GB2312"/>
          <w:sz w:val="32"/>
          <w:szCs w:val="32"/>
          <w:u w:val="none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  <w:lang w:val="en-US" w:eastAsia="zh-CN"/>
        </w:rPr>
        <w:t>社会保障和就业支出5.42万元，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5.5</w:t>
      </w:r>
      <w:r>
        <w:rPr>
          <w:rFonts w:hint="eastAsia" w:eastAsia="仿宋_GB2312"/>
          <w:sz w:val="32"/>
          <w:szCs w:val="32"/>
          <w:u w:val="none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  <w:lang w:val="en-US" w:eastAsia="zh-CN"/>
        </w:rPr>
        <w:t>卫生健康支出3.03万元，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3.1</w:t>
      </w:r>
      <w:r>
        <w:rPr>
          <w:rFonts w:hint="eastAsia" w:eastAsia="仿宋_GB2312"/>
          <w:sz w:val="32"/>
          <w:szCs w:val="32"/>
          <w:u w:val="none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  <w:lang w:val="en-US" w:eastAsia="zh-CN"/>
        </w:rPr>
        <w:t>住房保障支出3.83万元，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  <w:u w:val="none"/>
        </w:rPr>
        <w:t>%</w:t>
      </w:r>
      <w:r>
        <w:rPr>
          <w:rFonts w:hint="eastAsia" w:eastAsia="仿宋_GB2312" w:cs="仿宋_GB2312"/>
          <w:color w:val="3216DC"/>
          <w:kern w:val="0"/>
          <w:sz w:val="32"/>
          <w:szCs w:val="32"/>
          <w:lang w:eastAsia="zh-CN"/>
        </w:rPr>
        <w:t>（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FF0000"/>
          <w:sz w:val="32"/>
          <w:szCs w:val="32"/>
          <w:lang w:val="en-US" w:eastAsia="zh-CN"/>
        </w:rPr>
        <w:t>见表7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eastAsia" w:eastAsia="仿宋_GB2312" w:cs="仿宋_GB2312"/>
          <w:color w:val="3216DC"/>
          <w:kern w:val="0"/>
          <w:sz w:val="32"/>
          <w:szCs w:val="32"/>
          <w:lang w:eastAsia="zh-CN"/>
        </w:rPr>
        <w:t>按类级功能科目说明每大类功能科目下的金额和比例）。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具体安排情况如下：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</w:rPr>
        <w:t>（一）基本支出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：2024年基本支出年初预算数为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59.12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</w:t>
      </w:r>
      <w:r>
        <w:rPr>
          <w:rFonts w:hint="eastAsia" w:ascii="Times New Roman" w:hAnsi="Times New Roman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FF0000"/>
          <w:sz w:val="32"/>
          <w:szCs w:val="32"/>
          <w:lang w:val="en-US" w:eastAsia="zh-CN"/>
        </w:rPr>
        <w:t>见表5</w:t>
      </w:r>
      <w:r>
        <w:rPr>
          <w:rFonts w:hint="eastAsia" w:ascii="Times New Roman" w:hAnsi="Times New Roman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，是指为保障单位机构正常运转、完成日常工作任务而发生的各项支出，包括用于基本工资、津贴补贴等人员经费以及办公费、印刷费、水电费、差旅费等日常公用经费。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（二）项目支出：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2024年</w:t>
      </w:r>
      <w:r>
        <w:rPr>
          <w:rFonts w:hint="eastAsia" w:eastAsia="仿宋_GB2312" w:cs="仿宋_GB2312"/>
          <w:kern w:val="0"/>
          <w:sz w:val="32"/>
          <w:szCs w:val="32"/>
        </w:rPr>
        <w:t>项目支出年初预算数为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38.54</w:t>
      </w:r>
      <w:r>
        <w:rPr>
          <w:rFonts w:hint="eastAsia" w:eastAsia="仿宋_GB2312" w:cs="仿宋_GB2312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FF0000"/>
          <w:sz w:val="32"/>
          <w:szCs w:val="32"/>
          <w:lang w:val="en-US" w:eastAsia="zh-CN"/>
        </w:rPr>
        <w:t>见表5</w:t>
      </w:r>
      <w:r>
        <w:rPr>
          <w:rFonts w:hint="eastAsia" w:ascii="Times New Roman" w:hAnsi="Times New Roman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kern w:val="0"/>
          <w:sz w:val="32"/>
          <w:szCs w:val="32"/>
        </w:rPr>
        <w:t>，是指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为完成特定行政工作任务或事业发展目标而发生的支出，包括有关业务工作经费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运行维护经费</w:t>
      </w:r>
      <w:r>
        <w:rPr>
          <w:rFonts w:hint="eastAsia" w:eastAsia="仿宋_GB2312"/>
          <w:sz w:val="32"/>
          <w:szCs w:val="32"/>
          <w:lang w:val="en-US" w:eastAsia="zh-CN"/>
        </w:rPr>
        <w:t>等</w:t>
      </w:r>
      <w:r>
        <w:rPr>
          <w:rFonts w:hint="eastAsia" w:eastAsia="仿宋_GB2312"/>
          <w:sz w:val="32"/>
          <w:szCs w:val="32"/>
        </w:rPr>
        <w:t>。其中：业务工作经费支出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31.75</w:t>
      </w:r>
      <w:r>
        <w:rPr>
          <w:rFonts w:hint="eastAsia"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  <w:lang w:val="en-US" w:eastAsia="zh-CN"/>
        </w:rPr>
        <w:t>旅游项目、旅游宣传营销、旅游统计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、政府性基金预算支出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3216DC"/>
          <w:kern w:val="0"/>
          <w:sz w:val="32"/>
          <w:szCs w:val="32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2024年政府性基金预算拨款支出预算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万元</w:t>
      </w:r>
      <w:r>
        <w:rPr>
          <w:rFonts w:hint="eastAsia" w:eastAsia="仿宋_GB2312" w:cs="仿宋_GB2312"/>
          <w:color w:val="3216DC"/>
          <w:kern w:val="0"/>
          <w:sz w:val="32"/>
          <w:szCs w:val="32"/>
          <w:lang w:eastAsia="zh-CN"/>
        </w:rPr>
        <w:t>（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FF0000"/>
          <w:sz w:val="32"/>
          <w:szCs w:val="32"/>
          <w:lang w:val="en-US" w:eastAsia="zh-CN"/>
        </w:rPr>
        <w:t>见表16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eastAsia" w:eastAsia="仿宋_GB2312" w:cs="仿宋_GB2312"/>
          <w:color w:val="3216DC"/>
          <w:kern w:val="0"/>
          <w:sz w:val="32"/>
          <w:szCs w:val="32"/>
          <w:u w:val="single"/>
          <w:lang w:val="en-US" w:eastAsia="zh-CN"/>
        </w:rPr>
        <w:t>2024年度</w:t>
      </w:r>
      <w:r>
        <w:rPr>
          <w:rFonts w:hint="eastAsia" w:eastAsia="仿宋_GB2312" w:cs="仿宋_GB2312"/>
          <w:color w:val="3216DC"/>
          <w:kern w:val="0"/>
          <w:sz w:val="32"/>
          <w:szCs w:val="32"/>
          <w:u w:val="single"/>
          <w:lang w:eastAsia="zh-CN"/>
        </w:rPr>
        <w:t>本单位</w:t>
      </w:r>
      <w:r>
        <w:rPr>
          <w:rFonts w:hint="eastAsia" w:eastAsia="仿宋_GB2312" w:cs="仿宋_GB2312"/>
          <w:color w:val="3216DC"/>
          <w:kern w:val="0"/>
          <w:sz w:val="32"/>
          <w:szCs w:val="32"/>
          <w:u w:val="single"/>
        </w:rPr>
        <w:t>无政府性基金安排的支出</w:t>
      </w:r>
      <w:r>
        <w:rPr>
          <w:rFonts w:hint="eastAsia" w:eastAsia="仿宋_GB2312" w:cs="仿宋_GB2312"/>
          <w:color w:val="3216DC"/>
          <w:kern w:val="0"/>
          <w:sz w:val="32"/>
          <w:szCs w:val="32"/>
          <w:u w:val="single"/>
          <w:lang w:eastAsia="zh-CN"/>
        </w:rPr>
        <w:t>，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single"/>
        </w:rPr>
        <w:t>所以公开的附件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  <w:lang w:val="en-US" w:eastAsia="zh-CN"/>
        </w:rPr>
        <w:t>16-18（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</w:rPr>
        <w:t>政府性基金预算</w:t>
      </w:r>
      <w:r>
        <w:rPr>
          <w:rFonts w:hint="eastAsia" w:eastAsia="仿宋_GB2312" w:cs="仿宋_GB2312"/>
          <w:i w:val="0"/>
          <w:iCs w:val="0"/>
          <w:color w:val="FF0000"/>
          <w:kern w:val="0"/>
          <w:sz w:val="32"/>
          <w:szCs w:val="32"/>
          <w:u w:val="single"/>
          <w:lang w:val="en-US" w:eastAsia="zh-CN"/>
        </w:rPr>
        <w:t>）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single"/>
        </w:rPr>
        <w:t>为空。</w:t>
      </w:r>
      <w:r>
        <w:rPr>
          <w:rFonts w:hint="eastAsia" w:eastAsia="仿宋_GB2312" w:cs="仿宋_GB2312"/>
          <w:color w:val="3216DC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（一）机关运行经费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本单位2024年</w:t>
      </w:r>
      <w:r>
        <w:rPr>
          <w:rFonts w:hint="eastAsia" w:eastAsia="仿宋_GB2312" w:cs="仿宋_GB2312"/>
          <w:kern w:val="0"/>
          <w:sz w:val="32"/>
          <w:szCs w:val="32"/>
        </w:rPr>
        <w:t>机关运行经费当年一般公共预算拨款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7.2</w:t>
      </w:r>
      <w:r>
        <w:rPr>
          <w:rFonts w:hint="eastAsia" w:eastAsia="仿宋_GB2312" w:cs="仿宋_GB2312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FF0000"/>
          <w:sz w:val="32"/>
          <w:szCs w:val="32"/>
          <w:lang w:val="en-US" w:eastAsia="zh-CN"/>
        </w:rPr>
        <w:t>见表14</w:t>
      </w:r>
      <w:r>
        <w:rPr>
          <w:rFonts w:hint="eastAsia" w:ascii="Times New Roman" w:hAnsi="Times New Roman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kern w:val="0"/>
          <w:sz w:val="32"/>
          <w:szCs w:val="32"/>
        </w:rPr>
        <w:t>，比</w:t>
      </w:r>
      <w:r>
        <w:rPr>
          <w:rFonts w:hint="eastAsia" w:eastAsia="仿宋_GB2312"/>
          <w:kern w:val="0"/>
          <w:sz w:val="32"/>
          <w:szCs w:val="32"/>
          <w:lang w:eastAsia="zh-CN"/>
        </w:rPr>
        <w:t>上一年</w:t>
      </w:r>
      <w:r>
        <w:rPr>
          <w:rFonts w:hint="eastAsia" w:eastAsia="仿宋_GB2312" w:cs="仿宋_GB2312"/>
          <w:color w:val="3216DC"/>
          <w:kern w:val="0"/>
          <w:sz w:val="32"/>
          <w:szCs w:val="32"/>
          <w:u w:val="single"/>
          <w:lang w:eastAsia="zh-CN"/>
        </w:rPr>
        <w:t>增加</w:t>
      </w:r>
      <w:r>
        <w:rPr>
          <w:rFonts w:hint="eastAsia" w:eastAsia="仿宋_GB2312" w:cs="仿宋_GB2312"/>
          <w:color w:val="3216DC"/>
          <w:kern w:val="0"/>
          <w:sz w:val="32"/>
          <w:szCs w:val="32"/>
          <w:u w:val="single"/>
          <w:lang w:val="en-US" w:eastAsia="zh-CN"/>
        </w:rPr>
        <w:t>3.24</w:t>
      </w:r>
      <w:r>
        <w:rPr>
          <w:rFonts w:hint="eastAsia" w:eastAsia="仿宋_GB2312" w:cs="仿宋_GB2312"/>
          <w:kern w:val="0"/>
          <w:sz w:val="32"/>
          <w:szCs w:val="32"/>
        </w:rPr>
        <w:t>万元，</w:t>
      </w:r>
      <w:r>
        <w:rPr>
          <w:rFonts w:hint="eastAsia" w:eastAsia="仿宋_GB2312" w:cs="仿宋_GB2312"/>
          <w:color w:val="3216DC"/>
          <w:kern w:val="0"/>
          <w:sz w:val="32"/>
          <w:szCs w:val="32"/>
          <w:u w:val="single"/>
          <w:lang w:eastAsia="zh-CN"/>
        </w:rPr>
        <w:t>增加</w:t>
      </w:r>
      <w:r>
        <w:rPr>
          <w:rFonts w:hint="eastAsia" w:eastAsia="仿宋_GB2312" w:cs="仿宋_GB2312"/>
          <w:color w:val="3216DC"/>
          <w:kern w:val="0"/>
          <w:sz w:val="32"/>
          <w:szCs w:val="32"/>
          <w:u w:val="single"/>
          <w:lang w:val="en-US" w:eastAsia="zh-CN"/>
        </w:rPr>
        <w:t>55</w:t>
      </w:r>
      <w:r>
        <w:rPr>
          <w:rFonts w:eastAsia="仿宋_GB2312"/>
          <w:kern w:val="0"/>
          <w:sz w:val="32"/>
          <w:szCs w:val="32"/>
        </w:rPr>
        <w:t>%</w:t>
      </w:r>
      <w:r>
        <w:rPr>
          <w:rFonts w:hint="eastAsia" w:eastAsia="仿宋_GB2312" w:cs="仿宋_GB2312"/>
          <w:kern w:val="0"/>
          <w:sz w:val="32"/>
          <w:szCs w:val="32"/>
        </w:rPr>
        <w:t>。主要原因是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今年增加了车补。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（二）“三公”经费预算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本单位2024年</w:t>
      </w:r>
      <w:r>
        <w:rPr>
          <w:rFonts w:hint="eastAsia" w:eastAsia="仿宋_GB2312" w:cs="仿宋_GB2312"/>
          <w:kern w:val="0"/>
          <w:sz w:val="32"/>
          <w:szCs w:val="32"/>
        </w:rPr>
        <w:t>“三公”经费预算数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0.27</w:t>
      </w:r>
      <w:r>
        <w:rPr>
          <w:rFonts w:hint="eastAsia" w:eastAsia="仿宋_GB2312" w:cs="仿宋_GB2312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FF0000"/>
          <w:sz w:val="32"/>
          <w:szCs w:val="32"/>
          <w:lang w:val="en-US" w:eastAsia="zh-CN"/>
        </w:rPr>
        <w:t>见表15</w:t>
      </w:r>
      <w:r>
        <w:rPr>
          <w:rFonts w:hint="eastAsia" w:ascii="Times New Roman" w:hAnsi="Times New Roman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kern w:val="0"/>
          <w:sz w:val="32"/>
          <w:szCs w:val="32"/>
        </w:rPr>
        <w:t>，其中，公务接待费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0.27</w:t>
      </w:r>
      <w:r>
        <w:rPr>
          <w:rFonts w:hint="eastAsia" w:eastAsia="仿宋_GB2312" w:cs="仿宋_GB2312"/>
          <w:kern w:val="0"/>
          <w:sz w:val="32"/>
          <w:szCs w:val="32"/>
        </w:rPr>
        <w:t>万元，因公出国（境）费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万元，公务用车购置及运行费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 w:cs="仿宋_GB2312"/>
          <w:kern w:val="0"/>
          <w:sz w:val="32"/>
          <w:szCs w:val="32"/>
        </w:rPr>
        <w:t>其中公务用车购置费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万元，公务用车运行费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万元。比</w:t>
      </w:r>
      <w:r>
        <w:rPr>
          <w:rFonts w:hint="eastAsia" w:eastAsia="仿宋_GB2312"/>
          <w:kern w:val="0"/>
          <w:sz w:val="32"/>
          <w:szCs w:val="32"/>
          <w:lang w:eastAsia="zh-CN"/>
        </w:rPr>
        <w:t>上一年</w:t>
      </w:r>
      <w:r>
        <w:rPr>
          <w:rFonts w:hint="eastAsia" w:eastAsia="仿宋_GB2312" w:cs="仿宋_GB2312"/>
          <w:color w:val="3216DC"/>
          <w:kern w:val="0"/>
          <w:sz w:val="32"/>
          <w:szCs w:val="32"/>
          <w:u w:val="single"/>
          <w:lang w:eastAsia="zh-CN"/>
        </w:rPr>
        <w:t>增加</w:t>
      </w:r>
      <w:r>
        <w:rPr>
          <w:rFonts w:hint="eastAsia" w:eastAsia="仿宋_GB2312" w:cs="仿宋_GB2312"/>
          <w:color w:val="3216DC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万元，</w:t>
      </w:r>
      <w:r>
        <w:rPr>
          <w:rFonts w:hint="eastAsia" w:eastAsia="仿宋_GB2312" w:cs="仿宋_GB2312"/>
          <w:color w:val="3216DC"/>
          <w:kern w:val="0"/>
          <w:sz w:val="32"/>
          <w:szCs w:val="32"/>
          <w:u w:val="single"/>
          <w:lang w:eastAsia="zh-CN"/>
        </w:rPr>
        <w:t>增加</w:t>
      </w:r>
      <w:r>
        <w:rPr>
          <w:rFonts w:hint="eastAsia" w:eastAsia="仿宋_GB2312" w:cs="仿宋_GB2312"/>
          <w:color w:val="3216DC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</w:rPr>
        <w:t>%</w:t>
      </w:r>
      <w:r>
        <w:rPr>
          <w:rFonts w:hint="eastAsia" w:eastAsia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 w:cs="仿宋_GB2312"/>
          <w:kern w:val="0"/>
          <w:sz w:val="32"/>
          <w:szCs w:val="32"/>
        </w:rPr>
        <w:t>主要原因是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严格按中央八项规定执行。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（三）一般性支出情况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FF0000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本单位2024年会议费预算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万元</w:t>
      </w:r>
      <w:r>
        <w:rPr>
          <w:rFonts w:hint="eastAsia" w:ascii="Times New Roman" w:hAnsi="Times New Roman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FF0000"/>
          <w:sz w:val="32"/>
          <w:szCs w:val="32"/>
          <w:lang w:val="en-US" w:eastAsia="zh-CN"/>
        </w:rPr>
        <w:t>见表14会议费+培训费</w:t>
      </w:r>
      <w:r>
        <w:rPr>
          <w:rFonts w:hint="eastAsia" w:ascii="Times New Roman" w:hAnsi="Times New Roman" w:eastAsia="仿宋_GB2312" w:cs="仿宋_GB2312"/>
          <w:i w:val="0"/>
          <w:iCs w:val="0"/>
          <w:color w:val="3216DC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，拟召开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次会议，人数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人；培训费预算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0.19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万元，拟开展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次培训，人数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30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人，内容为旅游业务培训。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  <w:t>（四）政府采购情况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3216DC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本单位2024年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政府采购预算总额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30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万元，其中工程类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万元，货物类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万元，服务类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30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（五）国有资产占有使用及新增资产配置情况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</w:rPr>
        <w:t>截至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上一年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12月底，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本单位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共有车</w:t>
      </w:r>
      <w:r>
        <w:rPr>
          <w:rFonts w:hint="eastAsia" w:eastAsia="仿宋_GB2312" w:cs="仿宋_GB2312"/>
          <w:kern w:val="0"/>
          <w:sz w:val="32"/>
          <w:szCs w:val="32"/>
        </w:rPr>
        <w:t>辆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辆，其中领导干部用车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辆，一般公务用车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辆，其他用车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辆。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价值50万元以上通用设备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台，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价值100万元以上专用设备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 w:cs="仿宋_GB2312"/>
          <w:kern w:val="0"/>
          <w:sz w:val="36"/>
          <w:szCs w:val="36"/>
          <w:lang w:val="en-US"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2024年度本单位未计划处置或新增车辆、设备等。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（六）预算绩效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目标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eastAsia="仿宋_GB2312"/>
          <w:bCs/>
          <w:kern w:val="0"/>
          <w:sz w:val="32"/>
          <w:szCs w:val="32"/>
          <w:lang w:eastAsia="zh-CN"/>
        </w:rPr>
        <w:t>本单位</w:t>
      </w:r>
      <w:r>
        <w:rPr>
          <w:rFonts w:eastAsia="仿宋_GB2312"/>
          <w:bCs/>
          <w:kern w:val="0"/>
          <w:sz w:val="32"/>
          <w:szCs w:val="32"/>
        </w:rPr>
        <w:t>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2024年单位</w:t>
      </w:r>
      <w:r>
        <w:rPr>
          <w:rFonts w:eastAsia="仿宋_GB2312"/>
          <w:bCs/>
          <w:kern w:val="0"/>
          <w:sz w:val="32"/>
          <w:szCs w:val="32"/>
        </w:rPr>
        <w:t>整体支出绩效目标的金额为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97.66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59.12</w:t>
      </w:r>
      <w:r>
        <w:rPr>
          <w:rFonts w:eastAsia="仿宋_GB2312"/>
          <w:bCs/>
          <w:kern w:val="0"/>
          <w:sz w:val="32"/>
          <w:szCs w:val="32"/>
        </w:rPr>
        <w:t>万元，项目支出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38.54</w:t>
      </w:r>
      <w:r>
        <w:rPr>
          <w:rFonts w:eastAsia="仿宋_GB2312"/>
          <w:bCs/>
          <w:kern w:val="0"/>
          <w:sz w:val="32"/>
          <w:szCs w:val="32"/>
        </w:rPr>
        <w:t>万元，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详见文尾附表中单位预算公开表格的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表22-23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、名词解释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1、机关运行经费：是指各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</w:rPr>
        <w:t>2、“三公”经费：纳入财政预算管理的“三公“经费，是指用一般公共预算拨款安排的公务接待费、公务用车购置及运行维护费和因公出国（境）费。其中，公务接待费反映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按规定开支的各类公务接待支出；公务用车购置及运行费反映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公务用车车辆购置支出（含车辆购置税），以及燃料费、维修费、保险费等支出；因公出国（境）费反映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公务出国（境）的国际旅费、国外城市间交通费、食宿费等支出。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eastAsia="黑体" w:cs="黑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黑体" w:cs="黑体"/>
          <w:kern w:val="0"/>
          <w:sz w:val="32"/>
          <w:szCs w:val="32"/>
        </w:rPr>
        <w:br w:type="page"/>
      </w:r>
      <w:r>
        <w:rPr>
          <w:rFonts w:hint="eastAsia" w:eastAsia="黑体" w:cs="黑体"/>
          <w:kern w:val="0"/>
          <w:sz w:val="32"/>
          <w:szCs w:val="32"/>
        </w:rPr>
        <w:t>第二部分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黑体" w:cs="黑体"/>
          <w:kern w:val="0"/>
          <w:sz w:val="32"/>
          <w:szCs w:val="32"/>
          <w:lang w:eastAsia="zh-CN"/>
        </w:rPr>
        <w:t>单位预算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公开</w:t>
      </w:r>
      <w:r>
        <w:rPr>
          <w:rFonts w:hint="eastAsia" w:eastAsia="黑体" w:cs="黑体"/>
          <w:kern w:val="0"/>
          <w:sz w:val="32"/>
          <w:szCs w:val="32"/>
        </w:rPr>
        <w:t>表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11520" w:firstLineChars="3600"/>
        <w:textAlignment w:val="auto"/>
        <w:rPr>
          <w:rFonts w:hint="default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eastAsia="黑体" w:cs="黑体"/>
          <w:kern w:val="0"/>
          <w:sz w:val="32"/>
          <w:szCs w:val="32"/>
          <w:lang w:eastAsia="zh-CN"/>
        </w:rPr>
        <w:t>附件：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岳阳县旅游开发中心预算公开表格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3D7EEA7-B6D2-4162-852B-477152B7695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F02D140F-0BD2-46D3-873F-28637F0C176B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DEC82E56-C2DA-4AED-B400-7A098F74C11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45B5D96C-B556-4BFD-B390-CAFCA45E95BC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E76526D6-2AC9-464B-A083-A11871D0AC5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597DB609-DA47-41CF-87F9-3941C2F8841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zNzhjNDA1M2Q0YzRjYzQ2OWIwZmU2NTIyOGEwYTQifQ=="/>
  </w:docVars>
  <w:rsids>
    <w:rsidRoot w:val="00CA5057"/>
    <w:rsid w:val="00001697"/>
    <w:rsid w:val="000034D6"/>
    <w:rsid w:val="0006270B"/>
    <w:rsid w:val="00065DA2"/>
    <w:rsid w:val="00117900"/>
    <w:rsid w:val="001336FC"/>
    <w:rsid w:val="00193395"/>
    <w:rsid w:val="001A0136"/>
    <w:rsid w:val="001A3382"/>
    <w:rsid w:val="001A3861"/>
    <w:rsid w:val="001A6377"/>
    <w:rsid w:val="001C6E63"/>
    <w:rsid w:val="001D154A"/>
    <w:rsid w:val="001F365A"/>
    <w:rsid w:val="00203B0A"/>
    <w:rsid w:val="0025517E"/>
    <w:rsid w:val="00270E85"/>
    <w:rsid w:val="002B0968"/>
    <w:rsid w:val="002C117B"/>
    <w:rsid w:val="002F5747"/>
    <w:rsid w:val="002F57F8"/>
    <w:rsid w:val="00344D3D"/>
    <w:rsid w:val="003457B4"/>
    <w:rsid w:val="003550AC"/>
    <w:rsid w:val="00355284"/>
    <w:rsid w:val="003C0AE2"/>
    <w:rsid w:val="003C0E16"/>
    <w:rsid w:val="003C62F5"/>
    <w:rsid w:val="003E6642"/>
    <w:rsid w:val="00452611"/>
    <w:rsid w:val="00464A20"/>
    <w:rsid w:val="00466617"/>
    <w:rsid w:val="004711E9"/>
    <w:rsid w:val="00490880"/>
    <w:rsid w:val="0049696B"/>
    <w:rsid w:val="004A0D4C"/>
    <w:rsid w:val="004A798F"/>
    <w:rsid w:val="004B4F1A"/>
    <w:rsid w:val="004B766D"/>
    <w:rsid w:val="004D0879"/>
    <w:rsid w:val="004E302C"/>
    <w:rsid w:val="0054440F"/>
    <w:rsid w:val="005C6ADC"/>
    <w:rsid w:val="005E6320"/>
    <w:rsid w:val="006137D9"/>
    <w:rsid w:val="00617392"/>
    <w:rsid w:val="00637664"/>
    <w:rsid w:val="00687143"/>
    <w:rsid w:val="00695750"/>
    <w:rsid w:val="006C1259"/>
    <w:rsid w:val="006E013D"/>
    <w:rsid w:val="006E335E"/>
    <w:rsid w:val="006F2FD2"/>
    <w:rsid w:val="00714685"/>
    <w:rsid w:val="00754296"/>
    <w:rsid w:val="00755471"/>
    <w:rsid w:val="007B0161"/>
    <w:rsid w:val="007C48A3"/>
    <w:rsid w:val="00812DE3"/>
    <w:rsid w:val="00832EBB"/>
    <w:rsid w:val="008459F5"/>
    <w:rsid w:val="008511BD"/>
    <w:rsid w:val="00854FCA"/>
    <w:rsid w:val="0085589C"/>
    <w:rsid w:val="008827C7"/>
    <w:rsid w:val="00893563"/>
    <w:rsid w:val="008974A0"/>
    <w:rsid w:val="008C1057"/>
    <w:rsid w:val="008E61DB"/>
    <w:rsid w:val="008E6571"/>
    <w:rsid w:val="009143CB"/>
    <w:rsid w:val="0093410B"/>
    <w:rsid w:val="00990520"/>
    <w:rsid w:val="00995AF1"/>
    <w:rsid w:val="009D1CA3"/>
    <w:rsid w:val="009D450C"/>
    <w:rsid w:val="009E5041"/>
    <w:rsid w:val="009E7921"/>
    <w:rsid w:val="00A0350C"/>
    <w:rsid w:val="00A03C0E"/>
    <w:rsid w:val="00A867C6"/>
    <w:rsid w:val="00AA481C"/>
    <w:rsid w:val="00AB576D"/>
    <w:rsid w:val="00AB6861"/>
    <w:rsid w:val="00AC160E"/>
    <w:rsid w:val="00B0403C"/>
    <w:rsid w:val="00B21CBD"/>
    <w:rsid w:val="00B366B4"/>
    <w:rsid w:val="00B82665"/>
    <w:rsid w:val="00BC04D7"/>
    <w:rsid w:val="00BE4229"/>
    <w:rsid w:val="00BF5A08"/>
    <w:rsid w:val="00C36022"/>
    <w:rsid w:val="00C5316A"/>
    <w:rsid w:val="00CA5057"/>
    <w:rsid w:val="00CB1E6F"/>
    <w:rsid w:val="00CB5C8F"/>
    <w:rsid w:val="00CF2BA3"/>
    <w:rsid w:val="00D1730A"/>
    <w:rsid w:val="00D279D7"/>
    <w:rsid w:val="00D60DAB"/>
    <w:rsid w:val="00D75CFA"/>
    <w:rsid w:val="00D84D40"/>
    <w:rsid w:val="00D96317"/>
    <w:rsid w:val="00DB63BF"/>
    <w:rsid w:val="00DD2BA7"/>
    <w:rsid w:val="00DD573A"/>
    <w:rsid w:val="00E01BD5"/>
    <w:rsid w:val="00E179D0"/>
    <w:rsid w:val="00E24DC7"/>
    <w:rsid w:val="00E419D9"/>
    <w:rsid w:val="00E5547E"/>
    <w:rsid w:val="00E75085"/>
    <w:rsid w:val="00EA5C43"/>
    <w:rsid w:val="00EC052E"/>
    <w:rsid w:val="00EF16FF"/>
    <w:rsid w:val="00F05F5B"/>
    <w:rsid w:val="00F06D7F"/>
    <w:rsid w:val="00F078E9"/>
    <w:rsid w:val="00F24836"/>
    <w:rsid w:val="00F36C19"/>
    <w:rsid w:val="00F74B02"/>
    <w:rsid w:val="00FB0434"/>
    <w:rsid w:val="00FB1B41"/>
    <w:rsid w:val="00FB3CC9"/>
    <w:rsid w:val="00FE2E8C"/>
    <w:rsid w:val="018F2EE2"/>
    <w:rsid w:val="023870D5"/>
    <w:rsid w:val="02DF562C"/>
    <w:rsid w:val="02E64D83"/>
    <w:rsid w:val="02FD75C5"/>
    <w:rsid w:val="032D48E5"/>
    <w:rsid w:val="039837D0"/>
    <w:rsid w:val="04001E75"/>
    <w:rsid w:val="04497920"/>
    <w:rsid w:val="04714B20"/>
    <w:rsid w:val="04B844FD"/>
    <w:rsid w:val="05336C99"/>
    <w:rsid w:val="05B60A3D"/>
    <w:rsid w:val="05F6352F"/>
    <w:rsid w:val="06234B8E"/>
    <w:rsid w:val="064A387B"/>
    <w:rsid w:val="069419C6"/>
    <w:rsid w:val="072145DC"/>
    <w:rsid w:val="07972AF0"/>
    <w:rsid w:val="07A82607"/>
    <w:rsid w:val="07DB0C2F"/>
    <w:rsid w:val="08281851"/>
    <w:rsid w:val="084C5688"/>
    <w:rsid w:val="0A634F0B"/>
    <w:rsid w:val="0ADF27E4"/>
    <w:rsid w:val="0AF15A72"/>
    <w:rsid w:val="0B494101"/>
    <w:rsid w:val="0B5C3E34"/>
    <w:rsid w:val="0C0C6008"/>
    <w:rsid w:val="0C4F7AFC"/>
    <w:rsid w:val="0D5B6622"/>
    <w:rsid w:val="0E064421"/>
    <w:rsid w:val="0EA16002"/>
    <w:rsid w:val="0ED234CD"/>
    <w:rsid w:val="0F654CC7"/>
    <w:rsid w:val="0F670FFA"/>
    <w:rsid w:val="0F9E0A26"/>
    <w:rsid w:val="10703EDE"/>
    <w:rsid w:val="10D2655B"/>
    <w:rsid w:val="112B14E7"/>
    <w:rsid w:val="11796ADD"/>
    <w:rsid w:val="1279351E"/>
    <w:rsid w:val="12B10F0A"/>
    <w:rsid w:val="13E96481"/>
    <w:rsid w:val="13F37300"/>
    <w:rsid w:val="14903A2F"/>
    <w:rsid w:val="15D9563A"/>
    <w:rsid w:val="16AD19E8"/>
    <w:rsid w:val="16B234A2"/>
    <w:rsid w:val="16EC2195"/>
    <w:rsid w:val="173043C7"/>
    <w:rsid w:val="17465999"/>
    <w:rsid w:val="180967E5"/>
    <w:rsid w:val="18131D1F"/>
    <w:rsid w:val="18A4506D"/>
    <w:rsid w:val="18AC5CCF"/>
    <w:rsid w:val="18D56FD4"/>
    <w:rsid w:val="19420C90"/>
    <w:rsid w:val="19D5374E"/>
    <w:rsid w:val="1A044015"/>
    <w:rsid w:val="1AC31CB7"/>
    <w:rsid w:val="1B8F3DB2"/>
    <w:rsid w:val="1BEF6124"/>
    <w:rsid w:val="1D187DD7"/>
    <w:rsid w:val="1EAD2225"/>
    <w:rsid w:val="1F1F1226"/>
    <w:rsid w:val="1F3A4035"/>
    <w:rsid w:val="21D02A2F"/>
    <w:rsid w:val="222D1C2F"/>
    <w:rsid w:val="23871813"/>
    <w:rsid w:val="23B00D6A"/>
    <w:rsid w:val="24594F5D"/>
    <w:rsid w:val="24E46F1D"/>
    <w:rsid w:val="26570D53"/>
    <w:rsid w:val="268A58A2"/>
    <w:rsid w:val="26B97F35"/>
    <w:rsid w:val="27AC35F6"/>
    <w:rsid w:val="27D848B8"/>
    <w:rsid w:val="28D23530"/>
    <w:rsid w:val="29475CCC"/>
    <w:rsid w:val="2A6E7289"/>
    <w:rsid w:val="2C1125C1"/>
    <w:rsid w:val="2CD77367"/>
    <w:rsid w:val="2CDB483B"/>
    <w:rsid w:val="2D8C1F00"/>
    <w:rsid w:val="2DB33930"/>
    <w:rsid w:val="2E530C6F"/>
    <w:rsid w:val="2E911355"/>
    <w:rsid w:val="2F24277E"/>
    <w:rsid w:val="2FC40521"/>
    <w:rsid w:val="30CC4D09"/>
    <w:rsid w:val="333274E4"/>
    <w:rsid w:val="33BE6B8B"/>
    <w:rsid w:val="3405688C"/>
    <w:rsid w:val="348A2F11"/>
    <w:rsid w:val="34C93A39"/>
    <w:rsid w:val="34E11E02"/>
    <w:rsid w:val="35622712"/>
    <w:rsid w:val="35A40002"/>
    <w:rsid w:val="35CD180F"/>
    <w:rsid w:val="379C3687"/>
    <w:rsid w:val="388764A3"/>
    <w:rsid w:val="38C033A5"/>
    <w:rsid w:val="3A59760D"/>
    <w:rsid w:val="3B4C7172"/>
    <w:rsid w:val="3B9052B1"/>
    <w:rsid w:val="3BC82B6A"/>
    <w:rsid w:val="3E4D3BDD"/>
    <w:rsid w:val="3E950E30"/>
    <w:rsid w:val="3EE53B65"/>
    <w:rsid w:val="3F7647BE"/>
    <w:rsid w:val="3FBD23EC"/>
    <w:rsid w:val="40077B0C"/>
    <w:rsid w:val="401364B0"/>
    <w:rsid w:val="41121A65"/>
    <w:rsid w:val="41DA7DB9"/>
    <w:rsid w:val="429338D8"/>
    <w:rsid w:val="42CB3072"/>
    <w:rsid w:val="43AF6CB4"/>
    <w:rsid w:val="43B43B06"/>
    <w:rsid w:val="446E63AB"/>
    <w:rsid w:val="447637E8"/>
    <w:rsid w:val="450B3BFA"/>
    <w:rsid w:val="451F76A5"/>
    <w:rsid w:val="455F7AA2"/>
    <w:rsid w:val="45C85647"/>
    <w:rsid w:val="461D3BE5"/>
    <w:rsid w:val="470152B5"/>
    <w:rsid w:val="47484C91"/>
    <w:rsid w:val="475A49C5"/>
    <w:rsid w:val="47887784"/>
    <w:rsid w:val="47E32C0C"/>
    <w:rsid w:val="49520049"/>
    <w:rsid w:val="49D40A5E"/>
    <w:rsid w:val="49EF4858"/>
    <w:rsid w:val="4AE9742D"/>
    <w:rsid w:val="4B11183E"/>
    <w:rsid w:val="4BA67C06"/>
    <w:rsid w:val="4BC6087B"/>
    <w:rsid w:val="4C9269AF"/>
    <w:rsid w:val="4CA46ED7"/>
    <w:rsid w:val="4D013E21"/>
    <w:rsid w:val="4D8D7228"/>
    <w:rsid w:val="4DDD2C7F"/>
    <w:rsid w:val="4DF349CB"/>
    <w:rsid w:val="4F1826FF"/>
    <w:rsid w:val="4F644633"/>
    <w:rsid w:val="4F9111A0"/>
    <w:rsid w:val="506C2AB0"/>
    <w:rsid w:val="50AE4F53"/>
    <w:rsid w:val="50C730CB"/>
    <w:rsid w:val="510F4A72"/>
    <w:rsid w:val="514F30C0"/>
    <w:rsid w:val="521F2A93"/>
    <w:rsid w:val="52642B9B"/>
    <w:rsid w:val="53344C63"/>
    <w:rsid w:val="53397B84"/>
    <w:rsid w:val="53C658BC"/>
    <w:rsid w:val="54437118"/>
    <w:rsid w:val="54D77655"/>
    <w:rsid w:val="55295806"/>
    <w:rsid w:val="55480552"/>
    <w:rsid w:val="55D3446A"/>
    <w:rsid w:val="56867584"/>
    <w:rsid w:val="56DF6C95"/>
    <w:rsid w:val="583F5C3D"/>
    <w:rsid w:val="593F63D3"/>
    <w:rsid w:val="59517F98"/>
    <w:rsid w:val="59D95C1D"/>
    <w:rsid w:val="5B21787C"/>
    <w:rsid w:val="5B394BC5"/>
    <w:rsid w:val="5B423ECD"/>
    <w:rsid w:val="5C0E6052"/>
    <w:rsid w:val="5C441A74"/>
    <w:rsid w:val="5CAB38A1"/>
    <w:rsid w:val="5CDA4DA9"/>
    <w:rsid w:val="5D125160"/>
    <w:rsid w:val="602A2D2E"/>
    <w:rsid w:val="61016185"/>
    <w:rsid w:val="61693D2A"/>
    <w:rsid w:val="62820F98"/>
    <w:rsid w:val="62873CEC"/>
    <w:rsid w:val="629E5C56"/>
    <w:rsid w:val="62CA07F9"/>
    <w:rsid w:val="637C5F97"/>
    <w:rsid w:val="638E5CCA"/>
    <w:rsid w:val="63CA71FA"/>
    <w:rsid w:val="64035B71"/>
    <w:rsid w:val="647924D6"/>
    <w:rsid w:val="64DB31B9"/>
    <w:rsid w:val="650C334B"/>
    <w:rsid w:val="65C15EE3"/>
    <w:rsid w:val="65DA6FA5"/>
    <w:rsid w:val="67486190"/>
    <w:rsid w:val="675535F2"/>
    <w:rsid w:val="681842B0"/>
    <w:rsid w:val="683E1A6D"/>
    <w:rsid w:val="684B5F38"/>
    <w:rsid w:val="68AD6BF3"/>
    <w:rsid w:val="68B7537B"/>
    <w:rsid w:val="68F1207D"/>
    <w:rsid w:val="68FB795E"/>
    <w:rsid w:val="69270753"/>
    <w:rsid w:val="69401815"/>
    <w:rsid w:val="6A7379C8"/>
    <w:rsid w:val="6AE87D9C"/>
    <w:rsid w:val="6C046B2A"/>
    <w:rsid w:val="6C861C34"/>
    <w:rsid w:val="6D5E495F"/>
    <w:rsid w:val="6E712470"/>
    <w:rsid w:val="6F8561D3"/>
    <w:rsid w:val="6FE253D4"/>
    <w:rsid w:val="70271B5B"/>
    <w:rsid w:val="70B54896"/>
    <w:rsid w:val="710870BC"/>
    <w:rsid w:val="71147F83"/>
    <w:rsid w:val="71A62431"/>
    <w:rsid w:val="71AC0C24"/>
    <w:rsid w:val="71C50B09"/>
    <w:rsid w:val="71DC5E53"/>
    <w:rsid w:val="71F238C8"/>
    <w:rsid w:val="723932A5"/>
    <w:rsid w:val="72695938"/>
    <w:rsid w:val="730B2698"/>
    <w:rsid w:val="731004AA"/>
    <w:rsid w:val="74424693"/>
    <w:rsid w:val="745B5755"/>
    <w:rsid w:val="773C67F0"/>
    <w:rsid w:val="77A358D1"/>
    <w:rsid w:val="77CD6969"/>
    <w:rsid w:val="77E37F3B"/>
    <w:rsid w:val="78992CEF"/>
    <w:rsid w:val="79464C25"/>
    <w:rsid w:val="7A97500D"/>
    <w:rsid w:val="7B503B39"/>
    <w:rsid w:val="7B8E6410"/>
    <w:rsid w:val="7BDA1655"/>
    <w:rsid w:val="7C084414"/>
    <w:rsid w:val="7CE87DA1"/>
    <w:rsid w:val="7D2C7C8E"/>
    <w:rsid w:val="7D456FA2"/>
    <w:rsid w:val="7DFA5EB0"/>
    <w:rsid w:val="7E3E736E"/>
    <w:rsid w:val="7E96535E"/>
    <w:rsid w:val="7F4219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autoRedefine/>
    <w:qFormat/>
    <w:uiPriority w:val="99"/>
    <w:pPr>
      <w:spacing w:before="120" w:after="200" w:line="276" w:lineRule="auto"/>
    </w:pPr>
    <w:rPr>
      <w:rFonts w:ascii="Arial" w:hAnsi="Arial"/>
      <w:sz w:val="24"/>
    </w:rPr>
  </w:style>
  <w:style w:type="paragraph" w:styleId="3">
    <w:name w:val="Body Text"/>
    <w:basedOn w:val="1"/>
    <w:link w:val="11"/>
    <w:autoRedefine/>
    <w:qFormat/>
    <w:uiPriority w:val="0"/>
    <w:pPr>
      <w:spacing w:after="120"/>
    </w:pPr>
  </w:style>
  <w:style w:type="paragraph" w:styleId="4">
    <w:name w:val="Date"/>
    <w:basedOn w:val="1"/>
    <w:next w:val="1"/>
    <w:link w:val="12"/>
    <w:autoRedefine/>
    <w:qFormat/>
    <w:uiPriority w:val="0"/>
    <w:pPr>
      <w:ind w:left="100" w:leftChars="2500"/>
    </w:pPr>
  </w:style>
  <w:style w:type="paragraph" w:styleId="5">
    <w:name w:val="Balloon Text"/>
    <w:basedOn w:val="1"/>
    <w:link w:val="13"/>
    <w:autoRedefine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1">
    <w:name w:val="Body Text Char"/>
    <w:basedOn w:val="10"/>
    <w:link w:val="3"/>
    <w:autoRedefine/>
    <w:qFormat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2">
    <w:name w:val="Date Char"/>
    <w:basedOn w:val="10"/>
    <w:link w:val="4"/>
    <w:autoRedefine/>
    <w:qFormat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3">
    <w:name w:val="Balloon Text Char"/>
    <w:basedOn w:val="10"/>
    <w:link w:val="5"/>
    <w:autoRedefine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4">
    <w:name w:val="Footer Char"/>
    <w:basedOn w:val="10"/>
    <w:link w:val="6"/>
    <w:autoRedefine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Header Char"/>
    <w:basedOn w:val="10"/>
    <w:link w:val="7"/>
    <w:autoRedefine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6">
    <w:name w:val="表格内容"/>
    <w:basedOn w:val="3"/>
    <w:autoRedefine/>
    <w:qFormat/>
    <w:uiPriority w:val="0"/>
    <w:pPr>
      <w:suppressLineNumbers/>
      <w:suppressAutoHyphens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9</Pages>
  <Words>2687</Words>
  <Characters>2902</Characters>
  <Lines>38</Lines>
  <Paragraphs>10</Paragraphs>
  <TotalTime>0</TotalTime>
  <ScaleCrop>false</ScaleCrop>
  <LinksUpToDate>false</LinksUpToDate>
  <CharactersWithSpaces>2925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2018-08-09T00:21:00Z</dcterms:created>
  <dc:creator>周继恩 10.105.113.143</dc:creator>
  <cp:lastModifiedBy>杨云</cp:lastModifiedBy>
  <cp:lastPrinted>2019-05-05T07:55:00Z</cp:lastPrinted>
  <dcterms:modified xsi:type="dcterms:W3CDTF">2024-03-21T02:13:44Z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2DF68B585E8A49D3A873200BFF508BE7_13</vt:lpwstr>
  </property>
</Properties>
</file>