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jc w:val="both"/>
        <w:textAlignment w:val="auto"/>
        <w:rPr>
          <w:rFonts w:hint="eastAsia" w:ascii="方正小标宋简体" w:hAnsi="方正小标宋简体" w:eastAsia="方正小标宋简体" w:cs="方正小标宋简体"/>
          <w:b/>
          <w:bCs/>
          <w:kern w:val="0"/>
          <w:sz w:val="72"/>
          <w:szCs w:val="7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微软雅黑" w:hAnsi="微软雅黑" w:eastAsia="微软雅黑" w:cs="微软雅黑"/>
          <w:kern w:val="0"/>
          <w:sz w:val="72"/>
          <w:szCs w:val="72"/>
          <w:lang w:val="en-US" w:eastAsia="zh-CN"/>
        </w:rPr>
      </w:pPr>
      <w:r>
        <w:rPr>
          <w:rFonts w:hint="eastAsia" w:ascii="微软雅黑" w:hAnsi="微软雅黑" w:eastAsia="微软雅黑" w:cs="微软雅黑"/>
          <w:kern w:val="0"/>
          <w:sz w:val="72"/>
          <w:szCs w:val="72"/>
          <w:lang w:val="en-US" w:eastAsia="zh-CN"/>
        </w:rPr>
        <w:t>岳阳县疾病预防控制中心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微软雅黑" w:hAnsi="微软雅黑" w:eastAsia="微软雅黑" w:cs="微软雅黑"/>
          <w:kern w:val="0"/>
          <w:sz w:val="72"/>
          <w:szCs w:val="72"/>
        </w:rPr>
      </w:pPr>
      <w:r>
        <w:rPr>
          <w:rFonts w:hint="eastAsia" w:ascii="微软雅黑" w:hAnsi="微软雅黑" w:eastAsia="微软雅黑" w:cs="微软雅黑"/>
          <w:kern w:val="0"/>
          <w:sz w:val="72"/>
          <w:szCs w:val="72"/>
          <w:lang w:eastAsia="zh-CN"/>
        </w:rPr>
        <w:t>202</w:t>
      </w:r>
      <w:r>
        <w:rPr>
          <w:rFonts w:hint="eastAsia" w:ascii="微软雅黑" w:hAnsi="微软雅黑" w:eastAsia="微软雅黑" w:cs="微软雅黑"/>
          <w:kern w:val="0"/>
          <w:sz w:val="72"/>
          <w:szCs w:val="72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kern w:val="0"/>
          <w:sz w:val="72"/>
          <w:szCs w:val="72"/>
          <w:lang w:eastAsia="zh-CN"/>
        </w:rPr>
        <w:t>年</w:t>
      </w:r>
      <w:r>
        <w:rPr>
          <w:rFonts w:hint="eastAsia" w:ascii="微软雅黑" w:hAnsi="微软雅黑" w:eastAsia="微软雅黑" w:cs="微软雅黑"/>
          <w:kern w:val="0"/>
          <w:sz w:val="72"/>
          <w:szCs w:val="72"/>
        </w:rPr>
        <w:t>度</w:t>
      </w:r>
      <w:r>
        <w:rPr>
          <w:rFonts w:hint="eastAsia" w:ascii="微软雅黑" w:hAnsi="微软雅黑" w:eastAsia="微软雅黑" w:cs="微软雅黑"/>
          <w:kern w:val="0"/>
          <w:sz w:val="72"/>
          <w:szCs w:val="72"/>
          <w:lang w:val="en-US" w:eastAsia="zh-CN"/>
        </w:rPr>
        <w:t>单位预算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880" w:firstLineChars="200"/>
        <w:jc w:val="center"/>
        <w:textAlignment w:val="auto"/>
        <w:rPr>
          <w:rFonts w:hint="eastAsia" w:ascii="黑体" w:hAnsi="黑体" w:eastAsia="黑体" w:cs="黑体"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880" w:firstLineChars="200"/>
        <w:jc w:val="center"/>
        <w:textAlignment w:val="auto"/>
        <w:rPr>
          <w:rFonts w:hint="eastAsia" w:ascii="黑体" w:hAnsi="黑体" w:eastAsia="黑体" w:cs="黑体"/>
          <w:kern w:val="0"/>
          <w:sz w:val="44"/>
          <w:szCs w:val="44"/>
        </w:rPr>
      </w:pPr>
      <w:r>
        <w:rPr>
          <w:rFonts w:hint="eastAsia" w:ascii="黑体" w:hAnsi="黑体" w:eastAsia="黑体" w:cs="黑体"/>
          <w:kern w:val="0"/>
          <w:sz w:val="44"/>
          <w:szCs w:val="44"/>
        </w:rPr>
        <w:t>目录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643" w:firstLineChars="200"/>
        <w:textAlignment w:val="auto"/>
        <w:rPr>
          <w:rFonts w:ascii="仿宋_GB2312" w:eastAsia="仿宋_GB2312"/>
          <w:b/>
          <w:bCs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黑体" w:cs="黑体"/>
          <w:color w:val="auto"/>
          <w:kern w:val="0"/>
          <w:sz w:val="32"/>
          <w:szCs w:val="32"/>
        </w:rPr>
      </w:pPr>
      <w:r>
        <w:rPr>
          <w:rFonts w:hint="eastAsia" w:eastAsia="黑体" w:cs="黑体"/>
          <w:color w:val="auto"/>
          <w:kern w:val="0"/>
          <w:sz w:val="32"/>
          <w:szCs w:val="32"/>
        </w:rPr>
        <w:t>第一部分</w:t>
      </w:r>
      <w:r>
        <w:rPr>
          <w:rFonts w:hint="eastAsia" w:eastAsia="黑体" w:cs="黑体"/>
          <w:color w:val="auto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eastAsia="黑体" w:cs="黑体"/>
          <w:color w:val="auto"/>
          <w:kern w:val="0"/>
          <w:sz w:val="32"/>
          <w:szCs w:val="32"/>
          <w:lang w:eastAsia="zh-CN"/>
        </w:rPr>
        <w:t>2024年</w:t>
      </w:r>
      <w:r>
        <w:rPr>
          <w:rFonts w:hint="eastAsia" w:eastAsia="黑体" w:cs="黑体"/>
          <w:color w:val="auto"/>
          <w:kern w:val="0"/>
          <w:sz w:val="32"/>
          <w:szCs w:val="32"/>
          <w:lang w:val="en-US" w:eastAsia="zh-CN"/>
        </w:rPr>
        <w:t>单位</w:t>
      </w:r>
      <w:r>
        <w:rPr>
          <w:rFonts w:hint="eastAsia" w:eastAsia="黑体" w:cs="黑体"/>
          <w:color w:val="auto"/>
          <w:kern w:val="0"/>
          <w:sz w:val="32"/>
          <w:szCs w:val="32"/>
          <w:lang w:eastAsia="zh-CN"/>
        </w:rPr>
        <w:t>预算</w:t>
      </w:r>
      <w:r>
        <w:rPr>
          <w:rFonts w:hint="eastAsia" w:eastAsia="黑体" w:cs="黑体"/>
          <w:color w:val="auto"/>
          <w:kern w:val="0"/>
          <w:sz w:val="32"/>
          <w:szCs w:val="32"/>
        </w:rPr>
        <w:t>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黑体" w:cs="黑体"/>
          <w:kern w:val="0"/>
          <w:sz w:val="32"/>
          <w:szCs w:val="32"/>
        </w:rPr>
      </w:pPr>
      <w:r>
        <w:rPr>
          <w:rFonts w:hint="eastAsia" w:eastAsia="黑体" w:cs="黑体"/>
          <w:kern w:val="0"/>
          <w:sz w:val="32"/>
          <w:szCs w:val="32"/>
        </w:rPr>
        <w:t>第二部分</w:t>
      </w:r>
      <w:r>
        <w:rPr>
          <w:rFonts w:hint="eastAsia" w:eastAsia="黑体" w:cs="黑体"/>
          <w:kern w:val="0"/>
          <w:sz w:val="32"/>
          <w:szCs w:val="32"/>
          <w:lang w:val="en-US" w:eastAsia="zh-CN"/>
        </w:rPr>
        <w:t xml:space="preserve">  单位</w:t>
      </w:r>
      <w:r>
        <w:rPr>
          <w:rFonts w:hint="eastAsia" w:eastAsia="黑体" w:cs="黑体"/>
          <w:kern w:val="0"/>
          <w:sz w:val="32"/>
          <w:szCs w:val="32"/>
          <w:lang w:eastAsia="zh-CN"/>
        </w:rPr>
        <w:t>预算</w:t>
      </w:r>
      <w:r>
        <w:rPr>
          <w:rFonts w:hint="eastAsia" w:eastAsia="黑体" w:cs="黑体"/>
          <w:kern w:val="0"/>
          <w:sz w:val="32"/>
          <w:szCs w:val="32"/>
        </w:rPr>
        <w:t>公开表格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2、收入总表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3、支出总表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4、支出预算分类汇总表（按政府预算经济分类）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5、支出预算分类汇总表（按部门预算经济分类）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6、财政拨款收支总表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7、一般公共预算支出表</w:t>
      </w:r>
    </w:p>
    <w:p>
      <w:pPr>
        <w:widowControl/>
        <w:spacing w:line="600" w:lineRule="exact"/>
        <w:ind w:firstLine="640" w:firstLineChars="200"/>
        <w:jc w:val="left"/>
      </w:pPr>
      <w:r>
        <w:rPr>
          <w:rFonts w:hint="eastAsia" w:eastAsia="仿宋_GB2312"/>
          <w:sz w:val="32"/>
          <w:szCs w:val="32"/>
          <w:lang w:val="en-US" w:eastAsia="zh-CN"/>
        </w:rPr>
        <w:t>8</w:t>
      </w:r>
      <w:r>
        <w:rPr>
          <w:rFonts w:eastAsia="仿宋_GB2312"/>
          <w:sz w:val="32"/>
          <w:szCs w:val="32"/>
        </w:rPr>
        <w:t>、</w:t>
      </w:r>
      <w:r>
        <w:rPr>
          <w:rFonts w:hint="eastAsia" w:eastAsia="仿宋_GB2312"/>
          <w:sz w:val="32"/>
          <w:szCs w:val="32"/>
        </w:rPr>
        <w:t>一般公共预算基本支出表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val="en-US" w:eastAsia="zh-CN"/>
        </w:rPr>
        <w:t>9</w:t>
      </w:r>
      <w:r>
        <w:rPr>
          <w:rFonts w:eastAsia="仿宋_GB2312"/>
          <w:sz w:val="32"/>
          <w:szCs w:val="32"/>
        </w:rPr>
        <w:t>、一般公共预算基本支出表-人员经费（工资福利支出）（按政府预算经济分类）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val="en-US" w:eastAsia="zh-CN"/>
        </w:rPr>
        <w:t>10</w:t>
      </w:r>
      <w:r>
        <w:rPr>
          <w:rFonts w:eastAsia="仿宋_GB2312"/>
          <w:sz w:val="32"/>
          <w:szCs w:val="32"/>
        </w:rPr>
        <w:t>、一般公共预算基本支出表-人员经费（工资福利支出）（按部门预算经济分类）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eastAsia="仿宋_GB2312"/>
          <w:sz w:val="32"/>
          <w:szCs w:val="32"/>
        </w:rPr>
        <w:t>、一般公共预算基本支出表-人员经费（对个人和家庭的补助）（按政府预算经济分类）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eastAsia="仿宋_GB2312"/>
          <w:sz w:val="32"/>
          <w:szCs w:val="32"/>
        </w:rPr>
        <w:t>、一般公共预算基本支出表-人员经费（对个人和家庭的补助）（按部门预算经济分类）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eastAsia="仿宋_GB2312"/>
          <w:sz w:val="32"/>
          <w:szCs w:val="32"/>
        </w:rPr>
        <w:t>、一般公共预算基本支出表-</w:t>
      </w:r>
      <w:r>
        <w:rPr>
          <w:rFonts w:hint="eastAsia" w:eastAsia="仿宋_GB2312"/>
          <w:sz w:val="32"/>
          <w:szCs w:val="32"/>
          <w:lang w:eastAsia="zh-CN"/>
        </w:rPr>
        <w:t>公用</w:t>
      </w:r>
      <w:r>
        <w:rPr>
          <w:rFonts w:eastAsia="仿宋_GB2312"/>
          <w:sz w:val="32"/>
          <w:szCs w:val="32"/>
        </w:rPr>
        <w:t>经费（商品和服务支出）（按政府预算经济分类）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4</w:t>
      </w:r>
      <w:r>
        <w:rPr>
          <w:rFonts w:eastAsia="仿宋_GB2312"/>
          <w:sz w:val="32"/>
          <w:szCs w:val="32"/>
        </w:rPr>
        <w:t>、一般公共预算基本支出表-</w:t>
      </w:r>
      <w:r>
        <w:rPr>
          <w:rFonts w:hint="eastAsia" w:eastAsia="仿宋_GB2312"/>
          <w:sz w:val="32"/>
          <w:szCs w:val="32"/>
          <w:lang w:eastAsia="zh-CN"/>
        </w:rPr>
        <w:t>公用</w:t>
      </w:r>
      <w:r>
        <w:rPr>
          <w:rFonts w:eastAsia="仿宋_GB2312"/>
          <w:sz w:val="32"/>
          <w:szCs w:val="32"/>
        </w:rPr>
        <w:t>经费（商品和服务支出）（按部门预算经济分类）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5</w:t>
      </w:r>
      <w:r>
        <w:rPr>
          <w:rFonts w:eastAsia="仿宋_GB2312"/>
          <w:sz w:val="32"/>
          <w:szCs w:val="32"/>
        </w:rPr>
        <w:t>、一般公共预算“三公”经费支出表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6</w:t>
      </w:r>
      <w:r>
        <w:rPr>
          <w:rFonts w:eastAsia="仿宋_GB2312"/>
          <w:sz w:val="32"/>
          <w:szCs w:val="32"/>
        </w:rPr>
        <w:t>、政府性基金预算支出表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7</w:t>
      </w:r>
      <w:r>
        <w:rPr>
          <w:rFonts w:eastAsia="仿宋_GB2312"/>
          <w:sz w:val="32"/>
          <w:szCs w:val="32"/>
        </w:rPr>
        <w:t>、政府性基金预算支出分类汇总表（按政府预算经济分类）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8</w:t>
      </w:r>
      <w:r>
        <w:rPr>
          <w:rFonts w:eastAsia="仿宋_GB2312"/>
          <w:sz w:val="32"/>
          <w:szCs w:val="32"/>
        </w:rPr>
        <w:t>、政府性基金预算支出分类汇总表（按部门预算经济分类）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9</w:t>
      </w:r>
      <w:r>
        <w:rPr>
          <w:rFonts w:eastAsia="仿宋_GB2312"/>
          <w:sz w:val="32"/>
          <w:szCs w:val="32"/>
        </w:rPr>
        <w:t>、国有资本经营预算支出表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val="en-US" w:eastAsia="zh-CN"/>
        </w:rPr>
        <w:t>20</w:t>
      </w:r>
      <w:r>
        <w:rPr>
          <w:rFonts w:eastAsia="仿宋_GB2312"/>
          <w:sz w:val="32"/>
          <w:szCs w:val="32"/>
        </w:rPr>
        <w:t>、财政专户管理资金预算支出表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eastAsia="仿宋_GB2312"/>
          <w:sz w:val="32"/>
          <w:szCs w:val="32"/>
        </w:rPr>
        <w:t>、专项资金预算汇总表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eastAsia" w:eastAsia="仿宋_GB2312"/>
          <w:sz w:val="32"/>
          <w:szCs w:val="32"/>
          <w:lang w:eastAsia="zh-CN"/>
        </w:rPr>
        <w:t>、</w:t>
      </w:r>
      <w:r>
        <w:rPr>
          <w:rFonts w:hint="eastAsia" w:eastAsia="仿宋_GB2312"/>
          <w:sz w:val="32"/>
          <w:szCs w:val="32"/>
          <w:lang w:val="en-US" w:eastAsia="zh-CN"/>
        </w:rPr>
        <w:t>项目支出</w:t>
      </w:r>
      <w:r>
        <w:rPr>
          <w:rFonts w:eastAsia="仿宋_GB2312"/>
          <w:sz w:val="32"/>
          <w:szCs w:val="32"/>
        </w:rPr>
        <w:t>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eastAsia="仿宋_GB2312"/>
          <w:sz w:val="32"/>
          <w:szCs w:val="32"/>
        </w:rPr>
        <w:t>、部门整体支出绩效目标表</w:t>
      </w:r>
    </w:p>
    <w:p>
      <w:pPr>
        <w:widowControl/>
        <w:spacing w:line="600" w:lineRule="exact"/>
        <w:ind w:firstLine="643" w:firstLineChars="200"/>
        <w:rPr>
          <w:rFonts w:hint="eastAsia" w:eastAsia="仿宋_GB2312" w:cs="仿宋_GB2312"/>
          <w:color w:val="FF0000"/>
          <w:kern w:val="0"/>
          <w:sz w:val="32"/>
          <w:szCs w:val="32"/>
        </w:rPr>
      </w:pPr>
      <w:r>
        <w:rPr>
          <w:rFonts w:eastAsia="仿宋_GB2312"/>
          <w:b/>
          <w:bCs w:val="0"/>
          <w:color w:val="FF0000"/>
          <w:kern w:val="0"/>
          <w:sz w:val="32"/>
          <w:szCs w:val="32"/>
        </w:rPr>
        <w:t>注：以上</w:t>
      </w:r>
      <w:r>
        <w:rPr>
          <w:rFonts w:hint="eastAsia" w:eastAsia="仿宋_GB2312"/>
          <w:b/>
          <w:bCs w:val="0"/>
          <w:color w:val="FF0000"/>
          <w:kern w:val="0"/>
          <w:sz w:val="32"/>
          <w:szCs w:val="32"/>
          <w:lang w:val="en-US" w:eastAsia="zh-CN"/>
        </w:rPr>
        <w:t>单位</w:t>
      </w:r>
      <w:r>
        <w:rPr>
          <w:rFonts w:hint="eastAsia" w:eastAsia="仿宋_GB2312"/>
          <w:b/>
          <w:bCs w:val="0"/>
          <w:color w:val="FF0000"/>
          <w:kern w:val="0"/>
          <w:sz w:val="32"/>
          <w:szCs w:val="32"/>
          <w:lang w:eastAsia="zh-CN"/>
        </w:rPr>
        <w:t>预算</w:t>
      </w:r>
      <w:r>
        <w:rPr>
          <w:rFonts w:hint="eastAsia" w:eastAsia="仿宋_GB2312"/>
          <w:b/>
          <w:bCs w:val="0"/>
          <w:color w:val="FF0000"/>
          <w:kern w:val="0"/>
          <w:sz w:val="32"/>
          <w:szCs w:val="32"/>
          <w:lang w:val="en-US" w:eastAsia="zh-CN"/>
        </w:rPr>
        <w:t>公开</w:t>
      </w:r>
      <w:r>
        <w:rPr>
          <w:rFonts w:eastAsia="仿宋_GB2312"/>
          <w:b/>
          <w:bCs w:val="0"/>
          <w:color w:val="FF0000"/>
          <w:kern w:val="0"/>
          <w:sz w:val="32"/>
          <w:szCs w:val="32"/>
        </w:rPr>
        <w:t>报表中，空表表示本</w:t>
      </w:r>
      <w:r>
        <w:rPr>
          <w:rFonts w:hint="eastAsia" w:eastAsia="仿宋_GB2312"/>
          <w:b/>
          <w:bCs w:val="0"/>
          <w:color w:val="FF0000"/>
          <w:kern w:val="0"/>
          <w:sz w:val="32"/>
          <w:szCs w:val="32"/>
          <w:lang w:val="en-US" w:eastAsia="zh-CN"/>
        </w:rPr>
        <w:t>单位</w:t>
      </w:r>
      <w:r>
        <w:rPr>
          <w:rFonts w:eastAsia="仿宋_GB2312"/>
          <w:b/>
          <w:bCs w:val="0"/>
          <w:color w:val="FF0000"/>
          <w:kern w:val="0"/>
          <w:sz w:val="32"/>
          <w:szCs w:val="32"/>
        </w:rPr>
        <w:t>无相关收支情况。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jc w:val="center"/>
        <w:textAlignment w:val="auto"/>
        <w:rPr>
          <w:rFonts w:hint="eastAsia" w:eastAsia="黑体" w:cs="黑体"/>
          <w:kern w:val="0"/>
          <w:sz w:val="32"/>
          <w:szCs w:val="32"/>
        </w:rPr>
      </w:pPr>
      <w:r>
        <w:rPr>
          <w:rFonts w:hint="eastAsia" w:eastAsia="黑体" w:cs="黑体"/>
          <w:kern w:val="0"/>
          <w:sz w:val="32"/>
          <w:szCs w:val="32"/>
        </w:rPr>
        <w:br w:type="page"/>
      </w:r>
      <w:r>
        <w:rPr>
          <w:rFonts w:hint="eastAsia" w:ascii="黑体" w:hAnsi="黑体" w:eastAsia="黑体" w:cs="黑体"/>
          <w:kern w:val="0"/>
          <w:sz w:val="32"/>
          <w:szCs w:val="32"/>
        </w:rPr>
        <w:t>第一部分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2024年单位预算</w:t>
      </w:r>
      <w:r>
        <w:rPr>
          <w:rFonts w:hint="eastAsia" w:ascii="黑体" w:hAnsi="黑体" w:eastAsia="黑体" w:cs="黑体"/>
          <w:kern w:val="0"/>
          <w:sz w:val="32"/>
          <w:szCs w:val="32"/>
        </w:rPr>
        <w:t>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一、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单位</w:t>
      </w:r>
      <w:r>
        <w:rPr>
          <w:rFonts w:hint="eastAsia" w:ascii="黑体" w:hAnsi="黑体" w:eastAsia="黑体" w:cs="黑体"/>
          <w:kern w:val="0"/>
          <w:sz w:val="32"/>
          <w:szCs w:val="32"/>
        </w:rPr>
        <w:t>基本概况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</w:rPr>
      </w:pPr>
      <w:r>
        <w:rPr>
          <w:rFonts w:hint="eastAsia" w:eastAsia="仿宋_GB2312" w:cs="仿宋_GB2312"/>
          <w:kern w:val="0"/>
          <w:sz w:val="32"/>
          <w:szCs w:val="32"/>
        </w:rPr>
        <w:t>（一）职能职责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中心目前承担着疾病预防与控制、突发公共卫生事件应急处置、疫情及健康相关因素信息管理、职业健康危害因素监测与控制、实验室检测分析与评价、健康教育与健康促进、技术指导与应用研究等七大职能。同时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承担着社会委托的预防保健、公共卫生等方面的技术咨询、技术服务；参与社区卫生服务，开展预防保健门诊服务；为社会提供各类健康相关产品的卫生检测、评价报告。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</w:rPr>
      </w:pPr>
      <w:r>
        <w:rPr>
          <w:rFonts w:hint="eastAsia" w:eastAsia="仿宋_GB2312" w:cs="仿宋_GB2312"/>
          <w:kern w:val="0"/>
          <w:sz w:val="32"/>
          <w:szCs w:val="32"/>
        </w:rPr>
        <w:t>（二）机构设置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本单位</w:t>
      </w:r>
      <w:r>
        <w:rPr>
          <w:rFonts w:hint="eastAsia" w:ascii="仿宋" w:hAnsi="仿宋" w:eastAsia="仿宋" w:cs="仿宋"/>
          <w:kern w:val="0"/>
          <w:sz w:val="32"/>
          <w:szCs w:val="32"/>
        </w:rPr>
        <w:t>共有干部职工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85</w:t>
      </w:r>
      <w:r>
        <w:rPr>
          <w:rFonts w:hint="eastAsia" w:ascii="仿宋" w:hAnsi="仿宋" w:eastAsia="仿宋" w:cs="仿宋"/>
          <w:kern w:val="0"/>
          <w:sz w:val="32"/>
          <w:szCs w:val="32"/>
        </w:rPr>
        <w:t>人，其中在职人数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55</w:t>
      </w:r>
      <w:r>
        <w:rPr>
          <w:rFonts w:hint="eastAsia" w:ascii="仿宋" w:hAnsi="仿宋" w:eastAsia="仿宋" w:cs="仿宋"/>
          <w:kern w:val="0"/>
          <w:sz w:val="32"/>
          <w:szCs w:val="32"/>
        </w:rPr>
        <w:t>人，离退人员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30</w:t>
      </w:r>
      <w:r>
        <w:rPr>
          <w:rFonts w:hint="eastAsia" w:ascii="仿宋" w:hAnsi="仿宋" w:eastAsia="仿宋" w:cs="仿宋"/>
          <w:kern w:val="0"/>
          <w:sz w:val="32"/>
          <w:szCs w:val="32"/>
        </w:rPr>
        <w:t>人；核定编制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55</w:t>
      </w:r>
      <w:r>
        <w:rPr>
          <w:rFonts w:hint="eastAsia" w:ascii="仿宋" w:hAnsi="仿宋" w:eastAsia="仿宋" w:cs="仿宋"/>
          <w:kern w:val="0"/>
          <w:sz w:val="32"/>
          <w:szCs w:val="32"/>
        </w:rPr>
        <w:t>名，实有人数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55</w:t>
      </w:r>
      <w:r>
        <w:rPr>
          <w:rFonts w:hint="eastAsia" w:ascii="仿宋" w:hAnsi="仿宋" w:eastAsia="仿宋" w:cs="仿宋"/>
          <w:kern w:val="0"/>
          <w:sz w:val="32"/>
          <w:szCs w:val="32"/>
        </w:rPr>
        <w:t>名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，专技人员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40人。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/>
        <w:textAlignment w:val="auto"/>
        <w:rPr>
          <w:rFonts w:hint="eastAsia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中心</w:t>
      </w:r>
      <w:r>
        <w:rPr>
          <w:rFonts w:hint="eastAsia" w:ascii="仿宋" w:hAnsi="仿宋" w:eastAsia="仿宋" w:cs="仿宋"/>
          <w:kern w:val="0"/>
          <w:sz w:val="32"/>
          <w:szCs w:val="32"/>
        </w:rPr>
        <w:t>内设1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kern w:val="0"/>
          <w:sz w:val="32"/>
          <w:szCs w:val="32"/>
        </w:rPr>
        <w:t>个科室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免疫规划室、学校卫生室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慢病防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控</w:t>
      </w:r>
      <w:r>
        <w:rPr>
          <w:rFonts w:hint="eastAsia" w:ascii="仿宋" w:hAnsi="仿宋" w:eastAsia="仿宋" w:cs="仿宋"/>
          <w:sz w:val="32"/>
          <w:szCs w:val="32"/>
        </w:rPr>
        <w:t>室、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急传科、</w:t>
      </w:r>
      <w:r>
        <w:rPr>
          <w:rFonts w:hint="eastAsia" w:ascii="仿宋" w:hAnsi="仿宋" w:eastAsia="仿宋" w:cs="仿宋"/>
          <w:sz w:val="32"/>
          <w:szCs w:val="32"/>
        </w:rPr>
        <w:t>公共卫生监测室、消毒与病媒生物控制室（消杀灭室）、职业病防治室、性病艾滋病防治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室（含</w:t>
      </w:r>
      <w:r>
        <w:rPr>
          <w:rFonts w:hint="eastAsia" w:ascii="仿宋" w:hAnsi="仿宋" w:eastAsia="仿宋" w:cs="仿宋"/>
          <w:sz w:val="32"/>
          <w:szCs w:val="32"/>
        </w:rPr>
        <w:t>美沙酮社区维持治疗门诊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、卫生检验室、预防接种门诊部、结核病防治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科</w:t>
      </w:r>
      <w:r>
        <w:rPr>
          <w:rFonts w:hint="eastAsia" w:ascii="仿宋" w:hAnsi="仿宋" w:eastAsia="仿宋" w:cs="仿宋"/>
          <w:sz w:val="32"/>
          <w:szCs w:val="32"/>
        </w:rPr>
        <w:t>、美沙酮社区维持治疗门诊部、质量控制室、财务室和办公室</w:t>
      </w:r>
      <w:r>
        <w:rPr>
          <w:rFonts w:hint="eastAsia" w:ascii="仿宋" w:hAnsi="仿宋" w:eastAsia="仿宋" w:cs="仿宋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、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单位</w:t>
      </w:r>
      <w:r>
        <w:rPr>
          <w:rFonts w:hint="eastAsia" w:ascii="黑体" w:hAnsi="黑体" w:eastAsia="黑体" w:cs="黑体"/>
          <w:kern w:val="0"/>
          <w:sz w:val="32"/>
          <w:szCs w:val="32"/>
        </w:rPr>
        <w:t>收支总体情况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（一）收入预算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eastAsia="仿宋_GB2312" w:cs="仿宋_GB2312"/>
          <w:kern w:val="0"/>
          <w:sz w:val="32"/>
          <w:szCs w:val="32"/>
          <w:lang w:val="en-US"/>
        </w:rPr>
      </w:pPr>
      <w:r>
        <w:rPr>
          <w:rFonts w:hint="eastAsia" w:eastAsia="仿宋_GB2312" w:cs="仿宋_GB2312"/>
          <w:kern w:val="0"/>
          <w:sz w:val="32"/>
          <w:szCs w:val="32"/>
          <w:lang w:eastAsia="zh-CN"/>
        </w:rPr>
        <w:t>包括一般公共预算、政府性基金、国有资本经营预算等财政拨款收入，以及经营收入、事业收入等单位资金。202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4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年本单位收入预算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727.44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万元，其中，一般公共预算拨款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727.44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万元，政府性基金预算拨款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万元，国有资本经营预算拨款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万元，财政专户管理资金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万元，上级补助收入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万元，事业单位经营收入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万元，上年结转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万元。</w:t>
      </w:r>
      <w:r>
        <w:rPr>
          <w:rFonts w:hint="eastAsia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eastAsia="zh-CN"/>
        </w:rPr>
        <w:t>（</w:t>
      </w:r>
      <w:r>
        <w:rPr>
          <w:rFonts w:hint="eastAsia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数据来源</w:t>
      </w:r>
      <w:r>
        <w:rPr>
          <w:rFonts w:hint="eastAsia" w:eastAsia="仿宋_GB2312" w:cs="仿宋_GB2312"/>
          <w:b/>
          <w:bCs/>
          <w:i w:val="0"/>
          <w:iCs w:val="0"/>
          <w:color w:val="FF0000"/>
          <w:kern w:val="0"/>
          <w:sz w:val="32"/>
          <w:szCs w:val="32"/>
          <w:u w:val="none"/>
          <w:lang w:val="en-US" w:eastAsia="zh-CN"/>
        </w:rPr>
        <w:t>见表2</w:t>
      </w:r>
      <w:r>
        <w:rPr>
          <w:rFonts w:hint="eastAsia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。</w:t>
      </w:r>
      <w:r>
        <w:rPr>
          <w:rFonts w:hint="eastAsia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eastAsia="zh-CN"/>
        </w:rPr>
        <w:t>没有基金、</w:t>
      </w:r>
      <w:r>
        <w:rPr>
          <w:rFonts w:hint="eastAsia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国有资本经营预算、</w:t>
      </w:r>
      <w:r>
        <w:rPr>
          <w:rFonts w:hint="eastAsia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eastAsia="zh-CN"/>
        </w:rPr>
        <w:t>财政专户管理资金，</w:t>
      </w:r>
      <w:r>
        <w:rPr>
          <w:rFonts w:hint="eastAsia" w:eastAsia="仿宋_GB2312" w:cs="仿宋_GB2312"/>
          <w:i w:val="0"/>
          <w:iCs w:val="0"/>
          <w:color w:val="3216DC"/>
          <w:kern w:val="0"/>
          <w:sz w:val="32"/>
          <w:szCs w:val="32"/>
          <w:u w:val="single"/>
          <w:lang w:eastAsia="zh-CN"/>
        </w:rPr>
        <w:t>本单位</w:t>
      </w:r>
      <w:r>
        <w:rPr>
          <w:rFonts w:hint="eastAsia" w:eastAsia="仿宋_GB2312" w:cs="仿宋_GB2312"/>
          <w:i w:val="0"/>
          <w:iCs w:val="0"/>
          <w:color w:val="3216DC"/>
          <w:kern w:val="0"/>
          <w:sz w:val="32"/>
          <w:szCs w:val="32"/>
          <w:u w:val="single"/>
        </w:rPr>
        <w:t>20</w:t>
      </w:r>
      <w:r>
        <w:rPr>
          <w:rFonts w:hint="eastAsia" w:eastAsia="仿宋_GB2312" w:cs="仿宋_GB2312"/>
          <w:i w:val="0"/>
          <w:iCs w:val="0"/>
          <w:color w:val="3216DC"/>
          <w:kern w:val="0"/>
          <w:sz w:val="32"/>
          <w:szCs w:val="32"/>
          <w:u w:val="single"/>
          <w:lang w:val="en-US" w:eastAsia="zh-CN"/>
        </w:rPr>
        <w:t>24</w:t>
      </w:r>
      <w:r>
        <w:rPr>
          <w:rFonts w:hint="eastAsia" w:eastAsia="仿宋_GB2312" w:cs="仿宋_GB2312"/>
          <w:i w:val="0"/>
          <w:iCs w:val="0"/>
          <w:color w:val="3216DC"/>
          <w:kern w:val="0"/>
          <w:sz w:val="32"/>
          <w:szCs w:val="32"/>
          <w:u w:val="single"/>
        </w:rPr>
        <w:t>年没有政府性基金预算拨款和纳入专户管理的非税收入拨款收入，也没有使用政府性基金预算拨款</w:t>
      </w:r>
      <w:r>
        <w:rPr>
          <w:rFonts w:hint="eastAsia" w:eastAsia="仿宋_GB2312" w:cs="仿宋_GB2312"/>
          <w:i w:val="0"/>
          <w:iCs w:val="0"/>
          <w:color w:val="3216DC"/>
          <w:kern w:val="0"/>
          <w:sz w:val="32"/>
          <w:szCs w:val="32"/>
          <w:u w:val="single"/>
          <w:lang w:eastAsia="zh-CN"/>
        </w:rPr>
        <w:t>、</w:t>
      </w:r>
      <w:r>
        <w:rPr>
          <w:rFonts w:hint="eastAsia" w:eastAsia="仿宋_GB2312" w:cs="仿宋_GB2312"/>
          <w:i w:val="0"/>
          <w:iCs w:val="0"/>
          <w:color w:val="3216DC"/>
          <w:kern w:val="0"/>
          <w:sz w:val="32"/>
          <w:szCs w:val="32"/>
          <w:u w:val="single"/>
        </w:rPr>
        <w:t>国有资本经营预算收入和纳入专户管理的非税收入拨款安排的支出，所以公开的附件</w:t>
      </w:r>
      <w:r>
        <w:rPr>
          <w:rFonts w:hint="eastAsia" w:eastAsia="仿宋_GB2312" w:cs="仿宋_GB2312"/>
          <w:i w:val="0"/>
          <w:iCs w:val="0"/>
          <w:color w:val="FF0000"/>
          <w:kern w:val="0"/>
          <w:sz w:val="32"/>
          <w:szCs w:val="32"/>
          <w:u w:val="single"/>
          <w:lang w:val="en-US" w:eastAsia="zh-CN"/>
        </w:rPr>
        <w:t>15-17（</w:t>
      </w:r>
      <w:r>
        <w:rPr>
          <w:rFonts w:hint="eastAsia" w:eastAsia="仿宋_GB2312" w:cs="仿宋_GB2312"/>
          <w:i w:val="0"/>
          <w:iCs w:val="0"/>
          <w:color w:val="FF0000"/>
          <w:kern w:val="0"/>
          <w:sz w:val="32"/>
          <w:szCs w:val="32"/>
          <w:u w:val="single"/>
        </w:rPr>
        <w:t>政府性基金预算</w:t>
      </w:r>
      <w:r>
        <w:rPr>
          <w:rFonts w:hint="eastAsia" w:eastAsia="仿宋_GB2312" w:cs="仿宋_GB2312"/>
          <w:i w:val="0"/>
          <w:iCs w:val="0"/>
          <w:color w:val="FF0000"/>
          <w:kern w:val="0"/>
          <w:sz w:val="32"/>
          <w:szCs w:val="32"/>
          <w:u w:val="single"/>
          <w:lang w:val="en-US" w:eastAsia="zh-CN"/>
        </w:rPr>
        <w:t>）</w:t>
      </w:r>
      <w:r>
        <w:rPr>
          <w:rFonts w:hint="eastAsia" w:eastAsia="仿宋_GB2312" w:cs="仿宋_GB2312"/>
          <w:i w:val="0"/>
          <w:iCs w:val="0"/>
          <w:color w:val="FF0000"/>
          <w:kern w:val="0"/>
          <w:sz w:val="32"/>
          <w:szCs w:val="32"/>
          <w:u w:val="single"/>
        </w:rPr>
        <w:t>、</w:t>
      </w:r>
      <w:r>
        <w:rPr>
          <w:rFonts w:hint="eastAsia" w:eastAsia="仿宋_GB2312" w:cs="仿宋_GB2312"/>
          <w:i w:val="0"/>
          <w:iCs w:val="0"/>
          <w:color w:val="FF0000"/>
          <w:kern w:val="0"/>
          <w:sz w:val="32"/>
          <w:szCs w:val="32"/>
          <w:u w:val="single"/>
          <w:lang w:val="en-US" w:eastAsia="zh-CN"/>
        </w:rPr>
        <w:t>18（</w:t>
      </w:r>
      <w:r>
        <w:rPr>
          <w:rFonts w:hint="eastAsia" w:eastAsia="仿宋_GB2312" w:cs="仿宋_GB2312"/>
          <w:i w:val="0"/>
          <w:iCs w:val="0"/>
          <w:color w:val="FF0000"/>
          <w:kern w:val="0"/>
          <w:sz w:val="32"/>
          <w:szCs w:val="32"/>
          <w:u w:val="single"/>
        </w:rPr>
        <w:t>国有资本经营预算</w:t>
      </w:r>
      <w:r>
        <w:rPr>
          <w:rFonts w:hint="eastAsia" w:eastAsia="仿宋_GB2312" w:cs="仿宋_GB2312"/>
          <w:i w:val="0"/>
          <w:iCs w:val="0"/>
          <w:color w:val="FF0000"/>
          <w:kern w:val="0"/>
          <w:sz w:val="32"/>
          <w:szCs w:val="32"/>
          <w:u w:val="single"/>
          <w:lang w:val="en-US" w:eastAsia="zh-CN"/>
        </w:rPr>
        <w:t>）</w:t>
      </w:r>
      <w:r>
        <w:rPr>
          <w:rFonts w:hint="eastAsia" w:eastAsia="仿宋_GB2312" w:cs="仿宋_GB2312"/>
          <w:i w:val="0"/>
          <w:iCs w:val="0"/>
          <w:color w:val="FF0000"/>
          <w:kern w:val="0"/>
          <w:sz w:val="32"/>
          <w:szCs w:val="32"/>
          <w:u w:val="single"/>
        </w:rPr>
        <w:t>、</w:t>
      </w:r>
      <w:r>
        <w:rPr>
          <w:rFonts w:hint="eastAsia" w:eastAsia="仿宋_GB2312" w:cs="仿宋_GB2312"/>
          <w:i w:val="0"/>
          <w:iCs w:val="0"/>
          <w:color w:val="FF0000"/>
          <w:kern w:val="0"/>
          <w:sz w:val="32"/>
          <w:szCs w:val="32"/>
          <w:u w:val="single"/>
          <w:lang w:val="en-US" w:eastAsia="zh-CN"/>
        </w:rPr>
        <w:t>19</w:t>
      </w:r>
      <w:r>
        <w:rPr>
          <w:rFonts w:hint="eastAsia" w:eastAsia="仿宋_GB2312" w:cs="仿宋_GB2312"/>
          <w:i w:val="0"/>
          <w:iCs w:val="0"/>
          <w:color w:val="FF0000"/>
          <w:kern w:val="0"/>
          <w:sz w:val="32"/>
          <w:szCs w:val="32"/>
          <w:u w:val="single"/>
        </w:rPr>
        <w:t>表</w:t>
      </w:r>
      <w:r>
        <w:rPr>
          <w:rFonts w:hint="eastAsia" w:eastAsia="仿宋_GB2312" w:cs="仿宋_GB2312"/>
          <w:i w:val="0"/>
          <w:iCs w:val="0"/>
          <w:color w:val="FF0000"/>
          <w:kern w:val="0"/>
          <w:sz w:val="32"/>
          <w:szCs w:val="32"/>
          <w:u w:val="single"/>
          <w:lang w:eastAsia="zh-CN"/>
        </w:rPr>
        <w:t>（</w:t>
      </w:r>
      <w:r>
        <w:rPr>
          <w:rFonts w:hint="eastAsia" w:eastAsia="仿宋_GB2312" w:cs="仿宋_GB2312"/>
          <w:i w:val="0"/>
          <w:iCs w:val="0"/>
          <w:color w:val="FF0000"/>
          <w:kern w:val="0"/>
          <w:sz w:val="32"/>
          <w:szCs w:val="32"/>
          <w:u w:val="single"/>
          <w:lang w:val="en-US" w:eastAsia="zh-CN"/>
        </w:rPr>
        <w:t>财政</w:t>
      </w:r>
      <w:r>
        <w:rPr>
          <w:rFonts w:hint="eastAsia" w:eastAsia="仿宋_GB2312" w:cs="仿宋_GB2312"/>
          <w:i w:val="0"/>
          <w:iCs w:val="0"/>
          <w:color w:val="FF0000"/>
          <w:kern w:val="0"/>
          <w:sz w:val="32"/>
          <w:szCs w:val="32"/>
          <w:u w:val="single"/>
        </w:rPr>
        <w:t>专户管理</w:t>
      </w:r>
      <w:r>
        <w:rPr>
          <w:rFonts w:hint="eastAsia" w:eastAsia="仿宋_GB2312" w:cs="仿宋_GB2312"/>
          <w:i w:val="0"/>
          <w:iCs w:val="0"/>
          <w:color w:val="FF0000"/>
          <w:kern w:val="0"/>
          <w:sz w:val="32"/>
          <w:szCs w:val="32"/>
          <w:u w:val="single"/>
          <w:lang w:val="en-US" w:eastAsia="zh-CN"/>
        </w:rPr>
        <w:t>资金</w:t>
      </w:r>
      <w:r>
        <w:rPr>
          <w:rFonts w:hint="eastAsia" w:eastAsia="仿宋_GB2312" w:cs="仿宋_GB2312"/>
          <w:i w:val="0"/>
          <w:iCs w:val="0"/>
          <w:color w:val="FF0000"/>
          <w:kern w:val="0"/>
          <w:sz w:val="32"/>
          <w:szCs w:val="32"/>
          <w:u w:val="single"/>
        </w:rPr>
        <w:t>预算</w:t>
      </w:r>
      <w:r>
        <w:rPr>
          <w:rFonts w:hint="eastAsia" w:eastAsia="仿宋_GB2312" w:cs="仿宋_GB2312"/>
          <w:i w:val="0"/>
          <w:iCs w:val="0"/>
          <w:color w:val="FF0000"/>
          <w:kern w:val="0"/>
          <w:sz w:val="32"/>
          <w:szCs w:val="32"/>
          <w:u w:val="single"/>
          <w:lang w:eastAsia="zh-CN"/>
        </w:rPr>
        <w:t>）</w:t>
      </w:r>
      <w:r>
        <w:rPr>
          <w:rFonts w:hint="eastAsia" w:eastAsia="仿宋_GB2312" w:cs="仿宋_GB2312"/>
          <w:i w:val="0"/>
          <w:iCs w:val="0"/>
          <w:color w:val="3216DC"/>
          <w:kern w:val="0"/>
          <w:sz w:val="32"/>
          <w:szCs w:val="32"/>
          <w:u w:val="single"/>
        </w:rPr>
        <w:t>均为空。</w:t>
      </w:r>
      <w:r>
        <w:rPr>
          <w:rFonts w:hint="eastAsia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eastAsia="zh-CN"/>
        </w:rPr>
        <w:t>”）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收入较去年</w:t>
      </w:r>
      <w:r>
        <w:rPr>
          <w:rFonts w:hint="eastAsia" w:eastAsia="仿宋_GB2312" w:cs="仿宋_GB2312"/>
          <w:color w:val="3216DC"/>
          <w:kern w:val="0"/>
          <w:sz w:val="32"/>
          <w:szCs w:val="32"/>
          <w:u w:val="single"/>
          <w:lang w:val="en-US" w:eastAsia="zh-CN"/>
        </w:rPr>
        <w:t>增加28.98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万元，主要是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因为预算编制人数增加3人。</w:t>
      </w:r>
    </w:p>
    <w:p>
      <w:pPr>
        <w:widowControl/>
        <w:spacing w:line="600" w:lineRule="exact"/>
        <w:ind w:firstLine="630" w:firstLineChars="196"/>
        <w:jc w:val="left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（二）支出预算</w:t>
      </w:r>
    </w:p>
    <w:p>
      <w:pPr>
        <w:widowControl/>
        <w:spacing w:line="600" w:lineRule="exact"/>
        <w:ind w:firstLine="627" w:firstLineChars="196"/>
        <w:jc w:val="left"/>
        <w:rPr>
          <w:rFonts w:hint="eastAsia" w:eastAsia="仿宋_GB2312" w:cs="仿宋_GB2312"/>
          <w:kern w:val="0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>2024年本单位</w:t>
      </w:r>
      <w:r>
        <w:rPr>
          <w:rFonts w:eastAsia="仿宋_GB2312"/>
          <w:sz w:val="32"/>
          <w:szCs w:val="32"/>
        </w:rPr>
        <w:t>支出预算</w:t>
      </w:r>
      <w:r>
        <w:rPr>
          <w:rFonts w:hint="eastAsia" w:eastAsia="仿宋_GB2312"/>
          <w:sz w:val="32"/>
          <w:szCs w:val="32"/>
          <w:lang w:val="en-US" w:eastAsia="zh-CN"/>
        </w:rPr>
        <w:t>727.44</w:t>
      </w:r>
      <w:r>
        <w:rPr>
          <w:rFonts w:eastAsia="仿宋_GB2312"/>
          <w:sz w:val="32"/>
          <w:szCs w:val="32"/>
        </w:rPr>
        <w:t>万元，其中，一般公共服务</w:t>
      </w:r>
      <w:r>
        <w:rPr>
          <w:rFonts w:hint="eastAsia" w:eastAsia="仿宋_GB2312"/>
          <w:sz w:val="32"/>
          <w:szCs w:val="32"/>
          <w:lang w:val="en-US" w:eastAsia="zh-CN"/>
        </w:rPr>
        <w:t>727.44</w:t>
      </w:r>
      <w:r>
        <w:rPr>
          <w:rFonts w:eastAsia="仿宋_GB2312"/>
          <w:sz w:val="32"/>
          <w:szCs w:val="32"/>
        </w:rPr>
        <w:t>万元，</w:t>
      </w:r>
      <w:r>
        <w:rPr>
          <w:rFonts w:hint="eastAsia" w:eastAsia="仿宋_GB2312"/>
          <w:color w:val="3216DC"/>
          <w:sz w:val="32"/>
          <w:szCs w:val="32"/>
          <w:lang w:eastAsia="zh-CN"/>
        </w:rPr>
        <w:t>（</w:t>
      </w:r>
      <w:r>
        <w:rPr>
          <w:rFonts w:hint="eastAsia" w:eastAsia="仿宋_GB2312"/>
          <w:color w:val="3216DC"/>
          <w:sz w:val="32"/>
          <w:szCs w:val="32"/>
          <w:lang w:val="en-US" w:eastAsia="zh-CN"/>
        </w:rPr>
        <w:t>按</w:t>
      </w:r>
      <w:r>
        <w:rPr>
          <w:rFonts w:hint="eastAsia" w:eastAsia="仿宋_GB2312" w:cs="仿宋_GB2312"/>
          <w:color w:val="3216DC"/>
          <w:kern w:val="0"/>
          <w:sz w:val="32"/>
          <w:szCs w:val="32"/>
          <w:lang w:eastAsia="zh-CN"/>
        </w:rPr>
        <w:t>类级</w:t>
      </w:r>
      <w:r>
        <w:rPr>
          <w:rFonts w:hint="eastAsia" w:eastAsia="仿宋_GB2312"/>
          <w:color w:val="3216DC"/>
          <w:sz w:val="32"/>
          <w:szCs w:val="32"/>
          <w:lang w:val="en-US" w:eastAsia="zh-CN"/>
        </w:rPr>
        <w:t>功能科目列出支出预算明细，</w:t>
      </w:r>
      <w:r>
        <w:rPr>
          <w:rFonts w:hint="eastAsia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数据来源</w:t>
      </w:r>
      <w:r>
        <w:rPr>
          <w:rFonts w:hint="eastAsia" w:eastAsia="仿宋_GB2312"/>
          <w:b/>
          <w:bCs/>
          <w:color w:val="FF0000"/>
          <w:sz w:val="32"/>
          <w:szCs w:val="32"/>
          <w:lang w:val="en-US" w:eastAsia="zh-CN"/>
        </w:rPr>
        <w:t>见表6</w:t>
      </w:r>
      <w:r>
        <w:rPr>
          <w:rFonts w:hint="eastAsia" w:eastAsia="仿宋_GB2312"/>
          <w:color w:val="3216DC"/>
          <w:sz w:val="32"/>
          <w:szCs w:val="32"/>
          <w:lang w:eastAsia="zh-CN"/>
        </w:rPr>
        <w:t>）</w:t>
      </w:r>
      <w:r>
        <w:rPr>
          <w:rFonts w:eastAsia="仿宋_GB2312"/>
          <w:sz w:val="32"/>
          <w:szCs w:val="32"/>
        </w:rPr>
        <w:t>。</w:t>
      </w:r>
      <w:r>
        <w:rPr>
          <w:rFonts w:hint="eastAsia" w:eastAsia="仿宋_GB2312"/>
          <w:sz w:val="32"/>
          <w:szCs w:val="32"/>
        </w:rPr>
        <w:t>支出较去年</w:t>
      </w:r>
      <w:r>
        <w:rPr>
          <w:rFonts w:hint="eastAsia" w:eastAsia="仿宋_GB2312" w:cs="仿宋_GB2312"/>
          <w:color w:val="3216DC"/>
          <w:kern w:val="0"/>
          <w:sz w:val="32"/>
          <w:szCs w:val="32"/>
          <w:u w:val="single"/>
          <w:lang w:eastAsia="zh-CN"/>
        </w:rPr>
        <w:t>增加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28.98</w:t>
      </w:r>
      <w:r>
        <w:rPr>
          <w:rFonts w:hint="eastAsia" w:eastAsia="仿宋_GB2312"/>
          <w:sz w:val="32"/>
          <w:szCs w:val="32"/>
        </w:rPr>
        <w:t>万元，</w:t>
      </w:r>
      <w:r>
        <w:rPr>
          <w:rFonts w:hint="eastAsia" w:eastAsia="仿宋_GB2312"/>
          <w:sz w:val="32"/>
          <w:szCs w:val="32"/>
          <w:lang w:eastAsia="zh-CN"/>
        </w:rPr>
        <w:t>其中</w:t>
      </w:r>
      <w:r>
        <w:rPr>
          <w:rFonts w:hint="eastAsia" w:eastAsia="仿宋_GB2312"/>
          <w:sz w:val="32"/>
          <w:szCs w:val="32"/>
        </w:rPr>
        <w:t>基本支出</w:t>
      </w:r>
      <w:r>
        <w:rPr>
          <w:rFonts w:hint="eastAsia" w:eastAsia="仿宋_GB2312" w:cs="仿宋_GB2312"/>
          <w:color w:val="3216DC"/>
          <w:kern w:val="0"/>
          <w:sz w:val="32"/>
          <w:szCs w:val="32"/>
          <w:u w:val="single"/>
          <w:lang w:eastAsia="zh-CN"/>
        </w:rPr>
        <w:t>增加</w:t>
      </w:r>
      <w:r>
        <w:rPr>
          <w:rFonts w:hint="eastAsia" w:eastAsia="仿宋_GB2312" w:cs="仿宋_GB2312"/>
          <w:color w:val="3216DC"/>
          <w:kern w:val="0"/>
          <w:sz w:val="32"/>
          <w:szCs w:val="32"/>
          <w:u w:val="single"/>
          <w:lang w:val="en-US" w:eastAsia="zh-CN"/>
        </w:rPr>
        <w:t>28.98</w:t>
      </w:r>
      <w:r>
        <w:rPr>
          <w:rFonts w:hint="eastAsia" w:eastAsia="仿宋_GB2312"/>
          <w:sz w:val="32"/>
          <w:szCs w:val="32"/>
        </w:rPr>
        <w:t>万元，项目支出</w:t>
      </w:r>
      <w:r>
        <w:rPr>
          <w:rFonts w:hint="eastAsia" w:eastAsia="仿宋_GB2312" w:cs="仿宋_GB2312"/>
          <w:color w:val="3216DC"/>
          <w:kern w:val="0"/>
          <w:sz w:val="32"/>
          <w:szCs w:val="32"/>
          <w:u w:val="single"/>
          <w:lang w:val="en-US" w:eastAsia="zh-CN"/>
        </w:rPr>
        <w:t>无增减</w:t>
      </w:r>
      <w:r>
        <w:rPr>
          <w:rFonts w:hint="eastAsia" w:ascii="Times New Roman" w:hAnsi="Times New Roman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（</w:t>
      </w:r>
      <w:r>
        <w:rPr>
          <w:rFonts w:hint="eastAsia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数据来源</w:t>
      </w:r>
      <w:r>
        <w:rPr>
          <w:rFonts w:hint="eastAsia" w:eastAsia="仿宋_GB2312"/>
          <w:b/>
          <w:bCs/>
          <w:color w:val="FF0000"/>
          <w:sz w:val="32"/>
          <w:szCs w:val="32"/>
          <w:lang w:val="en-US" w:eastAsia="zh-CN"/>
        </w:rPr>
        <w:t>见表7、16、19、20</w:t>
      </w:r>
      <w:r>
        <w:rPr>
          <w:rFonts w:hint="eastAsia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，将其基本支出、项目支出相加</w:t>
      </w:r>
      <w:r>
        <w:rPr>
          <w:rFonts w:hint="eastAsia" w:ascii="Times New Roman" w:hAnsi="Times New Roman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）</w:t>
      </w:r>
      <w:r>
        <w:rPr>
          <w:rFonts w:hint="eastAsia" w:eastAsia="仿宋_GB2312"/>
          <w:sz w:val="32"/>
          <w:szCs w:val="32"/>
        </w:rPr>
        <w:t>。</w:t>
      </w:r>
      <w:r>
        <w:rPr>
          <w:rFonts w:hint="eastAsia" w:eastAsia="仿宋_GB2312"/>
          <w:sz w:val="32"/>
          <w:szCs w:val="32"/>
          <w:lang w:eastAsia="zh-CN"/>
        </w:rPr>
        <w:t>其中基本支出较上年</w:t>
      </w:r>
      <w:r>
        <w:rPr>
          <w:rFonts w:hint="eastAsia" w:eastAsia="仿宋_GB2312" w:cs="仿宋_GB2312"/>
          <w:color w:val="3216DC"/>
          <w:kern w:val="0"/>
          <w:sz w:val="32"/>
          <w:szCs w:val="32"/>
          <w:u w:val="single"/>
          <w:lang w:eastAsia="zh-CN"/>
        </w:rPr>
        <w:t>增加</w:t>
      </w:r>
      <w:r>
        <w:rPr>
          <w:rFonts w:hint="eastAsia" w:eastAsia="仿宋_GB2312"/>
          <w:sz w:val="32"/>
          <w:szCs w:val="32"/>
          <w:lang w:eastAsia="zh-CN"/>
        </w:rPr>
        <w:t>主要是</w:t>
      </w:r>
      <w:r>
        <w:rPr>
          <w:rFonts w:hint="eastAsia" w:eastAsia="仿宋_GB2312"/>
          <w:sz w:val="32"/>
          <w:szCs w:val="32"/>
          <w:lang w:val="en-US" w:eastAsia="zh-CN"/>
        </w:rPr>
        <w:t>因为编制人数增加3人</w:t>
      </w:r>
      <w:r>
        <w:rPr>
          <w:rFonts w:hint="eastAsia" w:eastAsia="仿宋_GB2312"/>
          <w:sz w:val="32"/>
          <w:szCs w:val="32"/>
          <w:lang w:eastAsia="zh-CN"/>
        </w:rPr>
        <w:t>，项目支出</w:t>
      </w:r>
      <w:r>
        <w:rPr>
          <w:rFonts w:hint="eastAsia" w:eastAsia="仿宋_GB2312" w:cs="仿宋_GB2312"/>
          <w:color w:val="3216DC"/>
          <w:kern w:val="0"/>
          <w:sz w:val="32"/>
          <w:szCs w:val="32"/>
          <w:u w:val="single"/>
          <w:lang w:val="en-US" w:eastAsia="zh-CN"/>
        </w:rPr>
        <w:t>无增减。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三、</w:t>
      </w:r>
      <w:r>
        <w:rPr>
          <w:rFonts w:hint="eastAsia" w:ascii="黑体" w:hAnsi="黑体" w:eastAsia="黑体" w:cs="黑体"/>
          <w:kern w:val="0"/>
          <w:sz w:val="32"/>
          <w:szCs w:val="32"/>
        </w:rPr>
        <w:t>一般公共预算拨款支出预算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eastAsia="仿宋_GB2312" w:cs="仿宋_GB2312"/>
          <w:kern w:val="0"/>
          <w:sz w:val="32"/>
          <w:szCs w:val="32"/>
          <w:lang w:eastAsia="zh-CN"/>
        </w:rPr>
        <w:t>2024年</w:t>
      </w:r>
      <w:r>
        <w:rPr>
          <w:rFonts w:hint="eastAsia" w:eastAsia="仿宋_GB2312" w:cs="仿宋_GB2312"/>
          <w:kern w:val="0"/>
          <w:sz w:val="32"/>
          <w:szCs w:val="32"/>
        </w:rPr>
        <w:t>一般公共预算拨款支出预算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727.44</w:t>
      </w:r>
      <w:r>
        <w:rPr>
          <w:rFonts w:hint="eastAsia" w:eastAsia="仿宋_GB2312" w:cs="仿宋_GB2312"/>
          <w:kern w:val="0"/>
          <w:sz w:val="32"/>
          <w:szCs w:val="32"/>
        </w:rPr>
        <w:t>万元，其中</w:t>
      </w:r>
      <w:r>
        <w:rPr>
          <w:rFonts w:eastAsia="仿宋_GB2312"/>
          <w:sz w:val="32"/>
          <w:szCs w:val="32"/>
        </w:rPr>
        <w:t>，一般公共服务支出</w:t>
      </w:r>
      <w:r>
        <w:rPr>
          <w:rFonts w:hint="eastAsia" w:eastAsia="仿宋_GB2312"/>
          <w:sz w:val="32"/>
          <w:szCs w:val="32"/>
          <w:lang w:val="en-US" w:eastAsia="zh-CN"/>
        </w:rPr>
        <w:t>727.44</w:t>
      </w:r>
      <w:r>
        <w:rPr>
          <w:rFonts w:eastAsia="仿宋_GB2312"/>
          <w:sz w:val="32"/>
          <w:szCs w:val="32"/>
        </w:rPr>
        <w:t>万元，占</w:t>
      </w:r>
      <w:r>
        <w:rPr>
          <w:rFonts w:hint="eastAsia" w:eastAsia="仿宋_GB2312"/>
          <w:sz w:val="32"/>
          <w:szCs w:val="32"/>
          <w:lang w:val="en-US" w:eastAsia="zh-CN"/>
        </w:rPr>
        <w:t>100</w:t>
      </w:r>
      <w:r>
        <w:rPr>
          <w:rFonts w:hint="eastAsia" w:eastAsia="仿宋_GB2312"/>
          <w:sz w:val="32"/>
          <w:szCs w:val="32"/>
          <w:u w:val="none"/>
        </w:rPr>
        <w:t>%</w:t>
      </w:r>
      <w:r>
        <w:rPr>
          <w:rFonts w:eastAsia="仿宋_GB2312"/>
          <w:sz w:val="32"/>
          <w:szCs w:val="32"/>
        </w:rPr>
        <w:t>；</w:t>
      </w:r>
      <w:r>
        <w:rPr>
          <w:rFonts w:hint="eastAsia" w:eastAsia="仿宋_GB2312" w:cs="仿宋_GB2312"/>
          <w:color w:val="3216DC"/>
          <w:kern w:val="0"/>
          <w:sz w:val="32"/>
          <w:szCs w:val="32"/>
          <w:lang w:eastAsia="zh-CN"/>
        </w:rPr>
        <w:t>（</w:t>
      </w:r>
      <w:r>
        <w:rPr>
          <w:rFonts w:hint="eastAsia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数据来源</w:t>
      </w:r>
      <w:r>
        <w:rPr>
          <w:rFonts w:hint="eastAsia" w:eastAsia="仿宋_GB2312"/>
          <w:b/>
          <w:bCs/>
          <w:color w:val="FF0000"/>
          <w:sz w:val="32"/>
          <w:szCs w:val="32"/>
          <w:lang w:val="en-US" w:eastAsia="zh-CN"/>
        </w:rPr>
        <w:t>见表7</w:t>
      </w:r>
      <w:r>
        <w:rPr>
          <w:rFonts w:hint="eastAsia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，</w:t>
      </w:r>
      <w:r>
        <w:rPr>
          <w:rFonts w:hint="eastAsia" w:eastAsia="仿宋_GB2312" w:cs="仿宋_GB2312"/>
          <w:color w:val="3216DC"/>
          <w:kern w:val="0"/>
          <w:sz w:val="32"/>
          <w:szCs w:val="32"/>
          <w:lang w:eastAsia="zh-CN"/>
        </w:rPr>
        <w:t>按类级功能科目说明每大类功能科目下的金额和比例）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具体安排情况如下：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eastAsia="仿宋_GB2312" w:cs="仿宋_GB2312"/>
          <w:kern w:val="0"/>
          <w:sz w:val="32"/>
          <w:szCs w:val="32"/>
        </w:rPr>
        <w:t>（一）基本支出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：2024年基本支出年初预算数为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622.44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</w:t>
      </w:r>
      <w:r>
        <w:rPr>
          <w:rFonts w:hint="eastAsia" w:ascii="Times New Roman" w:hAnsi="Times New Roman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（</w:t>
      </w:r>
      <w:r>
        <w:rPr>
          <w:rFonts w:hint="eastAsia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数据来源</w:t>
      </w:r>
      <w:r>
        <w:rPr>
          <w:rFonts w:hint="eastAsia" w:eastAsia="仿宋_GB2312"/>
          <w:b/>
          <w:bCs/>
          <w:color w:val="FF0000"/>
          <w:sz w:val="32"/>
          <w:szCs w:val="32"/>
          <w:lang w:val="en-US" w:eastAsia="zh-CN"/>
        </w:rPr>
        <w:t>见表5</w:t>
      </w:r>
      <w:r>
        <w:rPr>
          <w:rFonts w:hint="eastAsia" w:ascii="Times New Roman" w:hAnsi="Times New Roman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）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，是指为保障单位机构正常运转、完成日常工作任务而发生的各项支出，包括用于基本工资、津贴补贴等人员经费以及办公费、印刷费、水电费、差旅费等日常公用经费。</w:t>
      </w:r>
    </w:p>
    <w:p>
      <w:pPr>
        <w:widowControl/>
        <w:spacing w:line="600" w:lineRule="exact"/>
        <w:ind w:firstLine="660"/>
        <w:jc w:val="left"/>
        <w:rPr>
          <w:rFonts w:hint="eastAsia" w:eastAsia="仿宋_GB2312"/>
          <w:sz w:val="32"/>
          <w:szCs w:val="32"/>
        </w:rPr>
      </w:pPr>
      <w:r>
        <w:rPr>
          <w:rFonts w:hint="eastAsia" w:eastAsia="仿宋_GB2312" w:cs="仿宋_GB2312"/>
          <w:kern w:val="0"/>
          <w:sz w:val="32"/>
          <w:szCs w:val="32"/>
        </w:rPr>
        <w:t>（二）项目支出：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2024年</w:t>
      </w:r>
      <w:r>
        <w:rPr>
          <w:rFonts w:hint="eastAsia" w:eastAsia="仿宋_GB2312" w:cs="仿宋_GB2312"/>
          <w:kern w:val="0"/>
          <w:sz w:val="32"/>
          <w:szCs w:val="32"/>
        </w:rPr>
        <w:t>项目支出年初预算数为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105</w:t>
      </w:r>
      <w:r>
        <w:rPr>
          <w:rFonts w:hint="eastAsia" w:eastAsia="仿宋_GB2312" w:cs="仿宋_GB2312"/>
          <w:kern w:val="0"/>
          <w:sz w:val="32"/>
          <w:szCs w:val="32"/>
        </w:rPr>
        <w:t>万元</w:t>
      </w:r>
      <w:r>
        <w:rPr>
          <w:rFonts w:hint="eastAsia" w:ascii="Times New Roman" w:hAnsi="Times New Roman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（</w:t>
      </w:r>
      <w:r>
        <w:rPr>
          <w:rFonts w:hint="eastAsia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数据来源</w:t>
      </w:r>
      <w:r>
        <w:rPr>
          <w:rFonts w:hint="eastAsia" w:eastAsia="仿宋_GB2312"/>
          <w:b/>
          <w:bCs/>
          <w:color w:val="FF0000"/>
          <w:sz w:val="32"/>
          <w:szCs w:val="32"/>
          <w:lang w:val="en-US" w:eastAsia="zh-CN"/>
        </w:rPr>
        <w:t>见表5</w:t>
      </w:r>
      <w:r>
        <w:rPr>
          <w:rFonts w:hint="eastAsia" w:ascii="Times New Roman" w:hAnsi="Times New Roman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）</w:t>
      </w:r>
      <w:r>
        <w:rPr>
          <w:rFonts w:hint="eastAsia" w:eastAsia="仿宋_GB2312" w:cs="仿宋_GB2312"/>
          <w:kern w:val="0"/>
          <w:sz w:val="32"/>
          <w:szCs w:val="32"/>
        </w:rPr>
        <w:t>，是指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 w:cs="仿宋_GB2312"/>
          <w:kern w:val="0"/>
          <w:sz w:val="32"/>
          <w:szCs w:val="32"/>
        </w:rPr>
        <w:t>为完成特定行政工作任务或事业发展目标而发生的支出，包括有关业务工作经费</w:t>
      </w:r>
      <w:r>
        <w:rPr>
          <w:rFonts w:hint="eastAsia" w:eastAsia="仿宋_GB2312"/>
          <w:sz w:val="32"/>
          <w:szCs w:val="32"/>
          <w:lang w:eastAsia="zh-CN"/>
        </w:rPr>
        <w:t>、</w:t>
      </w:r>
      <w:r>
        <w:rPr>
          <w:rFonts w:hint="eastAsia" w:eastAsia="仿宋_GB2312"/>
          <w:sz w:val="32"/>
          <w:szCs w:val="32"/>
        </w:rPr>
        <w:t>运行维护经费</w:t>
      </w:r>
      <w:r>
        <w:rPr>
          <w:rFonts w:hint="eastAsia" w:eastAsia="仿宋_GB2312"/>
          <w:sz w:val="32"/>
          <w:szCs w:val="32"/>
          <w:lang w:val="en-US" w:eastAsia="zh-CN"/>
        </w:rPr>
        <w:t>等</w:t>
      </w:r>
      <w:r>
        <w:rPr>
          <w:rFonts w:hint="eastAsia" w:eastAsia="仿宋_GB2312"/>
          <w:sz w:val="32"/>
          <w:szCs w:val="32"/>
        </w:rPr>
        <w:t>。其中：业务工作经费支出</w:t>
      </w:r>
      <w:r>
        <w:rPr>
          <w:rFonts w:hint="eastAsia" w:eastAsia="仿宋_GB2312"/>
          <w:sz w:val="32"/>
          <w:szCs w:val="32"/>
          <w:lang w:val="en-US" w:eastAsia="zh-CN"/>
        </w:rPr>
        <w:t>105</w:t>
      </w:r>
      <w:r>
        <w:rPr>
          <w:rFonts w:hint="eastAsia" w:eastAsia="仿宋_GB2312"/>
          <w:sz w:val="32"/>
          <w:szCs w:val="32"/>
        </w:rPr>
        <w:t>万元，其中：</w:t>
      </w:r>
      <w:r>
        <w:rPr>
          <w:rFonts w:hint="eastAsia" w:eastAsia="仿宋_GB2312"/>
          <w:sz w:val="32"/>
          <w:szCs w:val="32"/>
          <w:lang w:val="en-US" w:eastAsia="zh-CN"/>
        </w:rPr>
        <w:t>艾滋病防治10</w:t>
      </w:r>
      <w:r>
        <w:rPr>
          <w:rFonts w:hint="eastAsia" w:eastAsia="仿宋_GB2312"/>
          <w:sz w:val="32"/>
          <w:szCs w:val="32"/>
        </w:rPr>
        <w:t>万元，主要用</w:t>
      </w:r>
      <w:r>
        <w:rPr>
          <w:rFonts w:hint="eastAsia" w:eastAsia="仿宋_GB2312"/>
          <w:sz w:val="32"/>
          <w:szCs w:val="32"/>
          <w:lang w:val="en-US" w:eastAsia="zh-CN"/>
        </w:rPr>
        <w:t>于吸毒人员维持治疗</w:t>
      </w:r>
      <w:r>
        <w:rPr>
          <w:rFonts w:hint="eastAsia" w:eastAsia="仿宋_GB2312"/>
          <w:sz w:val="32"/>
          <w:szCs w:val="32"/>
        </w:rPr>
        <w:t>；</w:t>
      </w:r>
      <w:r>
        <w:rPr>
          <w:rFonts w:hint="eastAsia" w:eastAsia="仿宋_GB2312"/>
          <w:sz w:val="32"/>
          <w:szCs w:val="32"/>
          <w:lang w:val="en-US" w:eastAsia="zh-CN"/>
        </w:rPr>
        <w:t>计划免疫55</w:t>
      </w:r>
      <w:r>
        <w:rPr>
          <w:rFonts w:hint="eastAsia" w:eastAsia="仿宋_GB2312"/>
          <w:sz w:val="32"/>
          <w:szCs w:val="32"/>
        </w:rPr>
        <w:t>万元，主要用</w:t>
      </w:r>
      <w:r>
        <w:rPr>
          <w:rFonts w:hint="eastAsia" w:eastAsia="仿宋_GB2312"/>
          <w:sz w:val="32"/>
          <w:szCs w:val="32"/>
          <w:lang w:val="en-US" w:eastAsia="zh-CN"/>
        </w:rPr>
        <w:t>于全县0-7岁儿童免费疫苗接种；委托卫生防疫服务体检及中小学水质检测40万元，主要用于全县从业人员免费体检、中小学水质检测。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</w:rPr>
        <w:t>、政府性基金预算支出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color w:val="3216DC"/>
          <w:kern w:val="0"/>
          <w:sz w:val="32"/>
          <w:szCs w:val="32"/>
          <w:lang w:eastAsia="zh-CN"/>
        </w:rPr>
      </w:pPr>
      <w:r>
        <w:rPr>
          <w:rFonts w:hint="eastAsia" w:eastAsia="仿宋_GB2312" w:cs="仿宋_GB2312"/>
          <w:color w:val="auto"/>
          <w:kern w:val="0"/>
          <w:sz w:val="32"/>
          <w:szCs w:val="32"/>
          <w:lang w:val="en-US" w:eastAsia="zh-CN"/>
        </w:rPr>
        <w:t>本单位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2024年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val="en-US" w:eastAsia="zh-CN"/>
        </w:rPr>
        <w:t>无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政府性基金预算拨款支出预算，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val="en-US" w:eastAsia="zh-CN"/>
        </w:rPr>
        <w:t>故表16-18为空。</w:t>
      </w:r>
      <w:r>
        <w:rPr>
          <w:rFonts w:hint="eastAsia" w:eastAsia="仿宋_GB2312" w:cs="仿宋_GB2312"/>
          <w:color w:val="3216DC"/>
          <w:kern w:val="0"/>
          <w:sz w:val="32"/>
          <w:szCs w:val="32"/>
          <w:lang w:eastAsia="zh-CN"/>
        </w:rPr>
        <w:t>（</w:t>
      </w:r>
      <w:r>
        <w:rPr>
          <w:rFonts w:hint="eastAsia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数据来源</w:t>
      </w:r>
      <w:r>
        <w:rPr>
          <w:rFonts w:hint="eastAsia" w:eastAsia="仿宋_GB2312"/>
          <w:b/>
          <w:bCs/>
          <w:color w:val="FF0000"/>
          <w:sz w:val="32"/>
          <w:szCs w:val="32"/>
          <w:lang w:val="en-US" w:eastAsia="zh-CN"/>
        </w:rPr>
        <w:t>见表16</w:t>
      </w:r>
      <w:r>
        <w:rPr>
          <w:rFonts w:hint="eastAsia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，</w:t>
      </w:r>
      <w:r>
        <w:rPr>
          <w:rFonts w:hint="eastAsia" w:eastAsia="仿宋_GB2312" w:cs="仿宋_GB2312"/>
          <w:color w:val="3216DC"/>
          <w:kern w:val="0"/>
          <w:sz w:val="32"/>
          <w:szCs w:val="32"/>
          <w:lang w:eastAsia="zh-CN"/>
        </w:rPr>
        <w:t>按类级功能科目说明每大类功能科目下的金额和比例）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 w:cs="黑体"/>
          <w:kern w:val="0"/>
          <w:sz w:val="32"/>
          <w:szCs w:val="32"/>
        </w:rPr>
        <w:t>、其他重要事项的情况说明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（一）机关运行经费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eastAsia="仿宋_GB2312"/>
          <w:kern w:val="0"/>
          <w:sz w:val="32"/>
          <w:szCs w:val="32"/>
          <w:lang w:val="en-US" w:eastAsia="zh-CN"/>
        </w:rPr>
      </w:pPr>
      <w:r>
        <w:rPr>
          <w:rFonts w:hint="eastAsia" w:eastAsia="仿宋_GB2312" w:cs="仿宋_GB2312"/>
          <w:kern w:val="0"/>
          <w:sz w:val="32"/>
          <w:szCs w:val="32"/>
          <w:lang w:eastAsia="zh-CN"/>
        </w:rPr>
        <w:t>本单位2024年</w:t>
      </w:r>
      <w:r>
        <w:rPr>
          <w:rFonts w:hint="eastAsia" w:eastAsia="仿宋_GB2312" w:cs="仿宋_GB2312"/>
          <w:kern w:val="0"/>
          <w:sz w:val="32"/>
          <w:szCs w:val="32"/>
        </w:rPr>
        <w:t>机关运行经费当年一般公共预算拨款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727.44</w:t>
      </w:r>
      <w:r>
        <w:rPr>
          <w:rFonts w:hint="eastAsia" w:eastAsia="仿宋_GB2312" w:cs="仿宋_GB2312"/>
          <w:kern w:val="0"/>
          <w:sz w:val="32"/>
          <w:szCs w:val="32"/>
        </w:rPr>
        <w:t>万元</w:t>
      </w:r>
      <w:r>
        <w:rPr>
          <w:rFonts w:hint="eastAsia" w:ascii="Times New Roman" w:hAnsi="Times New Roman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（</w:t>
      </w:r>
      <w:r>
        <w:rPr>
          <w:rFonts w:hint="eastAsia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数据来源</w:t>
      </w:r>
      <w:r>
        <w:rPr>
          <w:rFonts w:hint="eastAsia" w:eastAsia="仿宋_GB2312"/>
          <w:b/>
          <w:bCs/>
          <w:color w:val="FF0000"/>
          <w:sz w:val="32"/>
          <w:szCs w:val="32"/>
          <w:lang w:val="en-US" w:eastAsia="zh-CN"/>
        </w:rPr>
        <w:t>见表14</w:t>
      </w:r>
      <w:r>
        <w:rPr>
          <w:rFonts w:hint="eastAsia" w:ascii="Times New Roman" w:hAnsi="Times New Roman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）</w:t>
      </w:r>
      <w:r>
        <w:rPr>
          <w:rFonts w:hint="eastAsia" w:eastAsia="仿宋_GB2312" w:cs="仿宋_GB2312"/>
          <w:kern w:val="0"/>
          <w:sz w:val="32"/>
          <w:szCs w:val="32"/>
        </w:rPr>
        <w:t>，比</w:t>
      </w:r>
      <w:r>
        <w:rPr>
          <w:rFonts w:hint="eastAsia" w:eastAsia="仿宋_GB2312"/>
          <w:kern w:val="0"/>
          <w:sz w:val="32"/>
          <w:szCs w:val="32"/>
          <w:lang w:eastAsia="zh-CN"/>
        </w:rPr>
        <w:t>上一年</w:t>
      </w:r>
      <w:r>
        <w:rPr>
          <w:rFonts w:hint="eastAsia" w:eastAsia="仿宋_GB2312" w:cs="仿宋_GB2312"/>
          <w:color w:val="3216DC"/>
          <w:kern w:val="0"/>
          <w:sz w:val="32"/>
          <w:szCs w:val="32"/>
          <w:u w:val="single"/>
          <w:lang w:eastAsia="zh-CN"/>
        </w:rPr>
        <w:t>增加</w:t>
      </w:r>
      <w:r>
        <w:rPr>
          <w:rFonts w:hint="eastAsia" w:eastAsia="仿宋_GB2312" w:cs="仿宋_GB2312"/>
          <w:color w:val="3216DC"/>
          <w:kern w:val="0"/>
          <w:sz w:val="32"/>
          <w:szCs w:val="32"/>
          <w:u w:val="single"/>
          <w:lang w:val="en-US" w:eastAsia="zh-CN"/>
        </w:rPr>
        <w:t>28.98</w:t>
      </w:r>
      <w:r>
        <w:rPr>
          <w:rFonts w:hint="eastAsia" w:eastAsia="仿宋_GB2312" w:cs="仿宋_GB2312"/>
          <w:kern w:val="0"/>
          <w:sz w:val="32"/>
          <w:szCs w:val="32"/>
        </w:rPr>
        <w:t>万元，</w:t>
      </w:r>
      <w:r>
        <w:rPr>
          <w:rFonts w:hint="eastAsia" w:eastAsia="仿宋_GB2312" w:cs="仿宋_GB2312"/>
          <w:color w:val="3216DC"/>
          <w:kern w:val="0"/>
          <w:sz w:val="32"/>
          <w:szCs w:val="32"/>
          <w:u w:val="single"/>
          <w:lang w:eastAsia="zh-CN"/>
        </w:rPr>
        <w:t>增加</w:t>
      </w:r>
      <w:r>
        <w:rPr>
          <w:rFonts w:hint="eastAsia" w:eastAsia="仿宋_GB2312" w:cs="仿宋_GB2312"/>
          <w:color w:val="3216DC"/>
          <w:kern w:val="0"/>
          <w:sz w:val="32"/>
          <w:szCs w:val="32"/>
          <w:u w:val="single"/>
          <w:lang w:val="en-US" w:eastAsia="zh-CN"/>
        </w:rPr>
        <w:t>4.15</w:t>
      </w:r>
      <w:r>
        <w:rPr>
          <w:rFonts w:eastAsia="仿宋_GB2312"/>
          <w:kern w:val="0"/>
          <w:sz w:val="32"/>
          <w:szCs w:val="32"/>
        </w:rPr>
        <w:t>%</w:t>
      </w:r>
      <w:r>
        <w:rPr>
          <w:rFonts w:hint="eastAsia" w:eastAsia="仿宋_GB2312" w:cs="仿宋_GB2312"/>
          <w:kern w:val="0"/>
          <w:sz w:val="32"/>
          <w:szCs w:val="32"/>
        </w:rPr>
        <w:t>。主要原因是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人员增加。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（二）“三公”经费预算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eastAsia="仿宋_GB2312" w:cs="仿宋_GB2312"/>
          <w:kern w:val="0"/>
          <w:sz w:val="32"/>
          <w:szCs w:val="32"/>
          <w:lang w:eastAsia="zh-CN"/>
        </w:rPr>
        <w:t>本单位2024年</w:t>
      </w:r>
      <w:r>
        <w:rPr>
          <w:rFonts w:hint="eastAsia" w:eastAsia="仿宋_GB2312" w:cs="仿宋_GB2312"/>
          <w:kern w:val="0"/>
          <w:sz w:val="32"/>
          <w:szCs w:val="32"/>
        </w:rPr>
        <w:t>“三公”经费预算数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0.8</w:t>
      </w:r>
      <w:r>
        <w:rPr>
          <w:rFonts w:hint="eastAsia" w:eastAsia="仿宋_GB2312" w:cs="仿宋_GB2312"/>
          <w:kern w:val="0"/>
          <w:sz w:val="32"/>
          <w:szCs w:val="32"/>
        </w:rPr>
        <w:t>万元</w:t>
      </w:r>
      <w:r>
        <w:rPr>
          <w:rFonts w:hint="eastAsia" w:ascii="Times New Roman" w:hAnsi="Times New Roman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（</w:t>
      </w:r>
      <w:r>
        <w:rPr>
          <w:rFonts w:hint="eastAsia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数据来源</w:t>
      </w:r>
      <w:r>
        <w:rPr>
          <w:rFonts w:hint="eastAsia" w:eastAsia="仿宋_GB2312"/>
          <w:b/>
          <w:bCs/>
          <w:color w:val="FF0000"/>
          <w:sz w:val="32"/>
          <w:szCs w:val="32"/>
          <w:lang w:val="en-US" w:eastAsia="zh-CN"/>
        </w:rPr>
        <w:t>见表15</w:t>
      </w:r>
      <w:r>
        <w:rPr>
          <w:rFonts w:hint="eastAsia" w:ascii="Times New Roman" w:hAnsi="Times New Roman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）</w:t>
      </w:r>
      <w:r>
        <w:rPr>
          <w:rFonts w:hint="eastAsia" w:eastAsia="仿宋_GB2312" w:cs="仿宋_GB2312"/>
          <w:kern w:val="0"/>
          <w:sz w:val="32"/>
          <w:szCs w:val="32"/>
        </w:rPr>
        <w:t>，其中，公务接待费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0.8</w:t>
      </w:r>
      <w:r>
        <w:rPr>
          <w:rFonts w:hint="eastAsia" w:eastAsia="仿宋_GB2312" w:cs="仿宋_GB2312"/>
          <w:kern w:val="0"/>
          <w:sz w:val="32"/>
          <w:szCs w:val="32"/>
        </w:rPr>
        <w:t>万元，因公出国（境）费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万元，公务用车购置及运行费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万元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，</w:t>
      </w:r>
      <w:r>
        <w:rPr>
          <w:rFonts w:hint="eastAsia" w:eastAsia="仿宋_GB2312" w:cs="仿宋_GB2312"/>
          <w:kern w:val="0"/>
          <w:sz w:val="32"/>
          <w:szCs w:val="32"/>
        </w:rPr>
        <w:t>其中公务用车购置费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万元，公务用车运行费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万元。比</w:t>
      </w:r>
      <w:r>
        <w:rPr>
          <w:rFonts w:hint="eastAsia" w:eastAsia="仿宋_GB2312"/>
          <w:kern w:val="0"/>
          <w:sz w:val="32"/>
          <w:szCs w:val="32"/>
          <w:lang w:eastAsia="zh-CN"/>
        </w:rPr>
        <w:t>上一年</w:t>
      </w:r>
      <w:r>
        <w:rPr>
          <w:rFonts w:hint="eastAsia" w:eastAsia="仿宋_GB2312" w:cs="仿宋_GB2312"/>
          <w:color w:val="3216DC"/>
          <w:kern w:val="0"/>
          <w:sz w:val="32"/>
          <w:szCs w:val="32"/>
          <w:u w:val="single"/>
          <w:lang w:val="en-US" w:eastAsia="zh-CN"/>
        </w:rPr>
        <w:t>减少4.2</w:t>
      </w:r>
      <w:r>
        <w:rPr>
          <w:rFonts w:hint="eastAsia" w:eastAsia="仿宋_GB2312" w:cs="仿宋_GB2312"/>
          <w:kern w:val="0"/>
          <w:sz w:val="32"/>
          <w:szCs w:val="32"/>
        </w:rPr>
        <w:t>万元，</w:t>
      </w:r>
      <w:r>
        <w:rPr>
          <w:rFonts w:hint="eastAsia" w:eastAsia="仿宋_GB2312" w:cs="仿宋_GB2312"/>
          <w:color w:val="3216DC"/>
          <w:kern w:val="0"/>
          <w:sz w:val="32"/>
          <w:szCs w:val="32"/>
          <w:u w:val="single"/>
          <w:lang w:val="en-US" w:eastAsia="zh-CN"/>
        </w:rPr>
        <w:t>降低84</w:t>
      </w:r>
      <w:r>
        <w:rPr>
          <w:rFonts w:eastAsia="仿宋_GB2312"/>
          <w:kern w:val="0"/>
          <w:sz w:val="32"/>
          <w:szCs w:val="32"/>
        </w:rPr>
        <w:t>%</w:t>
      </w:r>
      <w:r>
        <w:rPr>
          <w:rFonts w:hint="eastAsia" w:eastAsia="仿宋_GB2312"/>
          <w:kern w:val="0"/>
          <w:sz w:val="32"/>
          <w:szCs w:val="32"/>
          <w:lang w:eastAsia="zh-CN"/>
        </w:rPr>
        <w:t>，</w:t>
      </w:r>
      <w:r>
        <w:rPr>
          <w:rFonts w:hint="eastAsia" w:eastAsia="仿宋_GB2312" w:cs="仿宋_GB2312"/>
          <w:kern w:val="0"/>
          <w:sz w:val="32"/>
          <w:szCs w:val="32"/>
        </w:rPr>
        <w:t>主要原因是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本单位应急车辆政府已征用。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  <w:t>（三）一般性支出情况</w:t>
      </w:r>
    </w:p>
    <w:p>
      <w:pPr>
        <w:widowControl/>
        <w:spacing w:line="600" w:lineRule="exact"/>
        <w:ind w:firstLine="660"/>
        <w:jc w:val="left"/>
        <w:rPr>
          <w:rFonts w:hint="eastAsia" w:eastAsia="仿宋_GB2312" w:cs="仿宋_GB2312"/>
          <w:color w:val="FF0000"/>
          <w:kern w:val="0"/>
          <w:sz w:val="32"/>
          <w:szCs w:val="32"/>
          <w:lang w:eastAsia="zh-CN"/>
        </w:rPr>
      </w:pP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本单位2024年会议费预算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万元</w:t>
      </w:r>
      <w:r>
        <w:rPr>
          <w:rFonts w:hint="eastAsia" w:ascii="Times New Roman" w:hAnsi="Times New Roman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（</w:t>
      </w:r>
      <w:r>
        <w:rPr>
          <w:rFonts w:hint="eastAsia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数据来源</w:t>
      </w:r>
      <w:r>
        <w:rPr>
          <w:rFonts w:hint="eastAsia" w:eastAsia="仿宋_GB2312"/>
          <w:b/>
          <w:bCs/>
          <w:color w:val="FF0000"/>
          <w:sz w:val="32"/>
          <w:szCs w:val="32"/>
          <w:lang w:val="en-US" w:eastAsia="zh-CN"/>
        </w:rPr>
        <w:t>见表14会议费+培训费</w:t>
      </w:r>
      <w:r>
        <w:rPr>
          <w:rFonts w:hint="eastAsia" w:ascii="Times New Roman" w:hAnsi="Times New Roman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）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，拟召开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会议，人数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人，内容为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val="en-US" w:eastAsia="zh-CN"/>
        </w:rPr>
        <w:t>无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；培训费预算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val="en-US" w:eastAsia="zh-CN"/>
        </w:rPr>
        <w:t>1.5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万元，拟开展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val="en-US" w:eastAsia="zh-CN"/>
        </w:rPr>
        <w:t>4-5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次培训，人数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val="en-US" w:eastAsia="zh-CN"/>
        </w:rPr>
        <w:t>210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人，内容为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计划免疫冷链运转培训工作3次、狂犬病暴露处置培训、饮用水和食品安全监测培训等。2024年度本单位未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计划举办节庆、晚会、论坛、赛事活动。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color w:val="auto"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kern w:val="0"/>
          <w:sz w:val="32"/>
          <w:szCs w:val="32"/>
          <w:lang w:eastAsia="zh-CN"/>
        </w:rPr>
        <w:t>（四）政府采购情况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color w:val="3216DC"/>
          <w:kern w:val="0"/>
          <w:sz w:val="32"/>
          <w:szCs w:val="32"/>
          <w:lang w:eastAsia="zh-CN"/>
        </w:rPr>
      </w:pP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2024年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val="en-US" w:eastAsia="zh-CN"/>
        </w:rPr>
        <w:t>度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本单位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val="en-US" w:eastAsia="zh-CN"/>
        </w:rPr>
        <w:t>无</w:t>
      </w:r>
      <w:r>
        <w:rPr>
          <w:rFonts w:hint="eastAsia" w:eastAsia="仿宋_GB2312" w:cs="仿宋_GB2312"/>
          <w:color w:val="auto"/>
          <w:kern w:val="0"/>
          <w:sz w:val="32"/>
          <w:szCs w:val="32"/>
        </w:rPr>
        <w:t>政府采购预算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  <w:t>（五）国有资产占有使用及新增资产配置情况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</w:rPr>
      </w:pPr>
      <w:r>
        <w:rPr>
          <w:rFonts w:hint="eastAsia" w:eastAsia="仿宋_GB2312" w:cs="仿宋_GB2312"/>
          <w:color w:val="auto"/>
          <w:kern w:val="0"/>
          <w:sz w:val="32"/>
          <w:szCs w:val="32"/>
        </w:rPr>
        <w:t>截至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上一年</w:t>
      </w:r>
      <w:r>
        <w:rPr>
          <w:rFonts w:hint="eastAsia" w:eastAsia="仿宋_GB2312" w:cs="仿宋_GB2312"/>
          <w:color w:val="auto"/>
          <w:kern w:val="0"/>
          <w:sz w:val="32"/>
          <w:szCs w:val="32"/>
        </w:rPr>
        <w:t>12月底，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本单位</w:t>
      </w:r>
      <w:r>
        <w:rPr>
          <w:rFonts w:hint="eastAsia" w:eastAsia="仿宋_GB2312" w:cs="仿宋_GB2312"/>
          <w:color w:val="auto"/>
          <w:kern w:val="0"/>
          <w:sz w:val="32"/>
          <w:szCs w:val="32"/>
        </w:rPr>
        <w:t>共有车</w:t>
      </w:r>
      <w:r>
        <w:rPr>
          <w:rFonts w:hint="eastAsia" w:eastAsia="仿宋_GB2312" w:cs="仿宋_GB2312"/>
          <w:kern w:val="0"/>
          <w:sz w:val="32"/>
          <w:szCs w:val="32"/>
        </w:rPr>
        <w:t>辆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1</w:t>
      </w:r>
      <w:r>
        <w:rPr>
          <w:rFonts w:hint="eastAsia" w:eastAsia="仿宋_GB2312" w:cs="仿宋_GB2312"/>
          <w:kern w:val="0"/>
          <w:sz w:val="32"/>
          <w:szCs w:val="32"/>
        </w:rPr>
        <w:t>辆，其中领导干部用车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辆，一般公务用车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辆，其他用车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1</w:t>
      </w:r>
      <w:r>
        <w:rPr>
          <w:rFonts w:hint="eastAsia" w:eastAsia="仿宋_GB2312" w:cs="仿宋_GB2312"/>
          <w:kern w:val="0"/>
          <w:sz w:val="32"/>
          <w:szCs w:val="32"/>
        </w:rPr>
        <w:t>辆。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 w:cs="仿宋_GB2312"/>
          <w:kern w:val="0"/>
          <w:sz w:val="32"/>
          <w:szCs w:val="32"/>
        </w:rPr>
        <w:t>价值50万元以上通用设备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4</w:t>
      </w:r>
      <w:r>
        <w:rPr>
          <w:rFonts w:hint="eastAsia" w:eastAsia="仿宋_GB2312" w:cs="仿宋_GB2312"/>
          <w:kern w:val="0"/>
          <w:sz w:val="32"/>
          <w:szCs w:val="32"/>
        </w:rPr>
        <w:t>台，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 w:cs="仿宋_GB2312"/>
          <w:kern w:val="0"/>
          <w:sz w:val="32"/>
          <w:szCs w:val="32"/>
        </w:rPr>
        <w:t>价值100万元以上专用设备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eastAsia="仿宋_GB2312" w:cs="仿宋_GB2312"/>
          <w:kern w:val="0"/>
          <w:sz w:val="36"/>
          <w:szCs w:val="36"/>
          <w:lang w:val="en-US" w:eastAsia="zh-CN"/>
        </w:rPr>
      </w:pPr>
      <w:r>
        <w:rPr>
          <w:rFonts w:hint="eastAsia" w:eastAsia="仿宋_GB2312" w:cs="仿宋_GB2312"/>
          <w:kern w:val="0"/>
          <w:sz w:val="32"/>
          <w:szCs w:val="32"/>
          <w:lang w:eastAsia="zh-CN"/>
        </w:rPr>
        <w:t>2024年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度本单位未计划处置或新增车辆、设备等。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  <w:t>（六）预算绩效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val="en-US" w:eastAsia="zh-CN"/>
        </w:rPr>
        <w:t>目标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  <w:t>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</w:pPr>
      <w:r>
        <w:rPr>
          <w:rFonts w:hint="eastAsia" w:eastAsia="仿宋_GB2312"/>
          <w:bCs/>
          <w:kern w:val="0"/>
          <w:sz w:val="32"/>
          <w:szCs w:val="32"/>
          <w:lang w:eastAsia="zh-CN"/>
        </w:rPr>
        <w:t>本单位</w:t>
      </w:r>
      <w:r>
        <w:rPr>
          <w:rFonts w:eastAsia="仿宋_GB2312"/>
          <w:bCs/>
          <w:kern w:val="0"/>
          <w:sz w:val="32"/>
          <w:szCs w:val="32"/>
        </w:rPr>
        <w:t>所有支出实行绩效目标管理。纳入</w:t>
      </w:r>
      <w:r>
        <w:rPr>
          <w:rFonts w:hint="eastAsia" w:eastAsia="仿宋_GB2312"/>
          <w:bCs/>
          <w:kern w:val="0"/>
          <w:sz w:val="32"/>
          <w:szCs w:val="32"/>
          <w:lang w:eastAsia="zh-CN"/>
        </w:rPr>
        <w:t>2024年单位</w:t>
      </w:r>
      <w:r>
        <w:rPr>
          <w:rFonts w:eastAsia="仿宋_GB2312"/>
          <w:bCs/>
          <w:kern w:val="0"/>
          <w:sz w:val="32"/>
          <w:szCs w:val="32"/>
        </w:rPr>
        <w:t>整体支出绩效目标的金额为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727.44</w:t>
      </w:r>
      <w:r>
        <w:rPr>
          <w:rFonts w:eastAsia="仿宋_GB2312"/>
          <w:bCs/>
          <w:kern w:val="0"/>
          <w:sz w:val="32"/>
          <w:szCs w:val="32"/>
        </w:rPr>
        <w:t>万元，其中，基本支出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622.44</w:t>
      </w:r>
      <w:r>
        <w:rPr>
          <w:rFonts w:eastAsia="仿宋_GB2312"/>
          <w:bCs/>
          <w:kern w:val="0"/>
          <w:sz w:val="32"/>
          <w:szCs w:val="32"/>
        </w:rPr>
        <w:t>万元，项目支出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105</w:t>
      </w:r>
      <w:r>
        <w:rPr>
          <w:rFonts w:eastAsia="仿宋_GB2312"/>
          <w:bCs/>
          <w:kern w:val="0"/>
          <w:sz w:val="32"/>
          <w:szCs w:val="32"/>
        </w:rPr>
        <w:t>万元，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详见文尾附表中单位预算公开表格的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val="en-US" w:eastAsia="zh-CN"/>
        </w:rPr>
        <w:t>表22-23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 w:cs="黑体"/>
          <w:kern w:val="0"/>
          <w:sz w:val="32"/>
          <w:szCs w:val="32"/>
        </w:rPr>
        <w:t>、名词解释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/>
          <w:kern w:val="0"/>
          <w:sz w:val="32"/>
          <w:szCs w:val="32"/>
          <w:lang w:eastAsia="zh-CN"/>
        </w:rPr>
      </w:pPr>
      <w:r>
        <w:rPr>
          <w:rFonts w:hint="eastAsia" w:eastAsia="仿宋_GB2312"/>
          <w:kern w:val="0"/>
          <w:sz w:val="32"/>
          <w:szCs w:val="32"/>
        </w:rPr>
        <w:t>1、机关运行经费：是指各</w:t>
      </w:r>
      <w:r>
        <w:rPr>
          <w:rFonts w:hint="eastAsia" w:eastAsia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/>
          <w:kern w:val="0"/>
          <w:sz w:val="32"/>
          <w:szCs w:val="32"/>
        </w:rPr>
        <w:t>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eastAsia="仿宋_GB2312"/>
          <w:kern w:val="0"/>
          <w:sz w:val="32"/>
          <w:szCs w:val="32"/>
          <w:lang w:val="en-US" w:eastAsia="zh-CN"/>
        </w:rPr>
      </w:pPr>
      <w:r>
        <w:rPr>
          <w:rFonts w:hint="eastAsia" w:eastAsia="仿宋_GB2312"/>
          <w:kern w:val="0"/>
          <w:sz w:val="32"/>
          <w:szCs w:val="32"/>
        </w:rPr>
        <w:t>2、“三公”经费：纳入财政预算管理的“三公“经费，是指用一般公共预算拨款安排的公务接待费、公务用车购置及运行维护费和因公出国（境）费。其中，公务接待费反映</w:t>
      </w:r>
      <w:r>
        <w:rPr>
          <w:rFonts w:hint="eastAsia" w:eastAsia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/>
          <w:kern w:val="0"/>
          <w:sz w:val="32"/>
          <w:szCs w:val="32"/>
        </w:rPr>
        <w:t>按规定开支的各类公务接待支出；公务用车购置及运行费反映</w:t>
      </w:r>
      <w:r>
        <w:rPr>
          <w:rFonts w:hint="eastAsia" w:eastAsia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/>
          <w:kern w:val="0"/>
          <w:sz w:val="32"/>
          <w:szCs w:val="32"/>
        </w:rPr>
        <w:t>公务用车车辆购置支出（含车辆购置税），以及燃料费、维修费、保险费等支出；因公出国（境）费反映</w:t>
      </w:r>
      <w:r>
        <w:rPr>
          <w:rFonts w:hint="eastAsia" w:eastAsia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/>
          <w:kern w:val="0"/>
          <w:sz w:val="32"/>
          <w:szCs w:val="32"/>
        </w:rPr>
        <w:t>公务出国（境）的国际旅费、国外城市间交通费、食宿费等支出。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 xml:space="preserve">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jc w:val="center"/>
        <w:textAlignment w:val="auto"/>
        <w:rPr>
          <w:rFonts w:hint="eastAsia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eastAsia="黑体" w:cs="黑体"/>
          <w:kern w:val="0"/>
          <w:sz w:val="32"/>
          <w:szCs w:val="32"/>
        </w:rPr>
        <w:br w:type="page"/>
      </w:r>
      <w:r>
        <w:rPr>
          <w:rFonts w:hint="eastAsia" w:eastAsia="黑体" w:cs="黑体"/>
          <w:kern w:val="0"/>
          <w:sz w:val="32"/>
          <w:szCs w:val="32"/>
        </w:rPr>
        <w:t>第二部分</w:t>
      </w:r>
      <w:r>
        <w:rPr>
          <w:rFonts w:hint="eastAsia" w:eastAsia="黑体" w:cs="黑体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eastAsia="黑体" w:cs="黑体"/>
          <w:kern w:val="0"/>
          <w:sz w:val="32"/>
          <w:szCs w:val="32"/>
          <w:lang w:eastAsia="zh-CN"/>
        </w:rPr>
        <w:t>单位预算</w:t>
      </w:r>
      <w:r>
        <w:rPr>
          <w:rFonts w:hint="eastAsia" w:eastAsia="黑体" w:cs="黑体"/>
          <w:kern w:val="0"/>
          <w:sz w:val="32"/>
          <w:szCs w:val="32"/>
          <w:lang w:val="en-US" w:eastAsia="zh-CN"/>
        </w:rPr>
        <w:t>公开</w:t>
      </w:r>
      <w:r>
        <w:rPr>
          <w:rFonts w:hint="eastAsia" w:eastAsia="黑体" w:cs="黑体"/>
          <w:kern w:val="0"/>
          <w:sz w:val="32"/>
          <w:szCs w:val="32"/>
        </w:rPr>
        <w:t>表</w:t>
      </w:r>
      <w:r>
        <w:rPr>
          <w:rFonts w:hint="eastAsia" w:eastAsia="黑体" w:cs="黑体"/>
          <w:kern w:val="0"/>
          <w:sz w:val="32"/>
          <w:szCs w:val="32"/>
          <w:lang w:val="en-US" w:eastAsia="zh-CN"/>
        </w:rPr>
        <w:t>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11520" w:firstLineChars="3600"/>
        <w:textAlignment w:val="auto"/>
        <w:rPr>
          <w:rFonts w:hint="default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eastAsia="黑体" w:cs="黑体"/>
          <w:kern w:val="0"/>
          <w:sz w:val="32"/>
          <w:szCs w:val="32"/>
          <w:lang w:eastAsia="zh-CN"/>
        </w:rPr>
        <w:t>附件：</w:t>
      </w:r>
      <w:r>
        <w:rPr>
          <w:rFonts w:hint="eastAsia" w:eastAsia="黑体" w:cs="黑体"/>
          <w:kern w:val="0"/>
          <w:sz w:val="32"/>
          <w:szCs w:val="32"/>
          <w:lang w:val="en-US" w:eastAsia="zh-CN"/>
        </w:rPr>
        <w:t>岳阳县疾病预防控制中心</w:t>
      </w:r>
      <w:bookmarkStart w:id="0" w:name="_GoBack"/>
      <w:bookmarkEnd w:id="0"/>
      <w:r>
        <w:rPr>
          <w:rFonts w:hint="eastAsia" w:eastAsia="黑体" w:cs="黑体"/>
          <w:kern w:val="0"/>
          <w:sz w:val="32"/>
          <w:szCs w:val="32"/>
          <w:lang w:val="en-US" w:eastAsia="zh-CN"/>
        </w:rPr>
        <w:t>预算公开表格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8BFB096-DCCC-4ABC-8983-A4A60F0F50C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仿宋_GB2312"/>
    <w:panose1 w:val="02010601030101010101"/>
    <w:charset w:val="86"/>
    <w:family w:val="auto"/>
    <w:pitch w:val="default"/>
    <w:sig w:usb0="00000000" w:usb1="00000000" w:usb2="00000000" w:usb3="00000000" w:csb0="00040000" w:csb1="00000000"/>
    <w:embedRegular r:id="rId2" w:fontKey="{8A699923-0026-47A3-9361-F3182D6A28C3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3" w:fontKey="{16838EB7-7258-472B-8A76-3A35A72E92D8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6B1A35A2-C487-4411-8B26-5D50358FADA3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9D2E5DE8-EB91-4408-82C0-15BE5AA95FFB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6" w:fontKey="{F97F8002-229D-452E-A123-ACEBA38522E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web"/>
  <w:zoom w:percent="100"/>
  <w:embedTrueTypeFonts/>
  <w:saveSubset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xYjI4MGEwOTAxM2VhMjE0YmE3ZmIwNjYyZmY2YWYifQ=="/>
  </w:docVars>
  <w:rsids>
    <w:rsidRoot w:val="00CA5057"/>
    <w:rsid w:val="00001697"/>
    <w:rsid w:val="000034D6"/>
    <w:rsid w:val="0006270B"/>
    <w:rsid w:val="00065DA2"/>
    <w:rsid w:val="00117900"/>
    <w:rsid w:val="001336FC"/>
    <w:rsid w:val="00193395"/>
    <w:rsid w:val="001A0136"/>
    <w:rsid w:val="001A3382"/>
    <w:rsid w:val="001A3861"/>
    <w:rsid w:val="001A6377"/>
    <w:rsid w:val="001C6E63"/>
    <w:rsid w:val="001D154A"/>
    <w:rsid w:val="001F365A"/>
    <w:rsid w:val="00203B0A"/>
    <w:rsid w:val="0025517E"/>
    <w:rsid w:val="00270E85"/>
    <w:rsid w:val="002B0968"/>
    <w:rsid w:val="002C117B"/>
    <w:rsid w:val="002F5747"/>
    <w:rsid w:val="002F57F8"/>
    <w:rsid w:val="00344D3D"/>
    <w:rsid w:val="003457B4"/>
    <w:rsid w:val="00355284"/>
    <w:rsid w:val="003C0AE2"/>
    <w:rsid w:val="003C0E16"/>
    <w:rsid w:val="003C62F5"/>
    <w:rsid w:val="003E6642"/>
    <w:rsid w:val="00452611"/>
    <w:rsid w:val="00464A20"/>
    <w:rsid w:val="00466617"/>
    <w:rsid w:val="004711E9"/>
    <w:rsid w:val="00490880"/>
    <w:rsid w:val="0049696B"/>
    <w:rsid w:val="004A0D4C"/>
    <w:rsid w:val="004A798F"/>
    <w:rsid w:val="004B4F1A"/>
    <w:rsid w:val="004B766D"/>
    <w:rsid w:val="004D0879"/>
    <w:rsid w:val="004E302C"/>
    <w:rsid w:val="0054440F"/>
    <w:rsid w:val="005E6320"/>
    <w:rsid w:val="006137D9"/>
    <w:rsid w:val="00617392"/>
    <w:rsid w:val="00637664"/>
    <w:rsid w:val="00687143"/>
    <w:rsid w:val="00695750"/>
    <w:rsid w:val="006C1259"/>
    <w:rsid w:val="006E013D"/>
    <w:rsid w:val="006E335E"/>
    <w:rsid w:val="006F2FD2"/>
    <w:rsid w:val="00714685"/>
    <w:rsid w:val="00754296"/>
    <w:rsid w:val="00755471"/>
    <w:rsid w:val="007B0161"/>
    <w:rsid w:val="007C48A3"/>
    <w:rsid w:val="00812DE3"/>
    <w:rsid w:val="00832EBB"/>
    <w:rsid w:val="008459F5"/>
    <w:rsid w:val="008511BD"/>
    <w:rsid w:val="00854FCA"/>
    <w:rsid w:val="0085589C"/>
    <w:rsid w:val="008827C7"/>
    <w:rsid w:val="00893563"/>
    <w:rsid w:val="008974A0"/>
    <w:rsid w:val="008C1057"/>
    <w:rsid w:val="008E61DB"/>
    <w:rsid w:val="008E6571"/>
    <w:rsid w:val="009143CB"/>
    <w:rsid w:val="0093410B"/>
    <w:rsid w:val="00990520"/>
    <w:rsid w:val="00995AF1"/>
    <w:rsid w:val="009D1CA3"/>
    <w:rsid w:val="009D450C"/>
    <w:rsid w:val="009E5041"/>
    <w:rsid w:val="009E7921"/>
    <w:rsid w:val="00A0350C"/>
    <w:rsid w:val="00A03C0E"/>
    <w:rsid w:val="00A867C6"/>
    <w:rsid w:val="00AA481C"/>
    <w:rsid w:val="00AB576D"/>
    <w:rsid w:val="00AB6861"/>
    <w:rsid w:val="00AC160E"/>
    <w:rsid w:val="00B0403C"/>
    <w:rsid w:val="00B21CBD"/>
    <w:rsid w:val="00B366B4"/>
    <w:rsid w:val="00B82665"/>
    <w:rsid w:val="00BC04D7"/>
    <w:rsid w:val="00BE4229"/>
    <w:rsid w:val="00BF5A08"/>
    <w:rsid w:val="00C36022"/>
    <w:rsid w:val="00C5316A"/>
    <w:rsid w:val="00CA5057"/>
    <w:rsid w:val="00CB1E6F"/>
    <w:rsid w:val="00CB5C8F"/>
    <w:rsid w:val="00CF2BA3"/>
    <w:rsid w:val="00D1730A"/>
    <w:rsid w:val="00D279D7"/>
    <w:rsid w:val="00D60DAB"/>
    <w:rsid w:val="00D75CFA"/>
    <w:rsid w:val="00D84D40"/>
    <w:rsid w:val="00D96317"/>
    <w:rsid w:val="00DB63BF"/>
    <w:rsid w:val="00DD2BA7"/>
    <w:rsid w:val="00DD573A"/>
    <w:rsid w:val="00E01BD5"/>
    <w:rsid w:val="00E179D0"/>
    <w:rsid w:val="00E24DC7"/>
    <w:rsid w:val="00E419D9"/>
    <w:rsid w:val="00E5547E"/>
    <w:rsid w:val="00E75085"/>
    <w:rsid w:val="00EA5C43"/>
    <w:rsid w:val="00EC052E"/>
    <w:rsid w:val="00F05F5B"/>
    <w:rsid w:val="00F06D7F"/>
    <w:rsid w:val="00F078E9"/>
    <w:rsid w:val="00F24836"/>
    <w:rsid w:val="00F36C19"/>
    <w:rsid w:val="00F74B02"/>
    <w:rsid w:val="00FB0434"/>
    <w:rsid w:val="00FB1B41"/>
    <w:rsid w:val="00FB3CC9"/>
    <w:rsid w:val="00FE2E8C"/>
    <w:rsid w:val="02DF562C"/>
    <w:rsid w:val="032D48E5"/>
    <w:rsid w:val="039837D0"/>
    <w:rsid w:val="04497920"/>
    <w:rsid w:val="069419C6"/>
    <w:rsid w:val="08281851"/>
    <w:rsid w:val="0AF15A72"/>
    <w:rsid w:val="0C0C6008"/>
    <w:rsid w:val="0C4F7AFC"/>
    <w:rsid w:val="0D5B6622"/>
    <w:rsid w:val="0E064421"/>
    <w:rsid w:val="0ED234CD"/>
    <w:rsid w:val="0F654CC7"/>
    <w:rsid w:val="0F9E0A26"/>
    <w:rsid w:val="0FAD3879"/>
    <w:rsid w:val="14903A2F"/>
    <w:rsid w:val="15D9563A"/>
    <w:rsid w:val="18426DC6"/>
    <w:rsid w:val="19420C90"/>
    <w:rsid w:val="19D5374E"/>
    <w:rsid w:val="1AC31CB7"/>
    <w:rsid w:val="1BEF6124"/>
    <w:rsid w:val="1EAD2225"/>
    <w:rsid w:val="1F1F1226"/>
    <w:rsid w:val="26570D53"/>
    <w:rsid w:val="26FE006B"/>
    <w:rsid w:val="27D848B8"/>
    <w:rsid w:val="2CDB483B"/>
    <w:rsid w:val="2E385970"/>
    <w:rsid w:val="2FC40521"/>
    <w:rsid w:val="3405688C"/>
    <w:rsid w:val="34E11E02"/>
    <w:rsid w:val="36D93801"/>
    <w:rsid w:val="388764A3"/>
    <w:rsid w:val="3BC82B6A"/>
    <w:rsid w:val="3E4D3BDD"/>
    <w:rsid w:val="41DA7DB9"/>
    <w:rsid w:val="447637E8"/>
    <w:rsid w:val="49EF4858"/>
    <w:rsid w:val="4AE9742D"/>
    <w:rsid w:val="4BA67C06"/>
    <w:rsid w:val="4CA46ED7"/>
    <w:rsid w:val="4D013E21"/>
    <w:rsid w:val="4D8D7228"/>
    <w:rsid w:val="4DDD2C7F"/>
    <w:rsid w:val="4F1826FF"/>
    <w:rsid w:val="506C2AB0"/>
    <w:rsid w:val="53344C63"/>
    <w:rsid w:val="55295806"/>
    <w:rsid w:val="55D3446A"/>
    <w:rsid w:val="593F63D3"/>
    <w:rsid w:val="5B423ECD"/>
    <w:rsid w:val="5CDA4DA9"/>
    <w:rsid w:val="62820F98"/>
    <w:rsid w:val="62873CEC"/>
    <w:rsid w:val="64035B71"/>
    <w:rsid w:val="64DB31B9"/>
    <w:rsid w:val="681842B0"/>
    <w:rsid w:val="6AE87D9C"/>
    <w:rsid w:val="6B8A7717"/>
    <w:rsid w:val="6F8561D3"/>
    <w:rsid w:val="70271B5B"/>
    <w:rsid w:val="71AC0C24"/>
    <w:rsid w:val="773C67F0"/>
    <w:rsid w:val="78BD38A7"/>
    <w:rsid w:val="79BD2D5D"/>
    <w:rsid w:val="7DFA5EB0"/>
    <w:rsid w:val="7E3E736E"/>
    <w:rsid w:val="7E6620C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autoRedefine/>
    <w:qFormat/>
    <w:uiPriority w:val="99"/>
    <w:pPr>
      <w:spacing w:before="120" w:after="200" w:line="276" w:lineRule="auto"/>
    </w:pPr>
    <w:rPr>
      <w:rFonts w:ascii="Arial" w:hAnsi="Arial"/>
      <w:sz w:val="24"/>
    </w:rPr>
  </w:style>
  <w:style w:type="paragraph" w:styleId="3">
    <w:name w:val="Body Text"/>
    <w:basedOn w:val="1"/>
    <w:link w:val="11"/>
    <w:autoRedefine/>
    <w:qFormat/>
    <w:uiPriority w:val="0"/>
    <w:pPr>
      <w:spacing w:after="120"/>
    </w:pPr>
  </w:style>
  <w:style w:type="paragraph" w:styleId="4">
    <w:name w:val="Date"/>
    <w:basedOn w:val="1"/>
    <w:next w:val="1"/>
    <w:link w:val="12"/>
    <w:autoRedefine/>
    <w:qFormat/>
    <w:uiPriority w:val="0"/>
    <w:pPr>
      <w:ind w:left="100" w:leftChars="2500"/>
    </w:pPr>
  </w:style>
  <w:style w:type="paragraph" w:styleId="5">
    <w:name w:val="Balloon Text"/>
    <w:basedOn w:val="1"/>
    <w:link w:val="13"/>
    <w:autoRedefine/>
    <w:semiHidden/>
    <w:qFormat/>
    <w:uiPriority w:val="0"/>
    <w:rPr>
      <w:sz w:val="18"/>
      <w:szCs w:val="18"/>
    </w:rPr>
  </w:style>
  <w:style w:type="paragraph" w:styleId="6">
    <w:name w:val="footer"/>
    <w:basedOn w:val="1"/>
    <w:link w:val="14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autoRedefine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11">
    <w:name w:val="Body Text Char"/>
    <w:basedOn w:val="10"/>
    <w:link w:val="3"/>
    <w:autoRedefine/>
    <w:qFormat/>
    <w:locked/>
    <w:uiPriority w:val="0"/>
    <w:rPr>
      <w:rFonts w:eastAsia="宋体"/>
      <w:kern w:val="2"/>
      <w:sz w:val="21"/>
      <w:szCs w:val="21"/>
      <w:lang w:val="en-US" w:eastAsia="zh-CN" w:bidi="ar-SA"/>
    </w:rPr>
  </w:style>
  <w:style w:type="character" w:customStyle="1" w:styleId="12">
    <w:name w:val="Date Char"/>
    <w:basedOn w:val="10"/>
    <w:link w:val="4"/>
    <w:autoRedefine/>
    <w:qFormat/>
    <w:locked/>
    <w:uiPriority w:val="0"/>
    <w:rPr>
      <w:rFonts w:eastAsia="宋体"/>
      <w:kern w:val="2"/>
      <w:sz w:val="21"/>
      <w:szCs w:val="21"/>
      <w:lang w:val="en-US" w:eastAsia="zh-CN" w:bidi="ar-SA"/>
    </w:rPr>
  </w:style>
  <w:style w:type="character" w:customStyle="1" w:styleId="13">
    <w:name w:val="Balloon Text Char"/>
    <w:basedOn w:val="10"/>
    <w:link w:val="5"/>
    <w:autoRedefine/>
    <w:qFormat/>
    <w:locked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4">
    <w:name w:val="Footer Char"/>
    <w:basedOn w:val="10"/>
    <w:link w:val="6"/>
    <w:autoRedefine/>
    <w:qFormat/>
    <w:locked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5">
    <w:name w:val="Header Char"/>
    <w:basedOn w:val="10"/>
    <w:link w:val="7"/>
    <w:autoRedefine/>
    <w:qFormat/>
    <w:locked/>
    <w:uiPriority w:val="0"/>
    <w:rPr>
      <w:rFonts w:eastAsia="宋体"/>
      <w:kern w:val="2"/>
      <w:sz w:val="18"/>
      <w:szCs w:val="18"/>
      <w:lang w:val="en-US" w:eastAsia="zh-CN" w:bidi="ar-SA"/>
    </w:rPr>
  </w:style>
  <w:style w:type="paragraph" w:customStyle="1" w:styleId="16">
    <w:name w:val="表格内容"/>
    <w:basedOn w:val="3"/>
    <w:autoRedefine/>
    <w:qFormat/>
    <w:uiPriority w:val="0"/>
    <w:pPr>
      <w:suppressLineNumbers/>
      <w:suppressAutoHyphens/>
      <w:jc w:val="left"/>
    </w:pPr>
    <w:rPr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Corporation</Company>
  <Pages>9</Pages>
  <Words>2687</Words>
  <Characters>2902</Characters>
  <Lines>38</Lines>
  <Paragraphs>10</Paragraphs>
  <TotalTime>4</TotalTime>
  <ScaleCrop>false</ScaleCrop>
  <LinksUpToDate>false</LinksUpToDate>
  <CharactersWithSpaces>2925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2018-08-09T00:21:00Z</dcterms:created>
  <dc:creator>周继恩 10.105.113.143</dc:creator>
  <cp:lastModifiedBy>WPS_1657853568</cp:lastModifiedBy>
  <cp:lastPrinted>2019-05-05T07:55:00Z</cp:lastPrinted>
  <dcterms:modified xsi:type="dcterms:W3CDTF">2024-03-12T07:16:53Z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5E8BD144427B4992B6AB84D4B376F7F3</vt:lpwstr>
  </property>
</Properties>
</file>