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岳阳县人民医院单位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(1)贯彻执行国家有关医院的政策、法律、法规，行使公立医院基本职责。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(2)向服务范围内的的居民提供公共卫生服务，促进健康。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(3)确保服务范围内的居民的基本医疗保障得以实现。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(4)负责服务范围内居民危重病的抢救、救治，常见病的诊断、控制工作。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(5)向服务范围内的居民提供体检，对居民健康进行动态分析，跟踪。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(6)负责传染病的预防和控制。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(7)帮助和促进乡镇医院发展。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(8)开展科研，教学工作。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(9)上级部门交办的其他工作。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医院设有急诊科、重症医学科、手术室、麻醉科、骨科胸外烧伤科、神经脊柱外科、普外科、泌尿外科、妇科、产科、心血管呼吸内科、神经内分泌科、消化内科、感染科、中医老年病综合内科、五官科、儿科、新生儿科、血液透析中心、体外碎石中心、健康管理中心、影像中心（放射、CT、核磁共振）、检验科、超声科、口腔科、皮肤科、病理科、康复理疗中心、介入中心、盆底与产后康复中心等临床医技科室30多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20781.3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251.3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150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20000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。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 w:cs="仿宋_GB2312"/>
          <w:b/>
          <w:bCs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见表2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。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本单位20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lang w:eastAsia="zh-CN"/>
        </w:rPr>
        <w:t>年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19（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20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表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专户管理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均为空。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）。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20781.3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20530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/>
          <w:color w:val="auto"/>
          <w:sz w:val="32"/>
          <w:szCs w:val="32"/>
          <w:u w:val="none"/>
        </w:rPr>
        <w:t>，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一般公共预算经费科目251.3万元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按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类级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功能科目列出支出预算明细，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auto"/>
          <w:sz w:val="32"/>
          <w:szCs w:val="32"/>
          <w:u w:val="none"/>
          <w:lang w:val="en-US" w:eastAsia="zh-CN"/>
        </w:rPr>
        <w:t>见表6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）</w:t>
      </w:r>
      <w:r>
        <w:rPr>
          <w:rFonts w:eastAsia="仿宋_GB2312"/>
          <w:color w:val="auto"/>
          <w:sz w:val="32"/>
          <w:szCs w:val="32"/>
          <w:u w:val="none"/>
        </w:rPr>
        <w:t>。</w:t>
      </w:r>
      <w:r>
        <w:rPr>
          <w:rFonts w:hint="eastAsia" w:eastAsia="仿宋_GB2312"/>
          <w:color w:val="auto"/>
          <w:sz w:val="32"/>
          <w:szCs w:val="32"/>
          <w:u w:val="none"/>
        </w:rPr>
        <w:t>支出较去年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持平</w:t>
      </w:r>
      <w:r>
        <w:rPr>
          <w:rFonts w:hint="eastAsia" w:eastAsia="仿宋_GB2312"/>
          <w:color w:val="auto"/>
          <w:sz w:val="32"/>
          <w:szCs w:val="32"/>
          <w:u w:val="none"/>
        </w:rPr>
        <w:t>，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其中</w:t>
      </w:r>
      <w:r>
        <w:rPr>
          <w:rFonts w:hint="eastAsia" w:eastAsia="仿宋_GB2312"/>
          <w:color w:val="auto"/>
          <w:sz w:val="32"/>
          <w:szCs w:val="32"/>
          <w:u w:val="none"/>
        </w:rPr>
        <w:t>基本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auto"/>
          <w:sz w:val="32"/>
          <w:szCs w:val="32"/>
          <w:u w:val="none"/>
          <w:lang w:val="en-US" w:eastAsia="zh-CN"/>
        </w:rPr>
        <w:t>见表7、16、19、20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，将其基本支出、项目支出相加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/>
          <w:color w:val="auto"/>
          <w:sz w:val="32"/>
          <w:szCs w:val="32"/>
          <w:u w:val="none"/>
        </w:rPr>
        <w:t>。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其中基本支出较上年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减少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主要是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因为按预算控制成本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，项目支出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主要是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因为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val="en-US" w:eastAsia="zh-CN"/>
        </w:rPr>
        <w:t>外科大楼建设项目支出增加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251.3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</w:t>
      </w:r>
      <w:r>
        <w:rPr>
          <w:rFonts w:eastAsia="仿宋_GB2312"/>
          <w:color w:val="auto"/>
          <w:sz w:val="32"/>
          <w:szCs w:val="32"/>
        </w:rPr>
        <w:t>，一般公共服务支出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251.3</w:t>
      </w:r>
      <w:r>
        <w:rPr>
          <w:rFonts w:eastAsia="仿宋_GB2312"/>
          <w:color w:val="auto"/>
          <w:sz w:val="32"/>
          <w:szCs w:val="32"/>
        </w:rPr>
        <w:t>万元，占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eastAsia="仿宋_GB2312"/>
          <w:color w:val="auto"/>
          <w:sz w:val="32"/>
          <w:szCs w:val="32"/>
          <w:u w:val="none"/>
        </w:rPr>
        <w:t>%</w:t>
      </w:r>
      <w:r>
        <w:rPr>
          <w:rFonts w:eastAsia="仿宋_GB2312"/>
          <w:color w:val="auto"/>
          <w:sz w:val="32"/>
          <w:szCs w:val="32"/>
        </w:rPr>
        <w:t>；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项目支出0万元，占0%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auto"/>
          <w:sz w:val="32"/>
          <w:szCs w:val="32"/>
          <w:lang w:val="en-US" w:eastAsia="zh-CN"/>
        </w:rPr>
        <w:t>见表7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按类级功能科目说明每大类功能科目下的金额和比例）具体安排情况如下：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251.3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auto"/>
          <w:sz w:val="32"/>
          <w:szCs w:val="32"/>
          <w:lang w:val="en-US" w:eastAsia="zh-CN"/>
        </w:rPr>
        <w:t>见表7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auto"/>
          <w:sz w:val="32"/>
          <w:szCs w:val="32"/>
          <w:lang w:val="en-US" w:eastAsia="zh-CN"/>
        </w:rPr>
        <w:t>见表7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无政府性基金安排的支出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251.3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auto"/>
          <w:sz w:val="32"/>
          <w:szCs w:val="32"/>
          <w:lang w:val="en-US" w:eastAsia="zh-CN"/>
        </w:rPr>
        <w:t>见表13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，比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增加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万元。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主要原因是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预算拨款没有变。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元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auto"/>
          <w:sz w:val="32"/>
          <w:szCs w:val="32"/>
          <w:lang w:val="en-US" w:eastAsia="zh-CN"/>
        </w:rPr>
        <w:t>见表15</w:t>
      </w:r>
      <w:r>
        <w:rPr>
          <w:rFonts w:hint="eastAsia" w:ascii="Times New Roman" w:hAnsi="Times New Roman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eastAsia="仿宋_GB2312"/>
          <w:kern w:val="0"/>
          <w:sz w:val="32"/>
          <w:szCs w:val="32"/>
        </w:rPr>
        <w:t>XX</w:t>
      </w:r>
      <w:r>
        <w:rPr>
          <w:rFonts w:hint="eastAsia" w:eastAsia="仿宋_GB2312" w:cs="仿宋_GB2312"/>
          <w:kern w:val="0"/>
          <w:sz w:val="32"/>
          <w:szCs w:val="32"/>
        </w:rPr>
        <w:t>万元。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比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上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一年增加0万元，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主要原因是“三公”经费预算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没有变。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val="en-US" w:eastAsia="zh-CN"/>
        </w:rPr>
        <w:t>安排会议、培训，未计划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举办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节庆、晚会、</w:t>
      </w:r>
      <w:r>
        <w:rPr>
          <w:rFonts w:eastAsia="仿宋_GB2312"/>
          <w:color w:val="auto"/>
          <w:kern w:val="0"/>
          <w:sz w:val="32"/>
          <w:szCs w:val="32"/>
          <w:u w:val="none"/>
        </w:rPr>
        <w:t>论坛、赛事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活动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2024年度本单位未安排政府采购预算。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为救护车</w:t>
      </w:r>
      <w:r>
        <w:rPr>
          <w:rFonts w:hint="eastAsia" w:eastAsia="仿宋_GB2312" w:cs="仿宋_GB2312"/>
          <w:kern w:val="0"/>
          <w:sz w:val="32"/>
          <w:szCs w:val="32"/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23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eastAsia="仿宋_GB2312"/>
          <w:bCs/>
          <w:kern w:val="0"/>
          <w:sz w:val="32"/>
          <w:szCs w:val="32"/>
        </w:rPr>
        <w:t>拟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报废处置公务用车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0辆，</w:t>
      </w:r>
      <w:r>
        <w:rPr>
          <w:rFonts w:hint="eastAsia" w:eastAsia="仿宋_GB2312" w:cs="仿宋_GB2312"/>
          <w:kern w:val="0"/>
          <w:sz w:val="32"/>
          <w:szCs w:val="32"/>
        </w:rPr>
        <w:t>拟新增配置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车辆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，其中</w:t>
      </w:r>
      <w:r>
        <w:rPr>
          <w:rFonts w:hint="eastAsia" w:eastAsia="仿宋_GB2312" w:cs="仿宋_GB2312"/>
          <w:kern w:val="0"/>
          <w:sz w:val="32"/>
          <w:szCs w:val="32"/>
        </w:rPr>
        <w:t>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color w:val="auto"/>
          <w:kern w:val="0"/>
          <w:sz w:val="36"/>
          <w:szCs w:val="36"/>
          <w:u w:val="none"/>
          <w:lang w:val="en-US"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2024年度本单位未计划处置或新增车辆、设备等。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岳阳县人民医院单位预算公开表格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5C3F68-7CAA-4319-B89F-1B1DACD1E7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3B9D759-3411-49C4-929A-3D88E4192EB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643BF781-C617-4E28-84DA-92010673CE5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30CD76F-87CC-4E1E-A497-AA1D0A89A02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2E9B239F-9D01-41F5-84C1-6761045AB92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MTQwM2E3NjA1Nzg2ZDcwN2U4M2RjYjc5MDgzNDM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1B1804"/>
    <w:rsid w:val="02DF562C"/>
    <w:rsid w:val="032D48E5"/>
    <w:rsid w:val="034E4574"/>
    <w:rsid w:val="039837D0"/>
    <w:rsid w:val="03D30460"/>
    <w:rsid w:val="03D41C67"/>
    <w:rsid w:val="04497920"/>
    <w:rsid w:val="053D7EE8"/>
    <w:rsid w:val="05BB5B62"/>
    <w:rsid w:val="05C63438"/>
    <w:rsid w:val="069419C6"/>
    <w:rsid w:val="06D22537"/>
    <w:rsid w:val="06FB3EFF"/>
    <w:rsid w:val="07907F75"/>
    <w:rsid w:val="07D17DB0"/>
    <w:rsid w:val="08281851"/>
    <w:rsid w:val="0AF15A72"/>
    <w:rsid w:val="0C0C6008"/>
    <w:rsid w:val="0C4F7AFC"/>
    <w:rsid w:val="0D5B6622"/>
    <w:rsid w:val="0E064421"/>
    <w:rsid w:val="0E3D23C6"/>
    <w:rsid w:val="0EB93D1B"/>
    <w:rsid w:val="0ED234CD"/>
    <w:rsid w:val="0F654CC7"/>
    <w:rsid w:val="0F9E0A26"/>
    <w:rsid w:val="0FA649E0"/>
    <w:rsid w:val="14903A2F"/>
    <w:rsid w:val="15D9563A"/>
    <w:rsid w:val="19420C90"/>
    <w:rsid w:val="19D5374E"/>
    <w:rsid w:val="1AC31CB7"/>
    <w:rsid w:val="1B6D1AD6"/>
    <w:rsid w:val="1BEF6124"/>
    <w:rsid w:val="1C6B4178"/>
    <w:rsid w:val="1E657F53"/>
    <w:rsid w:val="1EAD2225"/>
    <w:rsid w:val="1F1F1226"/>
    <w:rsid w:val="1F9D5AEF"/>
    <w:rsid w:val="26570D53"/>
    <w:rsid w:val="27D848B8"/>
    <w:rsid w:val="2CDB483B"/>
    <w:rsid w:val="2E3C7D3A"/>
    <w:rsid w:val="2FB55650"/>
    <w:rsid w:val="2FC40521"/>
    <w:rsid w:val="3405688C"/>
    <w:rsid w:val="34E11E02"/>
    <w:rsid w:val="36DE174D"/>
    <w:rsid w:val="388764A3"/>
    <w:rsid w:val="39755F3E"/>
    <w:rsid w:val="3BC82B6A"/>
    <w:rsid w:val="3E4D3BDD"/>
    <w:rsid w:val="3FB05F21"/>
    <w:rsid w:val="41614FF9"/>
    <w:rsid w:val="41B17D2F"/>
    <w:rsid w:val="41DA7DB9"/>
    <w:rsid w:val="43F04528"/>
    <w:rsid w:val="447637E8"/>
    <w:rsid w:val="474A281C"/>
    <w:rsid w:val="491954D2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63A2813"/>
    <w:rsid w:val="56AB2B47"/>
    <w:rsid w:val="593F63D3"/>
    <w:rsid w:val="5B423ECD"/>
    <w:rsid w:val="5BB62A08"/>
    <w:rsid w:val="5CDA4DA9"/>
    <w:rsid w:val="5DD538C2"/>
    <w:rsid w:val="5F8F74AA"/>
    <w:rsid w:val="6203023B"/>
    <w:rsid w:val="62820F98"/>
    <w:rsid w:val="62873CEC"/>
    <w:rsid w:val="64035B71"/>
    <w:rsid w:val="64DB31B9"/>
    <w:rsid w:val="65611C20"/>
    <w:rsid w:val="681842B0"/>
    <w:rsid w:val="68596654"/>
    <w:rsid w:val="6AE87D9C"/>
    <w:rsid w:val="6F8561D3"/>
    <w:rsid w:val="70271B5B"/>
    <w:rsid w:val="71AC0C24"/>
    <w:rsid w:val="773C67F0"/>
    <w:rsid w:val="7B0838BA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0</TotalTime>
  <ScaleCrop>false</ScaleCrop>
  <LinksUpToDate>false</LinksUpToDate>
  <CharactersWithSpaces>2925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然宝</cp:lastModifiedBy>
  <cp:lastPrinted>2019-05-05T07:55:00Z</cp:lastPrinted>
  <dcterms:modified xsi:type="dcterms:W3CDTF">2024-03-19T03:33:15Z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5E8BD144427B4992B6AB84D4B376F7F3</vt:lpwstr>
  </property>
</Properties>
</file>