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岳阳县荣家湾镇社区卫生服务所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预防接种，健康宣教，突发公共卫生事件管理，乡村医师管理，个体诊所管理。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设办公室、宣教室、门诊接种室、财务室等。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165.32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165.32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（“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eastAsia="zh-CN"/>
        </w:rPr>
        <w:t>本单位2024年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政府性基金预算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19（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国有资本经营预算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、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20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表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专户管理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均为空。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eastAsia="zh-CN"/>
        </w:rPr>
        <w:t>”）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收入较去年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3.63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人员工资增加。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165.32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165.32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hint="eastAsia" w:eastAsia="仿宋_GB2312"/>
          <w:sz w:val="32"/>
          <w:szCs w:val="32"/>
          <w:lang w:val="en-US" w:eastAsia="zh-CN"/>
        </w:rPr>
        <w:t>17.62</w:t>
      </w:r>
      <w:r>
        <w:rPr>
          <w:rFonts w:hint="eastAsia" w:eastAsia="仿宋_GB2312"/>
          <w:sz w:val="32"/>
          <w:szCs w:val="32"/>
        </w:rPr>
        <w:t>万元，卫生健康支出</w:t>
      </w:r>
      <w:r>
        <w:rPr>
          <w:rFonts w:hint="eastAsia" w:eastAsia="仿宋_GB2312"/>
          <w:sz w:val="32"/>
          <w:szCs w:val="32"/>
          <w:lang w:val="en-US" w:eastAsia="zh-CN"/>
        </w:rPr>
        <w:t>136.32</w:t>
      </w:r>
      <w:r>
        <w:rPr>
          <w:rFonts w:hint="eastAsia" w:eastAsia="仿宋_GB2312"/>
          <w:sz w:val="32"/>
          <w:szCs w:val="32"/>
        </w:rPr>
        <w:t>万元，住房保障</w:t>
      </w:r>
      <w:r>
        <w:rPr>
          <w:rFonts w:hint="eastAsia" w:eastAsia="仿宋_GB2312"/>
          <w:sz w:val="32"/>
          <w:szCs w:val="32"/>
          <w:lang w:val="en-US" w:eastAsia="zh-CN"/>
        </w:rPr>
        <w:t>11.38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（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按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类级</w:t>
      </w:r>
      <w:r>
        <w:rPr>
          <w:rFonts w:hint="eastAsia" w:eastAsia="仿宋_GB2312"/>
          <w:color w:val="3216DC"/>
          <w:sz w:val="32"/>
          <w:szCs w:val="32"/>
          <w:lang w:val="en-US" w:eastAsia="zh-CN"/>
        </w:rPr>
        <w:t>功能科目列出支出预算明细，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见表6</w:t>
      </w:r>
      <w:r>
        <w:rPr>
          <w:rFonts w:hint="eastAsia" w:eastAsia="仿宋_GB2312"/>
          <w:color w:val="3216DC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支出较去年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加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none"/>
          <w:lang w:val="en-US" w:eastAsia="zh-CN"/>
        </w:rPr>
        <w:t>3.63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none"/>
          <w:lang w:val="en-US" w:eastAsia="zh-CN"/>
        </w:rPr>
        <w:t>3.63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见表7、16、19、20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，将其基本支出、项目支出相加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因为人员工资增加。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165.32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165.32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hint="eastAsia" w:eastAsia="仿宋_GB2312"/>
          <w:sz w:val="32"/>
          <w:szCs w:val="32"/>
          <w:lang w:val="en-US" w:eastAsia="zh-CN"/>
        </w:rPr>
        <w:t>17.62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10.66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136.32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82.46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住房保障</w:t>
      </w:r>
      <w:r>
        <w:rPr>
          <w:rFonts w:hint="eastAsia" w:eastAsia="仿宋_GB2312"/>
          <w:sz w:val="32"/>
          <w:szCs w:val="32"/>
          <w:lang w:val="en-US" w:eastAsia="zh-CN"/>
        </w:rPr>
        <w:t>11.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6.88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见表7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  <w:t>按类级功能科目说明每大类功能科目下的金额和比例）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160.32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社区卫生服务</w:t>
      </w:r>
      <w:r>
        <w:rPr>
          <w:rFonts w:hint="eastAsia" w:eastAsia="仿宋_GB2312"/>
          <w:sz w:val="32"/>
          <w:szCs w:val="32"/>
        </w:rPr>
        <w:t>等方面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</w:rPr>
      </w:pP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2024年度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本单位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</w:rPr>
        <w:t>无政府性基金安排的支出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所以公开的附件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</w:rPr>
        <w:t>政府性基金预算</w:t>
      </w:r>
      <w:r>
        <w:rPr>
          <w:rFonts w:hint="eastAsia" w:eastAsia="仿宋_GB2312" w:cs="仿宋_GB2312"/>
          <w:i w:val="0"/>
          <w:iCs w:val="0"/>
          <w:color w:val="FF0000"/>
          <w:kern w:val="0"/>
          <w:sz w:val="32"/>
          <w:szCs w:val="32"/>
          <w:u w:val="singl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single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7.26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见表14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0.3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降低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none"/>
          <w:lang w:val="en-US" w:eastAsia="zh-CN"/>
        </w:rPr>
        <w:t>3.96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 w:cs="仿宋_GB2312"/>
          <w:kern w:val="0"/>
          <w:sz w:val="32"/>
          <w:szCs w:val="32"/>
        </w:rPr>
        <w:t>。主要原因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是压缩公用经费。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0.2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数据来源</w:t>
      </w:r>
      <w:r>
        <w:rPr>
          <w:rFonts w:hint="eastAsia" w:eastAsia="仿宋_GB2312"/>
          <w:b/>
          <w:bCs/>
          <w:color w:val="FF0000"/>
          <w:sz w:val="32"/>
          <w:szCs w:val="32"/>
          <w:lang w:val="en-US" w:eastAsia="zh-CN"/>
        </w:rPr>
        <w:t>见表15</w:t>
      </w:r>
      <w:r>
        <w:rPr>
          <w:rFonts w:hint="eastAsia" w:ascii="Times New Roman" w:hAnsi="Times New Roman" w:eastAsia="仿宋_GB2312" w:cs="仿宋_GB2312"/>
          <w:i w:val="0"/>
          <w:iCs w:val="0"/>
          <w:color w:val="3216DC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</w:rPr>
        <w:t>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0.2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减少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none"/>
          <w:lang w:val="en-US" w:eastAsia="zh-CN"/>
        </w:rPr>
        <w:t>0.3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降低</w:t>
      </w:r>
      <w:r>
        <w:rPr>
          <w:rFonts w:hint="eastAsia" w:eastAsia="仿宋_GB2312" w:cs="仿宋_GB2312"/>
          <w:color w:val="3216DC"/>
          <w:kern w:val="0"/>
          <w:sz w:val="32"/>
          <w:szCs w:val="32"/>
          <w:u w:val="none"/>
          <w:lang w:val="en-US" w:eastAsia="zh-CN"/>
        </w:rPr>
        <w:t>60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厉行节约，减少接待费用支。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FF0000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2024年度本单位</w:t>
      </w:r>
      <w:r>
        <w:rPr>
          <w:rFonts w:hint="eastAsia" w:eastAsia="仿宋_GB2312"/>
          <w:color w:val="3216DC"/>
          <w:kern w:val="0"/>
          <w:sz w:val="32"/>
          <w:szCs w:val="32"/>
          <w:u w:val="single"/>
          <w:lang w:eastAsia="zh-CN"/>
        </w:rPr>
        <w:t>未计划</w:t>
      </w:r>
      <w:r>
        <w:rPr>
          <w:rFonts w:hint="eastAsia" w:eastAsia="仿宋_GB2312"/>
          <w:color w:val="3216DC"/>
          <w:kern w:val="0"/>
          <w:sz w:val="32"/>
          <w:szCs w:val="32"/>
          <w:u w:val="single"/>
          <w:lang w:val="en-US" w:eastAsia="zh-CN"/>
        </w:rPr>
        <w:t>安排会议、培训，未计划</w:t>
      </w:r>
      <w:r>
        <w:rPr>
          <w:rFonts w:hint="eastAsia" w:eastAsia="仿宋_GB2312"/>
          <w:color w:val="3216DC"/>
          <w:kern w:val="0"/>
          <w:sz w:val="32"/>
          <w:szCs w:val="32"/>
          <w:u w:val="single"/>
          <w:lang w:eastAsia="zh-CN"/>
        </w:rPr>
        <w:t>举办</w:t>
      </w:r>
      <w:r>
        <w:rPr>
          <w:rFonts w:hint="eastAsia" w:eastAsia="仿宋_GB2312"/>
          <w:color w:val="3216DC"/>
          <w:kern w:val="0"/>
          <w:sz w:val="32"/>
          <w:szCs w:val="32"/>
          <w:u w:val="single"/>
        </w:rPr>
        <w:t>节庆、晚会、</w:t>
      </w:r>
      <w:r>
        <w:rPr>
          <w:rFonts w:eastAsia="仿宋_GB2312"/>
          <w:color w:val="3216DC"/>
          <w:kern w:val="0"/>
          <w:sz w:val="32"/>
          <w:szCs w:val="32"/>
          <w:u w:val="single"/>
        </w:rPr>
        <w:t>论坛、赛事</w:t>
      </w:r>
      <w:r>
        <w:rPr>
          <w:rFonts w:hint="eastAsia" w:eastAsia="仿宋_GB2312"/>
          <w:color w:val="3216DC"/>
          <w:kern w:val="0"/>
          <w:sz w:val="32"/>
          <w:szCs w:val="32"/>
          <w:u w:val="single"/>
        </w:rPr>
        <w:t>活动</w:t>
      </w:r>
      <w:r>
        <w:rPr>
          <w:rFonts w:hint="eastAsia" w:eastAsia="仿宋_GB2312"/>
          <w:color w:val="3216DC"/>
          <w:kern w:val="0"/>
          <w:sz w:val="32"/>
          <w:szCs w:val="32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3216DC"/>
          <w:kern w:val="0"/>
          <w:sz w:val="32"/>
          <w:szCs w:val="32"/>
          <w:u w:val="single"/>
          <w:lang w:val="en-US" w:eastAsia="zh-CN"/>
        </w:rPr>
        <w:t>2024年度本单位未安排政府采购预算。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color w:val="0000FF"/>
          <w:kern w:val="0"/>
          <w:sz w:val="32"/>
          <w:szCs w:val="32"/>
          <w:u w:val="single"/>
          <w:lang w:val="en-US" w:eastAsia="zh-CN"/>
        </w:rPr>
        <w:t>2024年度本单位未计划处置或新增车辆、设备等。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165.32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160.32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eastAsia="黑体" w:cs="黑体"/>
          <w:kern w:val="0"/>
          <w:sz w:val="32"/>
          <w:szCs w:val="32"/>
          <w:lang w:val="en-US" w:eastAsia="zh-CN"/>
        </w:rPr>
        <w:fldChar w:fldCharType="begin"/>
      </w:r>
      <w:r>
        <w:rPr>
          <w:rFonts w:hint="default" w:eastAsia="黑体" w:cs="黑体"/>
          <w:kern w:val="0"/>
          <w:sz w:val="32"/>
          <w:szCs w:val="32"/>
          <w:lang w:val="en-US" w:eastAsia="zh-CN"/>
        </w:rPr>
        <w:instrText xml:space="preserve"> HYPERLINK "岳阳县荣家湾镇社区卫生服务所部门预算公开表.xlsx" </w:instrText>
      </w:r>
      <w:r>
        <w:rPr>
          <w:rFonts w:hint="default" w:eastAsia="黑体" w:cs="黑体"/>
          <w:kern w:val="0"/>
          <w:sz w:val="32"/>
          <w:szCs w:val="32"/>
          <w:lang w:val="en-US" w:eastAsia="zh-CN"/>
        </w:rPr>
        <w:fldChar w:fldCharType="separate"/>
      </w:r>
      <w:r>
        <w:rPr>
          <w:rStyle w:val="11"/>
          <w:rFonts w:hint="default" w:eastAsia="黑体" w:cs="黑体"/>
          <w:kern w:val="0"/>
          <w:sz w:val="32"/>
          <w:szCs w:val="32"/>
          <w:lang w:val="en-US" w:eastAsia="zh-CN"/>
        </w:rPr>
        <w:t>岳阳县荣家湾镇社区卫生服务所部门预算公开表.xlsx</w:t>
      </w:r>
      <w:r>
        <w:rPr>
          <w:rFonts w:hint="default" w:eastAsia="黑体" w:cs="黑体"/>
          <w:kern w:val="0"/>
          <w:sz w:val="32"/>
          <w:szCs w:val="32"/>
          <w:lang w:val="en-US" w:eastAsia="zh-CN"/>
        </w:rPr>
        <w:fldChar w:fldCharType="end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D118A0-7091-4B33-9024-FE83BBB64D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8F691E2E-7F2A-4D04-B259-988B4E63E6C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707043C2-C9B1-4498-B785-A67400E2EF5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9DD2A77-442E-4329-9E2B-1F0205EEA63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45C7209-EAD4-421B-84CC-AF557E4F038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0DC22DDA-4B41-4C09-ADDD-CAF90FA63C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ZDgxZDcwMTBlNWFmMjkzNjM3NDU0YTEyZjYzYzM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471AFB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88764A3"/>
    <w:rsid w:val="3BC603C2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2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3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4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uiPriority w:val="0"/>
    <w:rPr>
      <w:color w:val="0000FF"/>
      <w:u w:val="single"/>
    </w:rPr>
  </w:style>
  <w:style w:type="character" w:customStyle="1" w:styleId="12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4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7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78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红燕</cp:lastModifiedBy>
  <cp:lastPrinted>2019-05-05T07:55:00Z</cp:lastPrinted>
  <dcterms:modified xsi:type="dcterms:W3CDTF">2024-03-13T10:35:49Z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9E6AD54B9E2E4E62BAFF84809D9E9355_13</vt:lpwstr>
  </property>
</Properties>
</file>