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D899D">
      <w:pPr>
        <w:pStyle w:val="13"/>
        <w:jc w:val="center"/>
        <w:rPr>
          <w:rFonts w:hint="eastAsia" w:ascii="微软雅黑" w:hAnsi="微软雅黑" w:eastAsia="微软雅黑" w:cs="微软雅黑"/>
          <w:sz w:val="56"/>
          <w:szCs w:val="56"/>
        </w:rPr>
      </w:pPr>
    </w:p>
    <w:p w14:paraId="07D00933">
      <w:pPr>
        <w:pStyle w:val="13"/>
        <w:jc w:val="center"/>
        <w:rPr>
          <w:rFonts w:hint="eastAsia" w:ascii="微软雅黑" w:hAnsi="微软雅黑" w:eastAsia="微软雅黑" w:cs="微软雅黑"/>
          <w:sz w:val="56"/>
          <w:szCs w:val="56"/>
        </w:rPr>
      </w:pPr>
    </w:p>
    <w:p w14:paraId="54B49097">
      <w:pPr>
        <w:pStyle w:val="13"/>
        <w:jc w:val="center"/>
        <w:rPr>
          <w:rFonts w:hint="eastAsia" w:ascii="微软雅黑" w:hAnsi="微软雅黑" w:eastAsia="微软雅黑" w:cs="微软雅黑"/>
          <w:sz w:val="84"/>
          <w:szCs w:val="84"/>
        </w:rPr>
      </w:pPr>
    </w:p>
    <w:p w14:paraId="2F201A56">
      <w:pPr>
        <w:pStyle w:val="13"/>
        <w:jc w:val="center"/>
        <w:rPr>
          <w:rFonts w:hint="eastAsia" w:ascii="微软雅黑" w:hAnsi="微软雅黑" w:eastAsia="微软雅黑" w:cs="微软雅黑"/>
          <w:sz w:val="84"/>
          <w:szCs w:val="84"/>
        </w:rPr>
      </w:pPr>
    </w:p>
    <w:p w14:paraId="721234F9">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2023</w:t>
      </w:r>
      <w:r>
        <w:rPr>
          <w:rFonts w:ascii="微软雅黑" w:hAnsi="微软雅黑" w:eastAsia="微软雅黑" w:cs="微软雅黑"/>
          <w:b/>
          <w:sz w:val="84"/>
        </w:rPr>
        <w:t>年度</w:t>
      </w:r>
      <w:r>
        <w:rPr>
          <w:rFonts w:hint="eastAsia" w:ascii="微软雅黑" w:hAnsi="微软雅黑" w:eastAsia="微软雅黑" w:cs="微软雅黑"/>
          <w:b/>
          <w:bCs/>
          <w:sz w:val="84"/>
          <w:szCs w:val="84"/>
        </w:rPr>
        <w:t>岳阳县血吸虫</w:t>
      </w:r>
    </w:p>
    <w:p w14:paraId="65507C35">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病防治事务中心</w:t>
      </w:r>
      <w:r>
        <w:rPr>
          <w:rFonts w:ascii="微软雅黑" w:hAnsi="微软雅黑" w:eastAsia="微软雅黑" w:cs="微软雅黑"/>
          <w:b/>
          <w:sz w:val="84"/>
        </w:rPr>
        <w:t>部门决算</w:t>
      </w:r>
    </w:p>
    <w:p w14:paraId="246523DE">
      <w:pPr>
        <w:pStyle w:val="13"/>
        <w:jc w:val="center"/>
        <w:rPr>
          <w:rFonts w:hint="eastAsia" w:ascii="微软雅黑" w:hAnsi="微软雅黑" w:eastAsia="微软雅黑" w:cs="微软雅黑"/>
          <w:sz w:val="84"/>
          <w:szCs w:val="84"/>
        </w:rPr>
      </w:pPr>
    </w:p>
    <w:p w14:paraId="1334B584">
      <w:pPr>
        <w:pStyle w:val="13"/>
        <w:jc w:val="center"/>
        <w:rPr>
          <w:rFonts w:hint="eastAsia" w:ascii="微软雅黑" w:hAnsi="微软雅黑" w:eastAsia="微软雅黑" w:cs="微软雅黑"/>
          <w:sz w:val="84"/>
          <w:szCs w:val="84"/>
        </w:rPr>
      </w:pPr>
    </w:p>
    <w:p w14:paraId="063BF067">
      <w:pPr>
        <w:pStyle w:val="13"/>
        <w:jc w:val="center"/>
        <w:rPr>
          <w:rFonts w:hint="eastAsia" w:ascii="微软雅黑" w:hAnsi="微软雅黑" w:eastAsia="微软雅黑" w:cs="微软雅黑"/>
          <w:sz w:val="84"/>
          <w:szCs w:val="84"/>
        </w:rPr>
      </w:pPr>
    </w:p>
    <w:p w14:paraId="40A39CDE">
      <w:pPr>
        <w:pStyle w:val="13"/>
        <w:jc w:val="center"/>
        <w:rPr>
          <w:rFonts w:hint="eastAsia" w:ascii="微软雅黑" w:hAnsi="微软雅黑" w:eastAsia="微软雅黑" w:cs="微软雅黑"/>
          <w:sz w:val="84"/>
          <w:szCs w:val="84"/>
        </w:rPr>
      </w:pPr>
    </w:p>
    <w:p w14:paraId="1B4C22BE">
      <w:pPr>
        <w:bidi w:val="0"/>
        <w:rPr>
          <w:rFonts w:hint="eastAsia" w:ascii="微软雅黑" w:hAnsi="微软雅黑" w:eastAsia="微软雅黑" w:cs="微软雅黑"/>
        </w:rPr>
      </w:pPr>
    </w:p>
    <w:p w14:paraId="020FC2AE">
      <w:pPr>
        <w:pStyle w:val="13"/>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3C19364B">
      <w:pPr>
        <w:pStyle w:val="13"/>
        <w:spacing w:line="500" w:lineRule="exact"/>
        <w:jc w:val="center"/>
        <w:rPr>
          <w:rFonts w:hint="eastAsia" w:ascii="微软雅黑" w:hAnsi="微软雅黑" w:eastAsia="微软雅黑" w:cs="微软雅黑"/>
          <w:b/>
          <w:sz w:val="36"/>
          <w:szCs w:val="28"/>
        </w:rPr>
      </w:pPr>
    </w:p>
    <w:p w14:paraId="4644643E">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岳阳县血吸虫病防治事务中心</w:t>
      </w:r>
      <w:r>
        <w:rPr>
          <w:rFonts w:hint="eastAsia" w:ascii="微软雅黑" w:hAnsi="微软雅黑" w:eastAsia="微软雅黑" w:cs="微软雅黑"/>
          <w:b/>
          <w:bCs w:val="0"/>
          <w:sz w:val="28"/>
          <w:szCs w:val="28"/>
          <w:lang w:eastAsia="zh-CN"/>
        </w:rPr>
        <w:t>部门（</w:t>
      </w:r>
      <w:r>
        <w:rPr>
          <w:rFonts w:hint="eastAsia" w:ascii="微软雅黑" w:hAnsi="微软雅黑" w:eastAsia="微软雅黑" w:cs="微软雅黑"/>
          <w:b/>
          <w:bCs w:val="0"/>
          <w:sz w:val="28"/>
          <w:szCs w:val="28"/>
        </w:rPr>
        <w:t>单位</w:t>
      </w:r>
      <w:r>
        <w:rPr>
          <w:rFonts w:hint="eastAsia" w:ascii="微软雅黑" w:hAnsi="微软雅黑" w:eastAsia="微软雅黑" w:cs="微软雅黑"/>
          <w:b/>
          <w:bCs w:val="0"/>
          <w:sz w:val="28"/>
          <w:szCs w:val="28"/>
          <w:lang w:eastAsia="zh-CN"/>
        </w:rPr>
        <w:t>）</w:t>
      </w:r>
      <w:r>
        <w:rPr>
          <w:rFonts w:hint="eastAsia" w:ascii="微软雅黑" w:hAnsi="微软雅黑" w:eastAsia="微软雅黑" w:cs="微软雅黑"/>
          <w:b/>
          <w:bCs w:val="0"/>
          <w:sz w:val="28"/>
          <w:szCs w:val="28"/>
        </w:rPr>
        <w:t>概况</w:t>
      </w:r>
    </w:p>
    <w:p w14:paraId="094EC8A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0EA5917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52C1894D">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483D862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0EE5231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574E6D9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740C975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4860058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630B7A4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42389F5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5A54D94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7362DD5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712D32B1">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6BB100E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54893F0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3D82D76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6264692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52C3155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7A729A6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3291473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4B56D56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33832F6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6650FD5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79244F8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39BD186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040C90C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00C9BA6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2023</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75CE46DF">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266323A7">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1FA9EB08">
      <w:pPr>
        <w:pStyle w:val="13"/>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7368343D">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7C163857">
      <w:pPr>
        <w:pStyle w:val="13"/>
        <w:jc w:val="center"/>
        <w:rPr>
          <w:rFonts w:hint="eastAsia" w:ascii="微软雅黑" w:hAnsi="微软雅黑" w:eastAsia="微软雅黑" w:cs="微软雅黑"/>
          <w:b/>
          <w:bCs/>
          <w:sz w:val="84"/>
          <w:szCs w:val="84"/>
        </w:rPr>
      </w:pPr>
    </w:p>
    <w:p w14:paraId="72C2634F">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岳阳县血吸虫病防治事务中心单位概况</w:t>
      </w:r>
    </w:p>
    <w:p w14:paraId="53326BCB">
      <w:pPr>
        <w:pStyle w:val="14"/>
        <w:numPr>
          <w:ilvl w:val="0"/>
          <w:numId w:val="0"/>
        </w:numPr>
        <w:ind w:leftChars="0"/>
        <w:jc w:val="left"/>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13C9FB4F">
      <w:pPr>
        <w:widowControl/>
        <w:spacing w:line="600" w:lineRule="exact"/>
        <w:ind w:firstLine="640" w:firstLineChars="200"/>
        <w:rPr>
          <w:rFonts w:ascii="仿宋" w:hAnsi="仿宋" w:eastAsia="仿宋" w:cs="仿宋"/>
          <w:color w:val="000000"/>
          <w:kern w:val="0"/>
          <w:sz w:val="30"/>
          <w:szCs w:val="30"/>
        </w:rPr>
      </w:pPr>
      <w:r>
        <w:rPr>
          <w:rFonts w:hint="eastAsia" w:ascii="Times New Roman" w:hAnsi="Times New Roman" w:eastAsia="仿宋_GB2312" w:cs="仿宋_GB2312"/>
          <w:sz w:val="32"/>
          <w:szCs w:val="32"/>
        </w:rPr>
        <w:t>（一）</w:t>
      </w:r>
      <w:r>
        <w:rPr>
          <w:rFonts w:ascii="仿宋" w:hAnsi="仿宋" w:eastAsia="仿宋" w:cs="仿宋"/>
          <w:color w:val="000000"/>
          <w:kern w:val="0"/>
          <w:sz w:val="30"/>
          <w:szCs w:val="30"/>
        </w:rPr>
        <w:t>负责制定全县血吸虫病防治工作规划；组织、实施钉螺调查和药物灭螺；组织、实施人群病情调查和人群化疗、晚期血吸虫病的调查和救治；组织、实施血吸虫病健康教育、健康促进，并进行效果评估；开展疫情监测；开展急性血吸虫感染的预防控制工作，及时调查和处理突发疫情；根据疫情变化，及时调整流行村的疫情分类；开展对专业人员和参与血防工作的非专业人员的技术培训；收集、整理、汇总、统计和保管血吸虫病防治信息资料，及时上报各类报表；对新达到疫情控制、传播控制和传播阻断标准的流行村进行技术考核；根据血吸虫病联防联控工作方案，承担相关工作任务；</w:t>
      </w:r>
    </w:p>
    <w:p w14:paraId="19BDE1D1">
      <w:pPr>
        <w:widowControl/>
        <w:spacing w:line="600" w:lineRule="exact"/>
        <w:ind w:firstLine="640" w:firstLineChars="200"/>
        <w:rPr>
          <w:rFonts w:ascii="仿宋" w:hAnsi="仿宋" w:eastAsia="仿宋" w:cs="仿宋"/>
          <w:color w:val="000000"/>
          <w:kern w:val="0"/>
          <w:sz w:val="30"/>
          <w:szCs w:val="30"/>
        </w:rPr>
      </w:pPr>
      <w:r>
        <w:rPr>
          <w:rFonts w:hint="eastAsia" w:ascii="Times New Roman" w:hAnsi="Times New Roman" w:eastAsia="仿宋_GB2312" w:cs="仿宋_GB2312"/>
          <w:sz w:val="32"/>
          <w:szCs w:val="32"/>
        </w:rPr>
        <w:t>（二）</w:t>
      </w:r>
      <w:r>
        <w:rPr>
          <w:rFonts w:ascii="仿宋" w:hAnsi="仿宋" w:eastAsia="仿宋" w:cs="仿宋"/>
          <w:color w:val="000000"/>
          <w:kern w:val="0"/>
          <w:sz w:val="30"/>
          <w:szCs w:val="30"/>
        </w:rPr>
        <w:t>开展各项防治工作的督导和考核，完成上级领导交办的其他工作任务。</w:t>
      </w:r>
    </w:p>
    <w:p w14:paraId="31780449">
      <w:pPr>
        <w:widowControl/>
        <w:spacing w:line="600" w:lineRule="exact"/>
        <w:rPr>
          <w:rFonts w:hint="eastAsia" w:ascii="微软雅黑" w:hAnsi="微软雅黑" w:eastAsia="微软雅黑" w:cs="微软雅黑"/>
          <w:b/>
          <w:bCs w:val="0"/>
          <w:kern w:val="0"/>
          <w:sz w:val="32"/>
          <w:szCs w:val="32"/>
        </w:rPr>
      </w:pPr>
      <w:r>
        <w:rPr>
          <w:rFonts w:hint="eastAsia" w:ascii="微软雅黑" w:hAnsi="微软雅黑" w:eastAsia="微软雅黑" w:cs="微软雅黑"/>
          <w:b/>
          <w:bCs w:val="0"/>
          <w:kern w:val="0"/>
          <w:sz w:val="32"/>
          <w:szCs w:val="32"/>
        </w:rPr>
        <w:t>二、机构设置及决算单位构成</w:t>
      </w:r>
    </w:p>
    <w:p w14:paraId="30D71DC6">
      <w:pPr>
        <w:widowControl/>
        <w:spacing w:line="480" w:lineRule="auto"/>
        <w:ind w:firstLine="640" w:firstLineChars="200"/>
        <w:rPr>
          <w:rFonts w:hint="eastAsia" w:ascii="仿宋" w:hAnsi="仿宋" w:eastAsia="仿宋" w:cs="仿宋"/>
          <w:color w:val="000000"/>
          <w:kern w:val="0"/>
          <w:sz w:val="30"/>
          <w:szCs w:val="30"/>
        </w:rPr>
      </w:pPr>
      <w:r>
        <w:rPr>
          <w:rFonts w:hint="eastAsia" w:ascii="Times New Roman" w:hAnsi="Times New Roman" w:eastAsia="仿宋_GB2312" w:cs="仿宋_GB2312"/>
          <w:bCs/>
          <w:kern w:val="0"/>
          <w:sz w:val="32"/>
          <w:szCs w:val="32"/>
        </w:rPr>
        <w:t>（一）内设机构设置。</w:t>
      </w:r>
      <w:bookmarkStart w:id="0" w:name="OLE_LINK19"/>
      <w:r>
        <w:rPr>
          <w:rFonts w:hint="eastAsia" w:ascii="仿宋" w:hAnsi="仿宋" w:eastAsia="仿宋" w:cs="仿宋"/>
          <w:color w:val="000000"/>
          <w:kern w:val="0"/>
          <w:sz w:val="32"/>
          <w:szCs w:val="32"/>
          <w:lang w:val="en-US" w:eastAsia="zh-CN"/>
        </w:rPr>
        <w:t>岳阳县血吸虫病防治事务中心是岳阳县卫生健康局所属正股级公益一类事业单位。</w:t>
      </w:r>
      <w:r>
        <w:rPr>
          <w:rFonts w:hint="eastAsia" w:ascii="仿宋" w:hAnsi="仿宋" w:eastAsia="仿宋" w:cs="仿宋"/>
          <w:color w:val="000000"/>
          <w:kern w:val="0"/>
          <w:sz w:val="30"/>
          <w:szCs w:val="30"/>
        </w:rPr>
        <w:t>本部门所属机构</w:t>
      </w:r>
      <w:r>
        <w:rPr>
          <w:rFonts w:hint="eastAsia" w:ascii="仿宋" w:hAnsi="仿宋" w:eastAsia="仿宋" w:cs="仿宋"/>
          <w:color w:val="000000"/>
          <w:kern w:val="0"/>
          <w:sz w:val="30"/>
          <w:szCs w:val="30"/>
          <w:lang w:val="en-US" w:eastAsia="zh-CN"/>
        </w:rPr>
        <w:t>4</w:t>
      </w:r>
      <w:r>
        <w:rPr>
          <w:rFonts w:hint="eastAsia" w:ascii="仿宋" w:hAnsi="仿宋" w:eastAsia="仿宋" w:cs="仿宋"/>
          <w:color w:val="000000"/>
          <w:kern w:val="0"/>
          <w:sz w:val="30"/>
          <w:szCs w:val="30"/>
        </w:rPr>
        <w:t>个：岳阳县鹿角血防站、岳阳县中洲血防站、岳阳县麻塘血防站和岳阳县湖洲</w:t>
      </w:r>
      <w:r>
        <w:rPr>
          <w:rFonts w:hint="eastAsia" w:ascii="仿宋" w:hAnsi="仿宋" w:eastAsia="仿宋" w:cs="仿宋"/>
          <w:color w:val="000000"/>
          <w:kern w:val="0"/>
          <w:sz w:val="30"/>
          <w:szCs w:val="30"/>
          <w:lang w:val="en-US" w:eastAsia="zh-CN"/>
        </w:rPr>
        <w:t>卫生院（</w:t>
      </w:r>
      <w:r>
        <w:rPr>
          <w:rFonts w:hint="eastAsia" w:ascii="仿宋" w:hAnsi="仿宋" w:eastAsia="仿宋" w:cs="仿宋"/>
          <w:color w:val="000000"/>
          <w:kern w:val="0"/>
          <w:sz w:val="30"/>
          <w:szCs w:val="30"/>
        </w:rPr>
        <w:t>血防站</w:t>
      </w:r>
      <w:r>
        <w:rPr>
          <w:rFonts w:hint="eastAsia" w:ascii="仿宋" w:hAnsi="仿宋" w:eastAsia="仿宋" w:cs="仿宋"/>
          <w:color w:val="000000"/>
          <w:kern w:val="0"/>
          <w:sz w:val="30"/>
          <w:szCs w:val="30"/>
          <w:lang w:val="en-US" w:eastAsia="zh-CN"/>
        </w:rPr>
        <w:t>）</w:t>
      </w:r>
      <w:r>
        <w:rPr>
          <w:rFonts w:hint="eastAsia" w:ascii="仿宋" w:hAnsi="仿宋" w:eastAsia="仿宋" w:cs="仿宋"/>
          <w:color w:val="000000"/>
          <w:kern w:val="0"/>
          <w:sz w:val="30"/>
          <w:szCs w:val="30"/>
        </w:rPr>
        <w:t>，均为财务独立核算的单位。</w:t>
      </w:r>
    </w:p>
    <w:bookmarkEnd w:id="0"/>
    <w:p w14:paraId="1CA792C5">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仿宋" w:hAnsi="仿宋" w:eastAsia="仿宋" w:cs="仿宋"/>
          <w:color w:val="000000"/>
          <w:kern w:val="0"/>
          <w:sz w:val="30"/>
          <w:szCs w:val="30"/>
        </w:rPr>
        <w:t>纳入202</w:t>
      </w:r>
      <w:r>
        <w:rPr>
          <w:rFonts w:hint="eastAsia" w:ascii="仿宋" w:hAnsi="仿宋" w:eastAsia="仿宋" w:cs="仿宋"/>
          <w:color w:val="000000"/>
          <w:kern w:val="0"/>
          <w:sz w:val="30"/>
          <w:szCs w:val="30"/>
          <w:lang w:val="en-US" w:eastAsia="zh-CN"/>
        </w:rPr>
        <w:t>3</w:t>
      </w:r>
      <w:r>
        <w:rPr>
          <w:rFonts w:hint="eastAsia" w:ascii="仿宋" w:hAnsi="仿宋" w:eastAsia="仿宋" w:cs="仿宋"/>
          <w:color w:val="000000"/>
          <w:kern w:val="0"/>
          <w:sz w:val="30"/>
          <w:szCs w:val="30"/>
        </w:rPr>
        <w:t>年部门预算编制范围的</w:t>
      </w:r>
      <w:r>
        <w:rPr>
          <w:rFonts w:hint="eastAsia" w:ascii="仿宋" w:hAnsi="仿宋" w:eastAsia="仿宋" w:cs="仿宋"/>
          <w:color w:val="000000"/>
          <w:kern w:val="0"/>
          <w:sz w:val="30"/>
          <w:szCs w:val="30"/>
          <w:lang w:val="en-US" w:eastAsia="zh-CN"/>
        </w:rPr>
        <w:t>所属</w:t>
      </w:r>
      <w:r>
        <w:rPr>
          <w:rFonts w:hint="eastAsia" w:ascii="仿宋" w:hAnsi="仿宋" w:eastAsia="仿宋" w:cs="仿宋"/>
          <w:color w:val="000000"/>
          <w:kern w:val="0"/>
          <w:sz w:val="30"/>
          <w:szCs w:val="30"/>
        </w:rPr>
        <w:t>预算单位包括：</w:t>
      </w:r>
      <w:r>
        <w:rPr>
          <w:rFonts w:hint="eastAsia" w:ascii="仿宋" w:hAnsi="仿宋" w:eastAsia="仿宋" w:cs="仿宋"/>
          <w:color w:val="000000"/>
          <w:kern w:val="0"/>
          <w:sz w:val="30"/>
          <w:szCs w:val="30"/>
          <w:highlight w:val="none"/>
        </w:rPr>
        <w:t>岳阳县血吸虫病防治事务中心本级以及</w:t>
      </w:r>
      <w:r>
        <w:rPr>
          <w:rFonts w:hint="eastAsia" w:ascii="仿宋" w:hAnsi="仿宋" w:eastAsia="仿宋" w:cs="仿宋"/>
          <w:color w:val="000000"/>
          <w:kern w:val="0"/>
          <w:sz w:val="30"/>
          <w:szCs w:val="30"/>
        </w:rPr>
        <w:t>岳阳县鹿角血防站、岳阳县中洲血防站、岳阳县麻塘血防站和岳阳县湖洲</w:t>
      </w:r>
      <w:r>
        <w:rPr>
          <w:rFonts w:hint="eastAsia" w:ascii="仿宋" w:hAnsi="仿宋" w:eastAsia="仿宋" w:cs="仿宋"/>
          <w:color w:val="000000"/>
          <w:kern w:val="0"/>
          <w:sz w:val="30"/>
          <w:szCs w:val="30"/>
          <w:lang w:val="en-US" w:eastAsia="zh-CN"/>
        </w:rPr>
        <w:t>卫生院（</w:t>
      </w:r>
      <w:r>
        <w:rPr>
          <w:rFonts w:hint="eastAsia" w:ascii="仿宋" w:hAnsi="仿宋" w:eastAsia="仿宋" w:cs="仿宋"/>
          <w:color w:val="000000"/>
          <w:kern w:val="0"/>
          <w:sz w:val="30"/>
          <w:szCs w:val="30"/>
        </w:rPr>
        <w:t>血防站</w:t>
      </w:r>
      <w:r>
        <w:rPr>
          <w:rFonts w:hint="eastAsia" w:ascii="仿宋" w:hAnsi="仿宋" w:eastAsia="仿宋" w:cs="仿宋"/>
          <w:color w:val="000000"/>
          <w:kern w:val="0"/>
          <w:sz w:val="30"/>
          <w:szCs w:val="30"/>
          <w:lang w:val="en-US" w:eastAsia="zh-CN"/>
        </w:rPr>
        <w:t>）</w:t>
      </w:r>
      <w:r>
        <w:rPr>
          <w:rFonts w:hint="eastAsia" w:ascii="仿宋" w:hAnsi="仿宋" w:eastAsia="仿宋" w:cs="仿宋"/>
          <w:color w:val="000000"/>
          <w:kern w:val="0"/>
          <w:sz w:val="30"/>
          <w:szCs w:val="30"/>
        </w:rPr>
        <w:t>。</w:t>
      </w:r>
    </w:p>
    <w:p w14:paraId="3D39884A">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微软雅黑" w:hAnsi="微软雅黑" w:eastAsia="微软雅黑" w:cs="微软雅黑"/>
          <w:i/>
          <w:iCs/>
          <w:color w:val="FF0000"/>
          <w:sz w:val="32"/>
          <w:szCs w:val="24"/>
          <w:highlight w:val="white"/>
        </w:rPr>
        <w:sectPr>
          <w:pgSz w:w="11906" w:h="16838"/>
          <w:pgMar w:top="720" w:right="720" w:bottom="720" w:left="720" w:header="851" w:footer="992" w:gutter="0"/>
          <w:cols w:space="720" w:num="1"/>
          <w:docGrid w:type="linesAndChars" w:linePitch="312" w:charSpace="0"/>
        </w:sectPr>
      </w:pPr>
    </w:p>
    <w:p w14:paraId="0F1337A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0BF086F9">
      <w:pPr>
        <w:pStyle w:val="13"/>
        <w:jc w:val="center"/>
        <w:rPr>
          <w:rFonts w:hint="eastAsia" w:ascii="微软雅黑" w:hAnsi="微软雅黑" w:eastAsia="微软雅黑" w:cs="微软雅黑"/>
          <w:b/>
          <w:bCs/>
          <w:sz w:val="72"/>
          <w:szCs w:val="72"/>
        </w:rPr>
      </w:pPr>
    </w:p>
    <w:p w14:paraId="295FF23A">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5651E8BE">
      <w:pPr>
        <w:jc w:val="center"/>
        <w:rPr>
          <w:rFonts w:hint="eastAsia" w:ascii="微软雅黑" w:hAnsi="微软雅黑" w:eastAsia="微软雅黑" w:cs="微软雅黑"/>
          <w:b/>
          <w:bCs/>
          <w:sz w:val="72"/>
          <w:szCs w:val="72"/>
          <w:lang w:eastAsia="zh-CN"/>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lang w:eastAsia="zh-CN"/>
        </w:rPr>
        <w:t>（见附件）</w:t>
      </w:r>
    </w:p>
    <w:p w14:paraId="494EC377">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256AF026">
      <w:pPr>
        <w:pStyle w:val="13"/>
        <w:jc w:val="center"/>
        <w:rPr>
          <w:rFonts w:hint="eastAsia" w:ascii="微软雅黑" w:hAnsi="微软雅黑" w:eastAsia="微软雅黑" w:cs="微软雅黑"/>
          <w:b/>
          <w:bCs/>
          <w:sz w:val="70"/>
          <w:szCs w:val="70"/>
        </w:rPr>
      </w:pPr>
    </w:p>
    <w:p w14:paraId="5291B996">
      <w:pPr>
        <w:pStyle w:val="13"/>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2023</w:t>
      </w:r>
      <w:r>
        <w:rPr>
          <w:rFonts w:hint="eastAsia" w:ascii="微软雅黑" w:hAnsi="微软雅黑" w:eastAsia="微软雅黑" w:cs="微软雅黑"/>
          <w:b/>
          <w:bCs/>
          <w:sz w:val="70"/>
          <w:szCs w:val="70"/>
        </w:rPr>
        <w:t>年度部门决算情况说明</w:t>
      </w:r>
    </w:p>
    <w:p w14:paraId="43118B1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0D7AB16D">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年度收、支总计</w:t>
      </w:r>
      <w:r>
        <w:rPr>
          <w:rFonts w:ascii="微软雅黑" w:hAnsi="微软雅黑" w:eastAsia="微软雅黑" w:cs="微软雅黑"/>
          <w:sz w:val="32"/>
        </w:rPr>
        <w:t>1,794.40万元。与上年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增长66.40</w:t>
      </w:r>
      <w:r>
        <w:rPr>
          <w:rFonts w:ascii="微软雅黑" w:hAnsi="微软雅黑" w:eastAsia="微软雅黑" w:cs="微软雅黑"/>
          <w:sz w:val="32"/>
        </w:rPr>
        <w:t>万元，增长3.84%，主要是因为</w:t>
      </w:r>
      <w:bookmarkStart w:id="1" w:name="OLE_LINK8"/>
      <w:bookmarkStart w:id="2" w:name="OLE_LINK1"/>
      <w:r>
        <w:rPr>
          <w:rFonts w:hint="eastAsia" w:ascii="微软雅黑" w:hAnsi="微软雅黑" w:eastAsia="微软雅黑" w:cs="微软雅黑"/>
          <w:sz w:val="32"/>
          <w:lang w:val="en-US" w:eastAsia="zh-CN"/>
        </w:rPr>
        <w:t>重大公共卫生服务血吸虫病防治经费的增加</w:t>
      </w:r>
      <w:bookmarkEnd w:id="1"/>
      <w:r>
        <w:rPr>
          <w:rFonts w:hint="eastAsia" w:ascii="微软雅黑" w:hAnsi="微软雅黑" w:eastAsia="微软雅黑" w:cs="微软雅黑"/>
          <w:sz w:val="32"/>
          <w:lang w:val="en-US" w:eastAsia="zh-CN"/>
        </w:rPr>
        <w:t>。</w:t>
      </w:r>
      <w:bookmarkEnd w:id="2"/>
    </w:p>
    <w:p w14:paraId="72000DA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28B81BA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1,794.40</w:t>
      </w:r>
      <w:r>
        <w:rPr>
          <w:rFonts w:hint="eastAsia" w:ascii="微软雅黑" w:hAnsi="微软雅黑" w:eastAsia="微软雅黑" w:cs="微软雅黑"/>
          <w:sz w:val="32"/>
          <w:szCs w:val="32"/>
          <w:lang w:eastAsia="zh-CN"/>
        </w:rPr>
        <w:t>万元，其中：财政拨款收入</w:t>
      </w:r>
      <w:r>
        <w:rPr>
          <w:rFonts w:ascii="微软雅黑" w:hAnsi="微软雅黑" w:eastAsia="微软雅黑" w:cs="微软雅黑"/>
          <w:sz w:val="32"/>
        </w:rPr>
        <w:t>1,792.02万元，占99.87</w:t>
      </w:r>
      <w:r>
        <w:rPr>
          <w:rFonts w:hint="eastAsia" w:ascii="微软雅黑" w:hAnsi="微软雅黑" w:eastAsia="微软雅黑" w:cs="微软雅黑"/>
          <w:sz w:val="32"/>
          <w:szCs w:val="32"/>
          <w:lang w:eastAsia="zh-CN"/>
        </w:rPr>
        <w:t>%；上级补助收入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%；事业收入</w:t>
      </w:r>
      <w:r>
        <w:rPr>
          <w:rFonts w:ascii="微软雅黑" w:hAnsi="微软雅黑" w:eastAsia="微软雅黑" w:cs="微软雅黑"/>
          <w:sz w:val="32"/>
        </w:rPr>
        <w:t>2.38万元，占0.13</w:t>
      </w:r>
      <w:r>
        <w:rPr>
          <w:rFonts w:hint="eastAsia" w:ascii="微软雅黑" w:hAnsi="微软雅黑" w:eastAsia="微软雅黑" w:cs="微软雅黑"/>
          <w:sz w:val="32"/>
          <w:szCs w:val="32"/>
          <w:lang w:eastAsia="zh-CN"/>
        </w:rPr>
        <w:t>%；经营收入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%；附属单位上缴收入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%；其他收入</w:t>
      </w:r>
      <w:r>
        <w:rPr>
          <w:rFonts w:ascii="微软雅黑" w:hAnsi="微软雅黑" w:eastAsia="微软雅黑" w:cs="微软雅黑"/>
          <w:sz w:val="32"/>
        </w:rPr>
        <w:t>0万元，占</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w:t>
      </w:r>
    </w:p>
    <w:p w14:paraId="7CC4744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4763A5B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年度支出合计1,794.40万元，其中：基本支出1,794.40万元，占100.00%；项目支出0万元，占0%；上缴上级支出0万元，占0%；经营支出0万元，占0%；对附属单位补助支出0万元，占0%。</w:t>
      </w:r>
    </w:p>
    <w:p w14:paraId="7EB6962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05E4D75A">
      <w:pPr>
        <w:pStyle w:val="13"/>
        <w:keepNext w:val="0"/>
        <w:keepLines w:val="0"/>
        <w:pageBreakBefore w:val="0"/>
        <w:widowControl w:val="0"/>
        <w:kinsoku/>
        <w:wordWrap/>
        <w:overflowPunct/>
        <w:topLinePunct w:val="0"/>
        <w:bidi w:val="0"/>
        <w:snapToGrid/>
        <w:spacing w:line="600" w:lineRule="exac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年度财政拨款收、支总计1,792.02万元，与上年相比，增长64.02万元,增长3.70%，主要是因为</w:t>
      </w:r>
      <w:r>
        <w:rPr>
          <w:rFonts w:hint="eastAsia" w:ascii="微软雅黑" w:hAnsi="微软雅黑" w:eastAsia="微软雅黑" w:cs="微软雅黑"/>
          <w:sz w:val="32"/>
          <w:lang w:val="en-US" w:eastAsia="zh-CN"/>
        </w:rPr>
        <w:t>重大公共卫生服务血吸虫病防治经费的增加。</w:t>
      </w:r>
    </w:p>
    <w:p w14:paraId="26723A1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72665A3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73D7164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年度财政拨款支出1,792.02万元，占本年支出合计的99.87</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增长64.02万元，增长3.70%，主要是因为</w:t>
      </w:r>
      <w:r>
        <w:rPr>
          <w:rFonts w:hint="eastAsia" w:ascii="微软雅黑" w:hAnsi="微软雅黑" w:eastAsia="微软雅黑" w:cs="微软雅黑"/>
          <w:sz w:val="32"/>
          <w:lang w:val="en-US" w:eastAsia="zh-CN"/>
        </w:rPr>
        <w:t>重大公共卫生服务血吸虫病防治经费的增加。</w:t>
      </w:r>
    </w:p>
    <w:p w14:paraId="3356EEB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59032EA1">
      <w:pPr>
        <w:pStyle w:val="13"/>
        <w:ind w:firstLine="640" w:firstLineChars="200"/>
        <w:rPr>
          <w:rFonts w:hint="eastAsia" w:ascii="楷体" w:hAnsi="楷体" w:eastAsia="楷体" w:cs="楷体"/>
          <w:sz w:val="32"/>
          <w:szCs w:val="32"/>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年度财政拨款支出1,792.02万元，主要用于以下方面：</w:t>
      </w:r>
      <w:r>
        <w:rPr>
          <w:rFonts w:hint="eastAsia" w:ascii="Times New Roman" w:hAnsi="Times New Roman" w:eastAsia="仿宋_GB2312"/>
          <w:sz w:val="32"/>
          <w:szCs w:val="32"/>
          <w:lang w:val="en-US" w:eastAsia="zh-CN"/>
        </w:rPr>
        <w:t>科学技术</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7.89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0.44</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卫生健康</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1630.14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90.97</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住房保障（类）支出62.49万元，占3.49%；社会保障和就业（类）支出91.50万元，占5.10%；其他支出2.38万元，占0.13%。</w:t>
      </w:r>
    </w:p>
    <w:p w14:paraId="31603665">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val="0"/>
          <w:bCs w:val="0"/>
          <w:i/>
          <w:iCs/>
          <w:color w:val="FF0000"/>
          <w:sz w:val="32"/>
          <w:szCs w:val="32"/>
          <w:lang w:eastAsia="zh-CN"/>
        </w:rPr>
      </w:pPr>
    </w:p>
    <w:p w14:paraId="250E278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0B6804C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年度财政拨款支出年初预算数为</w:t>
      </w:r>
      <w:r>
        <w:rPr>
          <w:rFonts w:hint="eastAsia" w:ascii="微软雅黑" w:hAnsi="微软雅黑" w:eastAsia="微软雅黑" w:cs="微软雅黑"/>
          <w:sz w:val="32"/>
          <w:lang w:val="en-US" w:eastAsia="zh-CN"/>
        </w:rPr>
        <w:t>1794.40</w:t>
      </w:r>
      <w:r>
        <w:rPr>
          <w:rFonts w:ascii="微软雅黑" w:hAnsi="微软雅黑" w:eastAsia="微软雅黑" w:cs="微软雅黑"/>
          <w:sz w:val="32"/>
        </w:rPr>
        <w:t>万元，支出决算数为1,794.40</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lang w:val="en-US" w:eastAsia="zh-CN"/>
        </w:rPr>
        <w:t>100</w:t>
      </w:r>
      <w:r>
        <w:rPr>
          <w:rFonts w:hint="eastAsia" w:ascii="微软雅黑" w:hAnsi="微软雅黑" w:eastAsia="微软雅黑" w:cs="微软雅黑"/>
          <w:sz w:val="32"/>
          <w:szCs w:val="32"/>
          <w:lang w:eastAsia="zh-CN"/>
        </w:rPr>
        <w:t>%，其中：</w:t>
      </w:r>
    </w:p>
    <w:p w14:paraId="0B07DD7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w:t>
      </w:r>
      <w:r>
        <w:rPr>
          <w:rFonts w:hint="eastAsia" w:ascii="Times New Roman" w:hAnsi="Times New Roman" w:eastAsia="仿宋_GB2312"/>
          <w:sz w:val="32"/>
          <w:szCs w:val="32"/>
          <w:lang w:val="en-US" w:eastAsia="zh-CN"/>
        </w:rPr>
        <w:t>科学技术</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科技条件与服务</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其他科技条件与服务支出</w:t>
      </w:r>
      <w:r>
        <w:rPr>
          <w:rFonts w:hint="eastAsia" w:ascii="Times New Roman" w:hAnsi="Times New Roman" w:eastAsia="仿宋_GB2312"/>
          <w:sz w:val="32"/>
          <w:szCs w:val="32"/>
        </w:rPr>
        <w:t>（项）。</w:t>
      </w:r>
    </w:p>
    <w:p w14:paraId="113195A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7.89</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7.89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p>
    <w:p w14:paraId="35C1DA2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w:t>
      </w:r>
      <w:r>
        <w:rPr>
          <w:rFonts w:hint="eastAsia" w:ascii="Times New Roman" w:hAnsi="Times New Roman" w:eastAsia="仿宋_GB2312"/>
          <w:sz w:val="32"/>
          <w:szCs w:val="32"/>
          <w:lang w:val="en-US" w:eastAsia="zh-CN"/>
        </w:rPr>
        <w:t>卫生健康</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公共卫生</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疾病预防控制机构</w:t>
      </w:r>
      <w:r>
        <w:rPr>
          <w:rFonts w:hint="eastAsia" w:ascii="Times New Roman" w:hAnsi="Times New Roman" w:eastAsia="仿宋_GB2312"/>
          <w:sz w:val="32"/>
          <w:szCs w:val="32"/>
        </w:rPr>
        <w:t>（项）。</w:t>
      </w:r>
    </w:p>
    <w:p w14:paraId="5921DC0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739.43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739.43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p>
    <w:p w14:paraId="54838468">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卫生健康</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公共卫生</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重大公共卫生服务</w:t>
      </w:r>
      <w:r>
        <w:rPr>
          <w:rFonts w:hint="eastAsia" w:ascii="Times New Roman" w:hAnsi="Times New Roman" w:eastAsia="仿宋_GB2312"/>
          <w:sz w:val="32"/>
          <w:szCs w:val="32"/>
        </w:rPr>
        <w:t>（项）。</w:t>
      </w:r>
    </w:p>
    <w:p w14:paraId="3911A963">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815.74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815.74</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p>
    <w:p w14:paraId="15E887A6">
      <w:pPr>
        <w:pStyle w:val="13"/>
        <w:keepNext w:val="0"/>
        <w:keepLines w:val="0"/>
        <w:pageBreakBefore w:val="0"/>
        <w:widowControl w:val="0"/>
        <w:numPr>
          <w:ilvl w:val="0"/>
          <w:numId w:val="1"/>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其他支出（类）其他支出（款）其他支出（项）。</w:t>
      </w:r>
    </w:p>
    <w:p w14:paraId="5203523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bookmarkStart w:id="3" w:name="OLE_LINK2"/>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2.38</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2.38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p>
    <w:bookmarkEnd w:id="3"/>
    <w:p w14:paraId="6A6C6307">
      <w:pPr>
        <w:pStyle w:val="13"/>
        <w:keepNext w:val="0"/>
        <w:keepLines w:val="0"/>
        <w:pageBreakBefore w:val="0"/>
        <w:widowControl w:val="0"/>
        <w:numPr>
          <w:ilvl w:val="0"/>
          <w:numId w:val="1"/>
        </w:numPr>
        <w:kinsoku/>
        <w:wordWrap/>
        <w:overflowPunct/>
        <w:topLinePunct w:val="0"/>
        <w:autoSpaceDE w:val="0"/>
        <w:autoSpaceDN w:val="0"/>
        <w:bidi w:val="0"/>
        <w:adjustRightInd w:val="0"/>
        <w:snapToGrid/>
        <w:spacing w:line="360" w:lineRule="auto"/>
        <w:ind w:left="0" w:leftChars="0" w:firstLine="800" w:firstLineChars="250"/>
        <w:jc w:val="left"/>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其他公立医院支出。</w:t>
      </w:r>
    </w:p>
    <w:p w14:paraId="2A76EBA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bookmarkStart w:id="4" w:name="OLE_LINK3"/>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25.5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25.5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bookmarkEnd w:id="4"/>
      <w:r>
        <w:rPr>
          <w:rFonts w:hint="eastAsia" w:ascii="Times New Roman" w:hAnsi="Times New Roman" w:eastAsia="仿宋_GB2312"/>
          <w:sz w:val="32"/>
          <w:szCs w:val="32"/>
          <w:lang w:val="en-US" w:eastAsia="zh-CN"/>
        </w:rPr>
        <w:t>。</w:t>
      </w:r>
    </w:p>
    <w:p w14:paraId="44FE83D9">
      <w:pPr>
        <w:pStyle w:val="13"/>
        <w:keepNext w:val="0"/>
        <w:keepLines w:val="0"/>
        <w:pageBreakBefore w:val="0"/>
        <w:widowControl w:val="0"/>
        <w:numPr>
          <w:ilvl w:val="0"/>
          <w:numId w:val="1"/>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事业单位医疗</w:t>
      </w:r>
    </w:p>
    <w:p w14:paraId="5991FA31">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bookmarkStart w:id="5" w:name="OLE_LINK4"/>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49.47</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49.47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p>
    <w:bookmarkEnd w:id="5"/>
    <w:p w14:paraId="0D04DA2B">
      <w:pPr>
        <w:pStyle w:val="13"/>
        <w:keepNext w:val="0"/>
        <w:keepLines w:val="0"/>
        <w:pageBreakBefore w:val="0"/>
        <w:widowControl w:val="0"/>
        <w:numPr>
          <w:ilvl w:val="0"/>
          <w:numId w:val="1"/>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事业社会保障和就业支出</w:t>
      </w:r>
    </w:p>
    <w:p w14:paraId="0C262074">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bookmarkStart w:id="6" w:name="OLE_LINK5"/>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5.21</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5.21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p>
    <w:bookmarkEnd w:id="6"/>
    <w:p w14:paraId="6FEE3091">
      <w:pPr>
        <w:pStyle w:val="13"/>
        <w:keepNext w:val="0"/>
        <w:keepLines w:val="0"/>
        <w:pageBreakBefore w:val="0"/>
        <w:widowControl w:val="0"/>
        <w:numPr>
          <w:ilvl w:val="0"/>
          <w:numId w:val="1"/>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机关事业单位基本养老保险缴费支出</w:t>
      </w:r>
    </w:p>
    <w:p w14:paraId="54EB75DA">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bookmarkStart w:id="7" w:name="OLE_LINK6"/>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83.32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83.32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p>
    <w:bookmarkEnd w:id="7"/>
    <w:p w14:paraId="397C7C60">
      <w:pPr>
        <w:pStyle w:val="13"/>
        <w:keepNext w:val="0"/>
        <w:keepLines w:val="0"/>
        <w:pageBreakBefore w:val="0"/>
        <w:widowControl w:val="0"/>
        <w:numPr>
          <w:ilvl w:val="0"/>
          <w:numId w:val="1"/>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死亡抚恤</w:t>
      </w:r>
    </w:p>
    <w:p w14:paraId="0E310278">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bookmarkStart w:id="8" w:name="OLE_LINK7"/>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2.97</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2.97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p>
    <w:bookmarkEnd w:id="8"/>
    <w:p w14:paraId="2F80A0F3">
      <w:pPr>
        <w:pStyle w:val="13"/>
        <w:keepNext w:val="0"/>
        <w:keepLines w:val="0"/>
        <w:pageBreakBefore w:val="0"/>
        <w:widowControl w:val="0"/>
        <w:numPr>
          <w:ilvl w:val="0"/>
          <w:numId w:val="1"/>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住房公积金</w:t>
      </w:r>
    </w:p>
    <w:p w14:paraId="7F8CE3C3">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62.49</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62.49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年初预算数的主要原因是：</w:t>
      </w:r>
      <w:r>
        <w:rPr>
          <w:rFonts w:hint="eastAsia" w:ascii="Times New Roman" w:hAnsi="Times New Roman" w:eastAsia="仿宋_GB2312"/>
          <w:sz w:val="32"/>
          <w:szCs w:val="32"/>
          <w:lang w:val="en-US" w:eastAsia="zh-CN"/>
        </w:rPr>
        <w:t>严格执行预算。</w:t>
      </w:r>
    </w:p>
    <w:p w14:paraId="44B3866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85BDC6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年度财政拨款基本支出1794.40万元，其中：</w:t>
      </w:r>
    </w:p>
    <w:p w14:paraId="7590FBC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309.</w:t>
      </w:r>
      <w:r>
        <w:rPr>
          <w:rFonts w:hint="eastAsia" w:ascii="微软雅黑" w:hAnsi="微软雅黑" w:eastAsia="微软雅黑" w:cs="微软雅黑"/>
          <w:sz w:val="32"/>
          <w:lang w:val="en-US" w:eastAsia="zh-CN"/>
        </w:rPr>
        <w:t>25</w:t>
      </w:r>
      <w:r>
        <w:rPr>
          <w:rFonts w:ascii="微软雅黑" w:hAnsi="微软雅黑" w:eastAsia="微软雅黑" w:cs="微软雅黑"/>
          <w:sz w:val="32"/>
        </w:rPr>
        <w:t>万元，占基本支出的17.23%,主要包括基本工资</w:t>
      </w:r>
      <w:r>
        <w:rPr>
          <w:rFonts w:hint="eastAsia" w:ascii="微软雅黑" w:hAnsi="微软雅黑" w:eastAsia="微软雅黑" w:cs="微软雅黑"/>
          <w:sz w:val="32"/>
          <w:lang w:eastAsia="zh-CN"/>
        </w:rPr>
        <w:t>、</w:t>
      </w:r>
      <w:r>
        <w:rPr>
          <w:rFonts w:ascii="微软雅黑" w:hAnsi="微软雅黑" w:eastAsia="微软雅黑" w:cs="微软雅黑"/>
          <w:sz w:val="32"/>
        </w:rPr>
        <w:t>津贴补贴、伙食补助</w:t>
      </w:r>
      <w:r>
        <w:rPr>
          <w:rFonts w:hint="eastAsia" w:ascii="微软雅黑" w:hAnsi="微软雅黑" w:eastAsia="微软雅黑" w:cs="微软雅黑"/>
          <w:sz w:val="32"/>
          <w:lang w:val="en-US" w:eastAsia="zh-CN"/>
        </w:rPr>
        <w:t>费、绩效工资、机关事业单位基本养老保险缴费、职工基本医疗保险缴费、公务员医疗补助缴费、其他社会保障缴费、住房公积金、医疗费。</w:t>
      </w:r>
    </w:p>
    <w:p w14:paraId="335BC40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lang w:val="en-US"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1485.1</w:t>
      </w:r>
      <w:r>
        <w:rPr>
          <w:rFonts w:hint="eastAsia" w:ascii="微软雅黑" w:hAnsi="微软雅黑" w:eastAsia="微软雅黑" w:cs="微软雅黑"/>
          <w:sz w:val="32"/>
          <w:lang w:val="en-US" w:eastAsia="zh-CN"/>
        </w:rPr>
        <w:t>5</w:t>
      </w:r>
      <w:r>
        <w:rPr>
          <w:rFonts w:ascii="微软雅黑" w:hAnsi="微软雅黑" w:eastAsia="微软雅黑" w:cs="微软雅黑"/>
          <w:sz w:val="32"/>
        </w:rPr>
        <w:t>万元，占基本支出的</w:t>
      </w:r>
      <w:r>
        <w:rPr>
          <w:rFonts w:hint="eastAsia" w:ascii="微软雅黑" w:hAnsi="微软雅黑" w:eastAsia="微软雅黑" w:cs="微软雅黑"/>
          <w:sz w:val="32"/>
          <w:szCs w:val="32"/>
          <w:lang w:val="en-US" w:eastAsia="zh-CN"/>
        </w:rPr>
        <w:t>82.77</w:t>
      </w:r>
      <w:r>
        <w:rPr>
          <w:rFonts w:hint="eastAsia" w:ascii="微软雅黑" w:hAnsi="微软雅黑" w:eastAsia="微软雅黑" w:cs="微软雅黑"/>
          <w:sz w:val="32"/>
          <w:szCs w:val="32"/>
          <w:lang w:eastAsia="zh-CN"/>
        </w:rPr>
        <w:t>%，主要包括</w:t>
      </w:r>
      <w:r>
        <w:rPr>
          <w:rFonts w:hint="eastAsia" w:ascii="微软雅黑" w:hAnsi="微软雅黑" w:eastAsia="微软雅黑" w:cs="微软雅黑"/>
          <w:sz w:val="32"/>
          <w:lang w:val="en-US" w:eastAsia="zh-CN"/>
        </w:rPr>
        <w:t>办公费、印刷费、咨询费、邮电费、差旅费、维修（护）费、会议费、培训费、公务接待费、专用材料费、委托业务费、工会经费、其他交通费、其他商品和服务支出。</w:t>
      </w:r>
    </w:p>
    <w:p w14:paraId="6D6D4C5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7A1F8CA6">
      <w:pPr>
        <w:pStyle w:val="13"/>
        <w:ind w:firstLine="800" w:firstLineChars="250"/>
        <w:rPr>
          <w:rFonts w:hint="eastAsia" w:ascii="微软雅黑" w:hAnsi="微软雅黑" w:eastAsia="微软雅黑" w:cs="微软雅黑"/>
          <w:sz w:val="32"/>
          <w:szCs w:val="32"/>
        </w:rPr>
      </w:pPr>
      <w:r>
        <w:rPr>
          <w:rFonts w:hint="eastAsia" w:ascii="Times New Roman" w:hAnsi="Times New Roman" w:eastAsia="仿宋_GB2312"/>
          <w:sz w:val="32"/>
          <w:szCs w:val="32"/>
          <w:lang w:val="en-US" w:eastAsia="zh-CN"/>
        </w:rPr>
        <w:t>2023年度本单位无政府性基金收支</w:t>
      </w:r>
    </w:p>
    <w:p w14:paraId="52B4F6E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0053EA27">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宋体" w:hAnsi="宋体" w:eastAsia="宋体"/>
          <w:sz w:val="32"/>
          <w:szCs w:val="32"/>
        </w:rPr>
      </w:pPr>
      <w:r>
        <w:rPr>
          <w:rFonts w:hint="eastAsia" w:ascii="宋体" w:hAnsi="宋体" w:eastAsia="宋体"/>
          <w:sz w:val="32"/>
          <w:szCs w:val="32"/>
          <w:lang w:val="en-US" w:eastAsia="zh-CN"/>
        </w:rPr>
        <w:t>2023</w:t>
      </w:r>
      <w:r>
        <w:rPr>
          <w:rFonts w:hint="eastAsia" w:ascii="宋体" w:hAnsi="宋体" w:eastAsia="宋体"/>
          <w:sz w:val="32"/>
          <w:szCs w:val="32"/>
        </w:rPr>
        <w:t>年度</w:t>
      </w:r>
      <w:r>
        <w:rPr>
          <w:rFonts w:hint="eastAsia" w:ascii="宋体" w:hAnsi="宋体" w:eastAsia="宋体"/>
          <w:sz w:val="32"/>
          <w:szCs w:val="32"/>
          <w:lang w:val="en-US" w:eastAsia="zh-CN"/>
        </w:rPr>
        <w:t>本单位无国有资本经营预算财政拨款支出</w:t>
      </w:r>
      <w:r>
        <w:rPr>
          <w:rFonts w:hint="eastAsia" w:ascii="宋体" w:hAnsi="宋体" w:eastAsia="宋体"/>
          <w:sz w:val="32"/>
          <w:szCs w:val="32"/>
        </w:rPr>
        <w:t>。</w:t>
      </w:r>
    </w:p>
    <w:p w14:paraId="6E2B867F">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263626FC">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03EEE37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ascii="微软雅黑" w:hAnsi="微软雅黑" w:eastAsia="微软雅黑" w:cs="微软雅黑"/>
          <w:sz w:val="32"/>
        </w:rPr>
        <w:t>1</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0.35</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35.00</w:t>
      </w:r>
      <w:r>
        <w:rPr>
          <w:rFonts w:hint="eastAsia" w:ascii="微软雅黑" w:hAnsi="微软雅黑" w:eastAsia="微软雅黑" w:cs="微软雅黑"/>
          <w:sz w:val="32"/>
          <w:szCs w:val="32"/>
        </w:rPr>
        <w:t>%，其中：</w:t>
      </w:r>
    </w:p>
    <w:p w14:paraId="31564D1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因公出国（境）费支出预算为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w:t>
      </w:r>
      <w:r>
        <w:rPr>
          <w:rFonts w:hint="eastAsia" w:ascii="微软雅黑" w:hAnsi="微软雅黑" w:eastAsia="微软雅黑" w:cs="微软雅黑"/>
          <w:sz w:val="32"/>
          <w:szCs w:val="32"/>
          <w:lang w:val="en-US" w:eastAsia="zh-CN"/>
        </w:rPr>
        <w:t>无百分比</w:t>
      </w:r>
      <w:r>
        <w:rPr>
          <w:rFonts w:hint="eastAsia" w:ascii="微软雅黑" w:hAnsi="微软雅黑" w:eastAsia="微软雅黑" w:cs="微软雅黑"/>
          <w:sz w:val="32"/>
          <w:szCs w:val="32"/>
        </w:rPr>
        <w:t>，决算数</w:t>
      </w:r>
      <w:r>
        <w:rPr>
          <w:rFonts w:hint="eastAsia" w:ascii="微软雅黑" w:hAnsi="微软雅黑" w:eastAsia="微软雅黑" w:cs="微软雅黑"/>
          <w:sz w:val="32"/>
          <w:szCs w:val="32"/>
          <w:lang w:val="en-US" w:eastAsia="zh-CN"/>
        </w:rPr>
        <w:t>等于</w:t>
      </w:r>
      <w:r>
        <w:rPr>
          <w:rFonts w:hint="eastAsia" w:ascii="微软雅黑" w:hAnsi="微软雅黑" w:eastAsia="微软雅黑" w:cs="微软雅黑"/>
          <w:sz w:val="32"/>
          <w:szCs w:val="32"/>
        </w:rPr>
        <w:t>预算数的主要原因是</w:t>
      </w:r>
      <w:r>
        <w:rPr>
          <w:rFonts w:hint="eastAsia" w:ascii="微软雅黑" w:hAnsi="微软雅黑" w:eastAsia="微软雅黑" w:cs="微软雅黑"/>
          <w:sz w:val="32"/>
          <w:szCs w:val="32"/>
          <w:lang w:val="en-US" w:eastAsia="zh-CN"/>
        </w:rPr>
        <w:t>本年度未安排出国出境</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hint="eastAsia" w:ascii="微软雅黑" w:hAnsi="微软雅黑" w:eastAsia="微软雅黑" w:cs="微软雅黑"/>
          <w:sz w:val="32"/>
          <w:lang w:val="en-US" w:eastAsia="zh-CN"/>
        </w:rPr>
        <w:t>无百分比</w:t>
      </w:r>
      <w:r>
        <w:rPr>
          <w:rFonts w:hint="eastAsia" w:ascii="微软雅黑" w:hAnsi="微软雅黑" w:eastAsia="微软雅黑" w:cs="微软雅黑"/>
          <w:sz w:val="32"/>
          <w:szCs w:val="32"/>
        </w:rPr>
        <w:t>的主要原因是</w:t>
      </w:r>
      <w:r>
        <w:rPr>
          <w:rFonts w:hint="eastAsia" w:ascii="微软雅黑" w:hAnsi="微软雅黑" w:eastAsia="微软雅黑" w:cs="微软雅黑"/>
          <w:sz w:val="32"/>
          <w:szCs w:val="32"/>
          <w:lang w:val="en-US" w:eastAsia="zh-CN"/>
        </w:rPr>
        <w:t>今年及去年均未安排出国（境）</w:t>
      </w:r>
      <w:r>
        <w:rPr>
          <w:rFonts w:hint="eastAsia" w:ascii="微软雅黑" w:hAnsi="微软雅黑" w:eastAsia="微软雅黑" w:cs="微软雅黑"/>
          <w:sz w:val="32"/>
          <w:szCs w:val="32"/>
        </w:rPr>
        <w:t>。</w:t>
      </w:r>
    </w:p>
    <w:p w14:paraId="69D53D4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公务接待费支出预算为</w:t>
      </w: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0.35</w:t>
      </w:r>
      <w:r>
        <w:rPr>
          <w:rFonts w:hint="eastAsia" w:ascii="微软雅黑" w:hAnsi="微软雅黑" w:eastAsia="微软雅黑" w:cs="微软雅黑"/>
          <w:sz w:val="32"/>
          <w:szCs w:val="32"/>
        </w:rPr>
        <w:t>万元，完成预算的</w:t>
      </w:r>
      <w:r>
        <w:rPr>
          <w:rFonts w:hint="eastAsia" w:ascii="微软雅黑" w:hAnsi="微软雅黑" w:eastAsia="微软雅黑" w:cs="微软雅黑"/>
          <w:sz w:val="32"/>
          <w:lang w:val="en-US" w:eastAsia="zh-CN"/>
        </w:rPr>
        <w:t>35</w:t>
      </w:r>
      <w:r>
        <w:rPr>
          <w:rFonts w:hint="eastAsia" w:ascii="微软雅黑" w:hAnsi="微软雅黑" w:eastAsia="微软雅黑" w:cs="微软雅黑"/>
          <w:sz w:val="32"/>
          <w:szCs w:val="32"/>
        </w:rPr>
        <w:t>%，决算数</w:t>
      </w:r>
      <w:r>
        <w:rPr>
          <w:rFonts w:hint="eastAsia" w:ascii="微软雅黑" w:hAnsi="微软雅黑" w:eastAsia="微软雅黑" w:cs="微软雅黑"/>
          <w:sz w:val="32"/>
          <w:szCs w:val="32"/>
          <w:lang w:val="en-US" w:eastAsia="zh-CN"/>
        </w:rPr>
        <w:t>小于</w:t>
      </w:r>
      <w:r>
        <w:rPr>
          <w:rFonts w:hint="eastAsia" w:ascii="微软雅黑" w:hAnsi="微软雅黑" w:eastAsia="微软雅黑" w:cs="微软雅黑"/>
          <w:sz w:val="32"/>
          <w:szCs w:val="32"/>
        </w:rPr>
        <w:t>预算数的主要</w:t>
      </w:r>
      <w:r>
        <w:rPr>
          <w:rFonts w:hint="eastAsia" w:ascii="微软雅黑" w:hAnsi="微软雅黑" w:eastAsia="微软雅黑" w:cs="微软雅黑"/>
          <w:sz w:val="32"/>
          <w:szCs w:val="32"/>
          <w:lang w:val="en-US" w:eastAsia="zh-CN"/>
        </w:rPr>
        <w:t>原因是上级主管部门督查次数明显减少，且停留时间短，发生公务接待开支少，与上</w:t>
      </w:r>
      <w:r>
        <w:rPr>
          <w:rFonts w:hint="eastAsia" w:ascii="微软雅黑" w:hAnsi="微软雅黑" w:eastAsia="微软雅黑" w:cs="微软雅黑"/>
          <w:sz w:val="32"/>
          <w:szCs w:val="32"/>
        </w:rPr>
        <w:t>年相比</w:t>
      </w:r>
      <w:r>
        <w:rPr>
          <w:rFonts w:ascii="微软雅黑" w:hAnsi="微软雅黑" w:eastAsia="微软雅黑" w:cs="微软雅黑"/>
          <w:sz w:val="32"/>
        </w:rPr>
        <w:t>减少0.04</w:t>
      </w:r>
      <w:r>
        <w:rPr>
          <w:rFonts w:hint="eastAsia" w:ascii="微软雅黑" w:hAnsi="微软雅黑" w:eastAsia="微软雅黑" w:cs="微软雅黑"/>
          <w:sz w:val="32"/>
          <w:szCs w:val="32"/>
        </w:rPr>
        <w:t>万元，</w:t>
      </w:r>
      <w:r>
        <w:rPr>
          <w:rFonts w:hint="eastAsia" w:ascii="微软雅黑" w:hAnsi="微软雅黑" w:eastAsia="微软雅黑" w:cs="微软雅黑"/>
          <w:color w:val="auto"/>
          <w:sz w:val="32"/>
          <w:szCs w:val="32"/>
          <w:highlight w:val="none"/>
          <w:lang w:val="en-US" w:eastAsia="zh-CN"/>
        </w:rPr>
        <w:t>减少10.26</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val="en-US" w:eastAsia="zh-CN"/>
        </w:rPr>
        <w:t>减少</w:t>
      </w:r>
      <w:r>
        <w:rPr>
          <w:rFonts w:hint="eastAsia" w:ascii="微软雅黑" w:hAnsi="微软雅黑" w:eastAsia="微软雅黑" w:cs="微软雅黑"/>
          <w:sz w:val="32"/>
          <w:szCs w:val="32"/>
        </w:rPr>
        <w:t>的主要原因是</w:t>
      </w:r>
      <w:r>
        <w:rPr>
          <w:rFonts w:hint="eastAsia" w:ascii="微软雅黑" w:hAnsi="微软雅黑" w:eastAsia="微软雅黑" w:cs="微软雅黑"/>
          <w:sz w:val="32"/>
          <w:szCs w:val="32"/>
          <w:lang w:val="en-US" w:eastAsia="zh-CN"/>
        </w:rPr>
        <w:t>缩减了公务接待开支</w:t>
      </w:r>
      <w:r>
        <w:rPr>
          <w:rFonts w:hint="eastAsia" w:ascii="微软雅黑" w:hAnsi="微软雅黑" w:eastAsia="微软雅黑" w:cs="微软雅黑"/>
          <w:sz w:val="32"/>
          <w:szCs w:val="32"/>
        </w:rPr>
        <w:t>。</w:t>
      </w:r>
    </w:p>
    <w:p w14:paraId="27C4971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公务用车购置费支出预算为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w:t>
      </w:r>
      <w:bookmarkStart w:id="9" w:name="OLE_LINK10"/>
      <w:r>
        <w:rPr>
          <w:rFonts w:hint="eastAsia" w:ascii="微软雅黑" w:hAnsi="微软雅黑" w:eastAsia="微软雅黑" w:cs="微软雅黑"/>
          <w:sz w:val="32"/>
          <w:szCs w:val="32"/>
          <w:lang w:val="en-US" w:eastAsia="zh-CN"/>
        </w:rPr>
        <w:t>因年初预算数为0</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val="en-US" w:eastAsia="zh-CN"/>
        </w:rPr>
        <w:t>无百分比</w:t>
      </w:r>
      <w:r>
        <w:rPr>
          <w:rFonts w:hint="eastAsia" w:ascii="微软雅黑" w:hAnsi="微软雅黑" w:eastAsia="微软雅黑" w:cs="微软雅黑"/>
          <w:sz w:val="32"/>
          <w:szCs w:val="32"/>
        </w:rPr>
        <w:t>，决算数</w:t>
      </w:r>
      <w:r>
        <w:rPr>
          <w:rFonts w:hint="eastAsia" w:ascii="微软雅黑" w:hAnsi="微软雅黑" w:eastAsia="微软雅黑" w:cs="微软雅黑"/>
          <w:sz w:val="32"/>
          <w:szCs w:val="32"/>
          <w:lang w:val="en-US" w:eastAsia="zh-CN"/>
        </w:rPr>
        <w:t>等于</w:t>
      </w:r>
      <w:r>
        <w:rPr>
          <w:rFonts w:hint="eastAsia" w:ascii="微软雅黑" w:hAnsi="微软雅黑" w:eastAsia="微软雅黑" w:cs="微软雅黑"/>
          <w:sz w:val="32"/>
          <w:szCs w:val="32"/>
        </w:rPr>
        <w:t>预算数的主要原因是</w:t>
      </w:r>
      <w:r>
        <w:rPr>
          <w:rFonts w:hint="eastAsia" w:ascii="微软雅黑" w:hAnsi="微软雅黑" w:eastAsia="微软雅黑" w:cs="微软雅黑"/>
          <w:sz w:val="32"/>
          <w:szCs w:val="32"/>
          <w:lang w:val="en-US" w:eastAsia="zh-CN"/>
        </w:rPr>
        <w:t>本单位无公务用车</w:t>
      </w:r>
      <w:r>
        <w:rPr>
          <w:rFonts w:hint="eastAsia" w:ascii="微软雅黑" w:hAnsi="微软雅黑" w:eastAsia="微软雅黑" w:cs="微软雅黑"/>
          <w:sz w:val="32"/>
          <w:szCs w:val="32"/>
        </w:rPr>
        <w:t>，与上年相比</w:t>
      </w:r>
      <w:r>
        <w:rPr>
          <w:rFonts w:hint="eastAsia" w:ascii="微软雅黑" w:hAnsi="微软雅黑" w:eastAsia="微软雅黑" w:cs="微软雅黑"/>
          <w:sz w:val="32"/>
          <w:szCs w:val="32"/>
          <w:lang w:val="en-US" w:eastAsia="zh-CN"/>
        </w:rPr>
        <w:t>无变化的主要原因是今年及去年均无公务用车</w:t>
      </w:r>
      <w:r>
        <w:rPr>
          <w:rFonts w:hint="eastAsia" w:ascii="微软雅黑" w:hAnsi="微软雅黑" w:eastAsia="微软雅黑" w:cs="微软雅黑"/>
          <w:sz w:val="32"/>
          <w:szCs w:val="32"/>
        </w:rPr>
        <w:t>。</w:t>
      </w:r>
    </w:p>
    <w:bookmarkEnd w:id="9"/>
    <w:p w14:paraId="1E6AFD2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公务用车运行维护费支出预算为0万元，支出决算为0万元，</w:t>
      </w:r>
      <w:r>
        <w:rPr>
          <w:rFonts w:hint="eastAsia" w:ascii="微软雅黑" w:hAnsi="微软雅黑" w:eastAsia="微软雅黑" w:cs="微软雅黑"/>
          <w:sz w:val="32"/>
          <w:szCs w:val="32"/>
          <w:lang w:val="en-US" w:eastAsia="zh-CN"/>
        </w:rPr>
        <w:t>无百分比</w:t>
      </w:r>
      <w:r>
        <w:rPr>
          <w:rFonts w:hint="eastAsia" w:ascii="微软雅黑" w:hAnsi="微软雅黑" w:eastAsia="微软雅黑" w:cs="微软雅黑"/>
          <w:sz w:val="32"/>
          <w:szCs w:val="32"/>
        </w:rPr>
        <w:t>，决算数</w:t>
      </w:r>
      <w:r>
        <w:rPr>
          <w:rFonts w:hint="eastAsia" w:ascii="微软雅黑" w:hAnsi="微软雅黑" w:eastAsia="微软雅黑" w:cs="微软雅黑"/>
          <w:sz w:val="32"/>
          <w:szCs w:val="32"/>
          <w:lang w:val="en-US" w:eastAsia="zh-CN"/>
        </w:rPr>
        <w:t>等于</w:t>
      </w:r>
      <w:r>
        <w:rPr>
          <w:rFonts w:hint="eastAsia" w:ascii="微软雅黑" w:hAnsi="微软雅黑" w:eastAsia="微软雅黑" w:cs="微软雅黑"/>
          <w:sz w:val="32"/>
          <w:szCs w:val="32"/>
        </w:rPr>
        <w:t>预算数的主要原因是</w:t>
      </w:r>
      <w:r>
        <w:rPr>
          <w:rFonts w:hint="eastAsia" w:ascii="微软雅黑" w:hAnsi="微软雅黑" w:eastAsia="微软雅黑" w:cs="微软雅黑"/>
          <w:sz w:val="32"/>
          <w:szCs w:val="32"/>
          <w:lang w:val="en-US" w:eastAsia="zh-CN"/>
        </w:rPr>
        <w:t>本单位无公务用车</w:t>
      </w:r>
      <w:r>
        <w:rPr>
          <w:rFonts w:hint="eastAsia" w:ascii="微软雅黑" w:hAnsi="微软雅黑" w:eastAsia="微软雅黑" w:cs="微软雅黑"/>
          <w:sz w:val="32"/>
          <w:szCs w:val="32"/>
        </w:rPr>
        <w:t>，与上年相比</w:t>
      </w:r>
      <w:r>
        <w:rPr>
          <w:rFonts w:hint="eastAsia" w:ascii="微软雅黑" w:hAnsi="微软雅黑" w:eastAsia="微软雅黑" w:cs="微软雅黑"/>
          <w:sz w:val="32"/>
          <w:szCs w:val="32"/>
          <w:lang w:val="en-US" w:eastAsia="zh-CN"/>
        </w:rPr>
        <w:t>无变化</w:t>
      </w:r>
      <w:r>
        <w:rPr>
          <w:rFonts w:hint="eastAsia" w:ascii="微软雅黑" w:hAnsi="微软雅黑" w:eastAsia="微软雅黑" w:cs="微软雅黑"/>
          <w:sz w:val="32"/>
          <w:szCs w:val="32"/>
        </w:rPr>
        <w:t>的主要原因是今年及去年均无公务用车引起的运行维护费支出。</w:t>
      </w:r>
    </w:p>
    <w:p w14:paraId="546E360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rPr>
      </w:pPr>
    </w:p>
    <w:p w14:paraId="652FBF14">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1D47790A">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年度“三公”经费财政拨款支出决算中，公务接待费支出决算</w:t>
      </w:r>
      <w:r>
        <w:rPr>
          <w:rFonts w:ascii="微软雅黑" w:hAnsi="微软雅黑" w:eastAsia="微软雅黑" w:cs="微软雅黑"/>
          <w:sz w:val="32"/>
        </w:rPr>
        <w:t>0.35</w:t>
      </w:r>
      <w:r>
        <w:rPr>
          <w:rFonts w:hint="eastAsia" w:ascii="微软雅黑" w:hAnsi="微软雅黑" w:eastAsia="微软雅黑" w:cs="微软雅黑"/>
          <w:sz w:val="32"/>
          <w:szCs w:val="32"/>
        </w:rPr>
        <w:t>万元，占</w:t>
      </w:r>
      <w:r>
        <w:rPr>
          <w:rFonts w:ascii="微软雅黑" w:hAnsi="微软雅黑" w:eastAsia="微软雅黑" w:cs="微软雅黑"/>
          <w:sz w:val="32"/>
        </w:rPr>
        <w:t>100.00</w:t>
      </w:r>
      <w:r>
        <w:rPr>
          <w:rFonts w:hint="eastAsia" w:ascii="微软雅黑" w:hAnsi="微软雅黑" w:eastAsia="微软雅黑" w:cs="微软雅黑"/>
          <w:sz w:val="32"/>
          <w:szCs w:val="32"/>
        </w:rPr>
        <w:t>%,因公出国（境）费支出决算</w:t>
      </w:r>
      <w:r>
        <w:rPr>
          <w:rFonts w:ascii="微软雅黑" w:hAnsi="微软雅黑" w:eastAsia="微软雅黑" w:cs="微软雅黑"/>
          <w:sz w:val="32"/>
        </w:rPr>
        <w:t>0</w:t>
      </w:r>
      <w:r>
        <w:rPr>
          <w:rFonts w:hint="eastAsia" w:ascii="微软雅黑" w:hAnsi="微软雅黑" w:eastAsia="微软雅黑" w:cs="微软雅黑"/>
          <w:sz w:val="32"/>
          <w:szCs w:val="32"/>
        </w:rPr>
        <w:t>万元，占</w:t>
      </w:r>
      <w:r>
        <w:rPr>
          <w:rFonts w:ascii="微软雅黑" w:hAnsi="微软雅黑" w:eastAsia="微软雅黑" w:cs="微软雅黑"/>
          <w:sz w:val="32"/>
        </w:rPr>
        <w:t>0</w:t>
      </w:r>
      <w:r>
        <w:rPr>
          <w:rFonts w:hint="eastAsia" w:ascii="微软雅黑" w:hAnsi="微软雅黑" w:eastAsia="微软雅黑" w:cs="微软雅黑"/>
          <w:sz w:val="32"/>
          <w:szCs w:val="32"/>
        </w:rPr>
        <w:t>%,公务用车购置费及运行维护费支出决算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0.00</w:t>
      </w:r>
      <w:r>
        <w:rPr>
          <w:rFonts w:hint="eastAsia" w:ascii="微软雅黑" w:hAnsi="微软雅黑" w:eastAsia="微软雅黑" w:cs="微软雅黑"/>
          <w:sz w:val="32"/>
          <w:szCs w:val="32"/>
        </w:rPr>
        <w:t>%。其中：</w:t>
      </w:r>
    </w:p>
    <w:p w14:paraId="40B22379">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万元，全年安排因公出国（境）团组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个，累计</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人次</w:t>
      </w:r>
      <w:r>
        <w:rPr>
          <w:rFonts w:hint="eastAsia" w:ascii="微软雅黑" w:hAnsi="微软雅黑" w:eastAsia="微软雅黑" w:cs="微软雅黑"/>
          <w:sz w:val="32"/>
          <w:szCs w:val="32"/>
          <w:lang w:eastAsia="zh-CN"/>
        </w:rPr>
        <w:t>。</w:t>
      </w:r>
    </w:p>
    <w:p w14:paraId="3C93647E">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2、公务接待费支出决算为0.35万元，全年共接待来访团组</w:t>
      </w:r>
      <w:r>
        <w:rPr>
          <w:rFonts w:hint="eastAsia" w:ascii="微软雅黑" w:hAnsi="微软雅黑" w:eastAsia="微软雅黑" w:cs="微软雅黑"/>
          <w:sz w:val="32"/>
          <w:szCs w:val="32"/>
          <w:lang w:val="en-US" w:eastAsia="zh-CN"/>
        </w:rPr>
        <w:t>12</w:t>
      </w:r>
      <w:r>
        <w:rPr>
          <w:rFonts w:hint="eastAsia" w:ascii="微软雅黑" w:hAnsi="微软雅黑" w:eastAsia="微软雅黑" w:cs="微软雅黑"/>
          <w:sz w:val="32"/>
          <w:szCs w:val="32"/>
        </w:rPr>
        <w:t>个、来宾</w:t>
      </w:r>
      <w:r>
        <w:rPr>
          <w:rFonts w:hint="eastAsia" w:ascii="微软雅黑" w:hAnsi="微软雅黑" w:eastAsia="微软雅黑" w:cs="微软雅黑"/>
          <w:sz w:val="32"/>
          <w:szCs w:val="32"/>
          <w:lang w:val="en-US" w:eastAsia="zh-CN"/>
        </w:rPr>
        <w:t>75</w:t>
      </w:r>
      <w:r>
        <w:rPr>
          <w:rFonts w:hint="eastAsia" w:ascii="微软雅黑" w:hAnsi="微软雅黑" w:eastAsia="微软雅黑" w:cs="微软雅黑"/>
          <w:sz w:val="32"/>
          <w:szCs w:val="32"/>
        </w:rPr>
        <w:t>人次，主要是</w:t>
      </w:r>
      <w:r>
        <w:rPr>
          <w:rFonts w:hint="eastAsia" w:ascii="微软雅黑" w:hAnsi="微软雅黑" w:eastAsia="微软雅黑" w:cs="微软雅黑"/>
          <w:sz w:val="32"/>
          <w:szCs w:val="32"/>
          <w:lang w:val="en-US" w:eastAsia="zh-CN"/>
        </w:rPr>
        <w:t>上级主管部门血吸虫病防治工作督查及同级单位业务交流</w:t>
      </w:r>
      <w:r>
        <w:rPr>
          <w:rFonts w:hint="eastAsia" w:ascii="微软雅黑" w:hAnsi="微软雅黑" w:eastAsia="微软雅黑" w:cs="微软雅黑"/>
          <w:sz w:val="32"/>
          <w:szCs w:val="32"/>
        </w:rPr>
        <w:t>发生的接待支出。</w:t>
      </w:r>
    </w:p>
    <w:p w14:paraId="2E65E519">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rPr>
        <w:t>3、公务用车购置费及运行维护费支出决算为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万元，其中：公务用车购置费</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万元，单位本级或某二级机构更新公务用车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辆。公务用车运行维护费</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万元截</w:t>
      </w:r>
      <w:r>
        <w:rPr>
          <w:rFonts w:hint="eastAsia" w:ascii="微软雅黑" w:hAnsi="微软雅黑" w:eastAsia="微软雅黑" w:cs="微软雅黑"/>
          <w:sz w:val="32"/>
          <w:szCs w:val="32"/>
          <w:lang w:val="en-US" w:eastAsia="zh-CN"/>
        </w:rPr>
        <w:t>至</w:t>
      </w:r>
      <w:r>
        <w:rPr>
          <w:rFonts w:hint="eastAsia" w:ascii="微软雅黑" w:hAnsi="微软雅黑" w:eastAsia="微软雅黑" w:cs="微软雅黑"/>
          <w:sz w:val="32"/>
          <w:szCs w:val="32"/>
        </w:rPr>
        <w:t>202</w:t>
      </w:r>
      <w:r>
        <w:rPr>
          <w:rFonts w:hint="eastAsia" w:ascii="微软雅黑" w:hAnsi="微软雅黑" w:eastAsia="微软雅黑" w:cs="微软雅黑"/>
          <w:sz w:val="32"/>
          <w:szCs w:val="32"/>
          <w:lang w:val="en-US" w:eastAsia="zh-CN"/>
        </w:rPr>
        <w:t>3</w:t>
      </w:r>
      <w:r>
        <w:rPr>
          <w:rFonts w:hint="eastAsia" w:ascii="微软雅黑" w:hAnsi="微软雅黑" w:eastAsia="微软雅黑" w:cs="微软雅黑"/>
          <w:sz w:val="32"/>
          <w:szCs w:val="32"/>
        </w:rPr>
        <w:t>年12月31日，我单位开支财政拨款的公务用车保有量为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w:t>
      </w:r>
    </w:p>
    <w:p w14:paraId="5BE4163B">
      <w:pPr>
        <w:pStyle w:val="13"/>
        <w:keepNext w:val="0"/>
        <w:keepLines w:val="0"/>
        <w:pageBreakBefore w:val="0"/>
        <w:widowControl w:val="0"/>
        <w:numPr>
          <w:ilvl w:val="0"/>
          <w:numId w:val="0"/>
        </w:numPr>
        <w:kinsoku/>
        <w:wordWrap/>
        <w:overflowPunct/>
        <w:topLinePunct w:val="0"/>
        <w:bidi w:val="0"/>
        <w:snapToGrid/>
        <w:spacing w:line="600" w:lineRule="exact"/>
        <w:textAlignment w:val="auto"/>
        <w:rPr>
          <w:rFonts w:hint="eastAsia" w:ascii="微软雅黑" w:hAnsi="微软雅黑" w:eastAsia="微软雅黑" w:cs="微软雅黑"/>
          <w:i/>
          <w:iCs w:val="0"/>
          <w:color w:val="FF0000"/>
          <w:sz w:val="32"/>
          <w:szCs w:val="32"/>
          <w:lang w:eastAsia="zh-CN"/>
        </w:rPr>
      </w:pPr>
    </w:p>
    <w:p w14:paraId="5222664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0A4340C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年度机关运行经费支出</w:t>
      </w:r>
      <w:r>
        <w:rPr>
          <w:rFonts w:ascii="微软雅黑" w:hAnsi="微软雅黑" w:eastAsia="微软雅黑" w:cs="微软雅黑"/>
          <w:sz w:val="32"/>
        </w:rPr>
        <w:t>1485.</w:t>
      </w:r>
      <w:r>
        <w:rPr>
          <w:rFonts w:hint="eastAsia" w:ascii="微软雅黑" w:hAnsi="微软雅黑" w:eastAsia="微软雅黑" w:cs="微软雅黑"/>
          <w:sz w:val="32"/>
          <w:lang w:val="en-US" w:eastAsia="zh-CN"/>
        </w:rPr>
        <w:t>15</w:t>
      </w:r>
      <w:r>
        <w:rPr>
          <w:rFonts w:ascii="微软雅黑" w:hAnsi="微软雅黑" w:eastAsia="微软雅黑" w:cs="微软雅黑"/>
          <w:sz w:val="32"/>
        </w:rPr>
        <w:t>万元</w:t>
      </w:r>
      <w:r>
        <w:rPr>
          <w:rFonts w:hint="eastAsia" w:ascii="微软雅黑" w:hAnsi="微软雅黑" w:eastAsia="微软雅黑" w:cs="微软雅黑"/>
          <w:sz w:val="32"/>
          <w:szCs w:val="32"/>
        </w:rPr>
        <w:t>，比年初预算数（或者上年决算数）</w:t>
      </w:r>
      <w:r>
        <w:rPr>
          <w:rFonts w:ascii="微软雅黑" w:hAnsi="微软雅黑" w:eastAsia="微软雅黑" w:cs="微软雅黑"/>
          <w:sz w:val="32"/>
        </w:rPr>
        <w:t>增长99.86 万元，增长7.21</w:t>
      </w:r>
      <w:r>
        <w:rPr>
          <w:rFonts w:hint="eastAsia" w:ascii="微软雅黑" w:hAnsi="微软雅黑" w:eastAsia="微软雅黑" w:cs="微软雅黑"/>
          <w:sz w:val="32"/>
          <w:szCs w:val="32"/>
        </w:rPr>
        <w:t xml:space="preserve"> %。主要原因是：</w:t>
      </w:r>
      <w:r>
        <w:rPr>
          <w:rFonts w:hint="eastAsia" w:ascii="微软雅黑" w:hAnsi="微软雅黑" w:eastAsia="微软雅黑" w:cs="微软雅黑"/>
          <w:sz w:val="32"/>
          <w:lang w:val="en-US" w:eastAsia="zh-CN"/>
        </w:rPr>
        <w:t>重大公共卫生服务血吸虫病防治项目支出的增加。</w:t>
      </w:r>
    </w:p>
    <w:p w14:paraId="623F943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60F8490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i/>
          <w:color w:val="FF0000"/>
          <w:kern w:val="0"/>
          <w:sz w:val="32"/>
          <w:szCs w:val="32"/>
          <w:lang w:val="en-US" w:eastAsia="zh-CN" w:bidi="ar-SA"/>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年本部门开支会议费2.05万元，用于召开</w:t>
      </w:r>
      <w:r>
        <w:rPr>
          <w:rFonts w:hint="eastAsia" w:ascii="微软雅黑" w:hAnsi="微软雅黑" w:eastAsia="微软雅黑" w:cs="微软雅黑"/>
          <w:sz w:val="32"/>
          <w:szCs w:val="32"/>
          <w:lang w:val="en-US" w:eastAsia="zh-CN"/>
        </w:rPr>
        <w:t>7次</w:t>
      </w:r>
      <w:r>
        <w:rPr>
          <w:rFonts w:hint="eastAsia" w:ascii="微软雅黑" w:hAnsi="微软雅黑" w:eastAsia="微软雅黑" w:cs="微软雅黑"/>
          <w:sz w:val="32"/>
          <w:szCs w:val="32"/>
        </w:rPr>
        <w:t>会议，人数</w:t>
      </w:r>
      <w:r>
        <w:rPr>
          <w:rFonts w:hint="eastAsia" w:ascii="微软雅黑" w:hAnsi="微软雅黑" w:eastAsia="微软雅黑" w:cs="微软雅黑"/>
          <w:sz w:val="32"/>
          <w:szCs w:val="32"/>
          <w:lang w:val="en-US" w:eastAsia="zh-CN"/>
        </w:rPr>
        <w:t>398</w:t>
      </w:r>
      <w:r>
        <w:rPr>
          <w:rFonts w:hint="eastAsia" w:ascii="微软雅黑" w:hAnsi="微软雅黑" w:eastAsia="微软雅黑" w:cs="微软雅黑"/>
          <w:sz w:val="32"/>
          <w:szCs w:val="32"/>
        </w:rPr>
        <w:t>人，内容为</w:t>
      </w:r>
      <w:r>
        <w:rPr>
          <w:rFonts w:hint="eastAsia" w:ascii="微软雅黑" w:hAnsi="微软雅黑" w:eastAsia="微软雅黑" w:cs="微软雅黑"/>
          <w:sz w:val="32"/>
          <w:szCs w:val="32"/>
          <w:lang w:val="en-US" w:eastAsia="zh-CN"/>
        </w:rPr>
        <w:t>年初血防工作部署、血吸虫病防治工作督导、达标验收等</w:t>
      </w:r>
      <w:r>
        <w:rPr>
          <w:rFonts w:hint="eastAsia" w:ascii="微软雅黑" w:hAnsi="微软雅黑" w:eastAsia="微软雅黑" w:cs="微软雅黑"/>
          <w:sz w:val="32"/>
          <w:szCs w:val="32"/>
        </w:rPr>
        <w:t>；开支培训费1.58万元，用于开展</w:t>
      </w:r>
      <w:r>
        <w:rPr>
          <w:rFonts w:hint="eastAsia" w:ascii="微软雅黑" w:hAnsi="微软雅黑" w:eastAsia="微软雅黑" w:cs="微软雅黑"/>
          <w:sz w:val="32"/>
          <w:szCs w:val="32"/>
          <w:lang w:val="en-US" w:eastAsia="zh-CN"/>
        </w:rPr>
        <w:t>血吸虫病防治工作</w:t>
      </w:r>
      <w:r>
        <w:rPr>
          <w:rFonts w:hint="eastAsia" w:ascii="微软雅黑" w:hAnsi="微软雅黑" w:eastAsia="微软雅黑" w:cs="微软雅黑"/>
          <w:sz w:val="32"/>
          <w:szCs w:val="32"/>
        </w:rPr>
        <w:t>培训，人数</w:t>
      </w:r>
      <w:r>
        <w:rPr>
          <w:rFonts w:hint="eastAsia" w:ascii="微软雅黑" w:hAnsi="微软雅黑" w:eastAsia="微软雅黑" w:cs="微软雅黑"/>
          <w:sz w:val="32"/>
          <w:szCs w:val="32"/>
          <w:lang w:val="en-US" w:eastAsia="zh-CN"/>
        </w:rPr>
        <w:t>310</w:t>
      </w:r>
      <w:r>
        <w:rPr>
          <w:rFonts w:hint="eastAsia" w:ascii="微软雅黑" w:hAnsi="微软雅黑" w:eastAsia="微软雅黑" w:cs="微软雅黑"/>
          <w:sz w:val="32"/>
          <w:szCs w:val="32"/>
        </w:rPr>
        <w:t>人，内容为</w:t>
      </w:r>
      <w:r>
        <w:rPr>
          <w:rFonts w:hint="eastAsia" w:ascii="微软雅黑" w:hAnsi="微软雅黑" w:eastAsia="微软雅黑" w:cs="微软雅黑"/>
          <w:sz w:val="32"/>
          <w:szCs w:val="32"/>
          <w:lang w:val="en-US" w:eastAsia="zh-CN"/>
        </w:rPr>
        <w:t>血吸虫病防治工作规范、达标验收、资料员培训等。</w:t>
      </w:r>
    </w:p>
    <w:p w14:paraId="2635279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026661A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rPr>
        <w:t>本部门202</w:t>
      </w:r>
      <w:r>
        <w:rPr>
          <w:rFonts w:hint="eastAsia" w:ascii="微软雅黑" w:hAnsi="微软雅黑" w:eastAsia="微软雅黑" w:cs="微软雅黑"/>
          <w:sz w:val="32"/>
          <w:szCs w:val="32"/>
          <w:lang w:val="en-US" w:eastAsia="zh-CN"/>
        </w:rPr>
        <w:t>3</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万元，其中：政府采购货物支出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 xml:space="preserve"> 万元、政府采购工程支出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：授予小微企业合同金额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eastAsia="zh-CN"/>
        </w:rPr>
        <w:t>。</w:t>
      </w:r>
    </w:p>
    <w:p w14:paraId="113F4E3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11FF69F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rPr>
        <w:t>截至202</w:t>
      </w:r>
      <w:r>
        <w:rPr>
          <w:rFonts w:hint="eastAsia" w:ascii="微软雅黑" w:hAnsi="微软雅黑" w:eastAsia="微软雅黑" w:cs="微软雅黑"/>
          <w:sz w:val="32"/>
          <w:szCs w:val="32"/>
          <w:lang w:val="en-US" w:eastAsia="zh-CN"/>
        </w:rPr>
        <w:t>3</w:t>
      </w:r>
      <w:r>
        <w:rPr>
          <w:rFonts w:hint="eastAsia" w:ascii="微软雅黑" w:hAnsi="微软雅黑" w:eastAsia="微软雅黑" w:cs="微软雅黑"/>
          <w:sz w:val="32"/>
          <w:szCs w:val="32"/>
        </w:rPr>
        <w:t>年12月31日，本单位共有车辆</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辆，其中，主要领导干部用车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辆，机要通信用车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辆、应急保障用车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辆、执法执勤用车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辆、特种专业技术用车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辆、其他用车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辆；单位价值50万元以上通用设备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台（套）；单位价值100万元以上专用设备</w:t>
      </w: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台（套）</w:t>
      </w:r>
      <w:r>
        <w:rPr>
          <w:rFonts w:hint="eastAsia" w:ascii="微软雅黑" w:hAnsi="微软雅黑" w:eastAsia="微软雅黑" w:cs="微软雅黑"/>
          <w:sz w:val="32"/>
          <w:szCs w:val="32"/>
          <w:lang w:eastAsia="zh-CN"/>
        </w:rPr>
        <w:t>。</w:t>
      </w:r>
    </w:p>
    <w:p w14:paraId="229D73C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2023</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2981DE29">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57DD0DD2">
      <w:pPr>
        <w:autoSpaceDE w:val="0"/>
        <w:autoSpaceDN w:val="0"/>
        <w:adjustRightInd w:val="0"/>
        <w:ind w:firstLine="640" w:firstLineChars="200"/>
        <w:jc w:val="left"/>
        <w:rPr>
          <w:rFonts w:hint="eastAsia" w:ascii="仿宋_GB2312" w:hAnsi="仿宋_GB2312" w:eastAsia="仿宋_GB2312" w:cs="仿宋_GB2312"/>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根据预算绩效管理要求，我部门组织对2023年度一般公共预算项目支出全面开展绩效自评，其中，一级项目0个，二级项目0 个，共涉及资金0 万元，占一般公共预算项目支出总额的0%。组织对2022年度0 个政府性基金</w:t>
      </w:r>
      <w:r>
        <w:rPr>
          <w:rFonts w:hint="eastAsia" w:ascii="仿宋_GB2312" w:hAnsi="仿宋_GB2312" w:eastAsia="仿宋_GB2312" w:cs="仿宋_GB2312"/>
          <w:color w:val="000000"/>
          <w:kern w:val="0"/>
          <w:sz w:val="32"/>
          <w:szCs w:val="32"/>
          <w:lang w:val="en-US" w:eastAsia="zh-CN" w:bidi="ar-SA"/>
        </w:rPr>
        <w:t>预算项目支出开展绩效自评，共涉及资金0 万元，占政府性基金预算项目支出总额的0%。组织对2022年度0个国有资本经营预算项目支出开展绩效自评，共涉及资金0 万元，占国有资本经营预算项目支出总额的0%。</w:t>
      </w:r>
    </w:p>
    <w:p w14:paraId="6939F750">
      <w:pPr>
        <w:autoSpaceDE w:val="0"/>
        <w:autoSpaceDN w:val="0"/>
        <w:adjustRightInd w:val="0"/>
        <w:ind w:firstLine="640" w:firstLineChars="200"/>
        <w:jc w:val="left"/>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组织对0 个项目开展了部门评价，涉及一般公共预算支出0 万元，政府性基金预算支出0万元，国有资本经营预算支出0万元。</w:t>
      </w:r>
    </w:p>
    <w:p w14:paraId="27501B10">
      <w:pPr>
        <w:autoSpaceDE w:val="0"/>
        <w:autoSpaceDN w:val="0"/>
        <w:adjustRightInd w:val="0"/>
        <w:ind w:firstLine="640" w:firstLineChars="200"/>
        <w:jc w:val="left"/>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组织对</w:t>
      </w:r>
      <w:r>
        <w:rPr>
          <w:rFonts w:hint="eastAsia" w:ascii="仿宋_GB2312" w:hAnsi="仿宋_GB2312" w:eastAsia="仿宋_GB2312" w:cs="仿宋_GB2312"/>
          <w:color w:val="000000"/>
          <w:kern w:val="0"/>
          <w:sz w:val="32"/>
          <w:szCs w:val="32"/>
          <w:highlight w:val="none"/>
          <w:lang w:val="en-US" w:eastAsia="zh-CN"/>
        </w:rPr>
        <w:t>岳阳县血吸虫病防治事务中心、</w:t>
      </w:r>
      <w:r>
        <w:rPr>
          <w:rFonts w:hint="eastAsia" w:ascii="仿宋_GB2312" w:hAnsi="仿宋_GB2312" w:eastAsia="仿宋_GB2312" w:cs="仿宋_GB2312"/>
          <w:color w:val="000000"/>
          <w:kern w:val="0"/>
          <w:sz w:val="30"/>
          <w:szCs w:val="30"/>
          <w:highlight w:val="none"/>
        </w:rPr>
        <w:t>岳阳县鹿角血防站、岳阳县中洲血防站、岳阳县麻塘血防站和岳阳县湖洲</w:t>
      </w:r>
      <w:r>
        <w:rPr>
          <w:rFonts w:hint="eastAsia" w:ascii="仿宋_GB2312" w:hAnsi="仿宋_GB2312" w:eastAsia="仿宋_GB2312" w:cs="仿宋_GB2312"/>
          <w:color w:val="000000"/>
          <w:kern w:val="0"/>
          <w:sz w:val="30"/>
          <w:szCs w:val="30"/>
          <w:highlight w:val="none"/>
          <w:lang w:val="en-US" w:eastAsia="zh-CN"/>
        </w:rPr>
        <w:t>卫生院（</w:t>
      </w:r>
      <w:r>
        <w:rPr>
          <w:rFonts w:hint="eastAsia" w:ascii="仿宋_GB2312" w:hAnsi="仿宋_GB2312" w:eastAsia="仿宋_GB2312" w:cs="仿宋_GB2312"/>
          <w:color w:val="000000"/>
          <w:kern w:val="0"/>
          <w:sz w:val="30"/>
          <w:szCs w:val="30"/>
          <w:highlight w:val="none"/>
        </w:rPr>
        <w:t>血防站</w:t>
      </w:r>
      <w:r>
        <w:rPr>
          <w:rFonts w:hint="eastAsia" w:ascii="仿宋_GB2312" w:hAnsi="仿宋_GB2312" w:eastAsia="仿宋_GB2312" w:cs="仿宋_GB2312"/>
          <w:color w:val="000000"/>
          <w:kern w:val="0"/>
          <w:sz w:val="30"/>
          <w:szCs w:val="30"/>
          <w:highlight w:val="none"/>
          <w:lang w:val="en-US" w:eastAsia="zh-CN"/>
        </w:rPr>
        <w:t>）</w:t>
      </w:r>
      <w:r>
        <w:rPr>
          <w:rFonts w:hint="eastAsia" w:ascii="仿宋_GB2312" w:hAnsi="仿宋_GB2312" w:eastAsia="仿宋_GB2312" w:cs="仿宋_GB2312"/>
          <w:color w:val="000000"/>
          <w:kern w:val="0"/>
          <w:sz w:val="32"/>
          <w:szCs w:val="32"/>
          <w:highlight w:val="none"/>
        </w:rPr>
        <w:t>等</w:t>
      </w:r>
      <w:r>
        <w:rPr>
          <w:rFonts w:hint="eastAsia" w:ascii="仿宋_GB2312" w:hAnsi="仿宋_GB2312" w:eastAsia="仿宋_GB2312" w:cs="仿宋_GB2312"/>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rPr>
        <w:t>个单位</w:t>
      </w:r>
      <w:r>
        <w:rPr>
          <w:rFonts w:hint="eastAsia" w:ascii="仿宋_GB2312" w:hAnsi="仿宋_GB2312" w:eastAsia="仿宋_GB2312" w:cs="仿宋_GB2312"/>
          <w:color w:val="000000"/>
          <w:kern w:val="0"/>
          <w:sz w:val="32"/>
          <w:szCs w:val="32"/>
          <w:lang w:val="en-US" w:eastAsia="zh-CN" w:bidi="ar-SA"/>
        </w:rPr>
        <w:t>开展整体支出绩效评价，涉及一般公共预算支出1794.4万元，政府性基金预算支出0万元。从评价情况来看，</w:t>
      </w:r>
      <w:r>
        <w:rPr>
          <w:rFonts w:hint="eastAsia" w:ascii="仿宋_GB2312" w:hAnsi="仿宋_GB2312" w:eastAsia="仿宋_GB2312" w:cs="仿宋_GB2312"/>
          <w:sz w:val="32"/>
          <w:szCs w:val="32"/>
        </w:rPr>
        <w:t>部门整体支出绩效自评得分</w:t>
      </w:r>
      <w:r>
        <w:rPr>
          <w:rFonts w:hint="eastAsia" w:ascii="仿宋_GB2312" w:hAnsi="仿宋_GB2312" w:eastAsia="仿宋_GB2312" w:cs="仿宋_GB2312"/>
          <w:color w:val="auto"/>
          <w:sz w:val="32"/>
          <w:szCs w:val="32"/>
          <w:lang w:val="en-US" w:eastAsia="zh-CN"/>
        </w:rPr>
        <w:t>98.99</w:t>
      </w:r>
      <w:r>
        <w:rPr>
          <w:rFonts w:hint="eastAsia" w:ascii="仿宋_GB2312" w:hAnsi="仿宋_GB2312" w:eastAsia="仿宋_GB2312" w:cs="仿宋_GB2312"/>
          <w:sz w:val="32"/>
          <w:szCs w:val="32"/>
          <w:lang w:val="en-US" w:eastAsia="zh-CN"/>
        </w:rPr>
        <w:t>分</w:t>
      </w:r>
      <w:r>
        <w:rPr>
          <w:rFonts w:hint="eastAsia" w:ascii="仿宋_GB2312" w:hAnsi="仿宋_GB2312" w:eastAsia="仿宋_GB2312" w:cs="仿宋_GB2312"/>
          <w:sz w:val="32"/>
          <w:szCs w:val="32"/>
        </w:rPr>
        <w:t>，评价等级为“</w:t>
      </w:r>
      <w:r>
        <w:rPr>
          <w:rFonts w:hint="eastAsia" w:ascii="仿宋_GB2312" w:hAnsi="仿宋_GB2312" w:eastAsia="仿宋_GB2312" w:cs="仿宋_GB2312"/>
          <w:sz w:val="32"/>
          <w:szCs w:val="32"/>
          <w:lang w:val="en-US" w:eastAsia="zh-CN"/>
        </w:rPr>
        <w:t>优秀</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kern w:val="0"/>
          <w:sz w:val="32"/>
          <w:szCs w:val="32"/>
        </w:rPr>
        <w:t>。</w:t>
      </w:r>
    </w:p>
    <w:p w14:paraId="1FE8AD5B">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b w:val="0"/>
          <w:bCs w:val="0"/>
          <w:i/>
          <w:iCs/>
          <w:color w:val="FF0000"/>
          <w:sz w:val="32"/>
          <w:szCs w:val="32"/>
          <w:lang w:eastAsia="zh-CN"/>
        </w:rPr>
        <w:br w:type="page"/>
      </w:r>
    </w:p>
    <w:p w14:paraId="7FC7C85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34CEEC9A">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3FBF46B9">
      <w:pPr>
        <w:jc w:val="center"/>
        <w:rPr>
          <w:rFonts w:hint="eastAsia" w:ascii="微软雅黑" w:hAnsi="微软雅黑" w:eastAsia="微软雅黑" w:cs="微软雅黑"/>
          <w:b/>
          <w:bCs/>
          <w:color w:val="000000"/>
          <w:kern w:val="0"/>
          <w:sz w:val="70"/>
          <w:szCs w:val="70"/>
        </w:rPr>
      </w:pPr>
    </w:p>
    <w:p w14:paraId="37E0295D">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2B79DB11">
      <w:pPr>
        <w:widowControl/>
        <w:jc w:val="left"/>
        <w:rPr>
          <w:rFonts w:hint="eastAsia" w:ascii="微软雅黑" w:hAnsi="微软雅黑" w:eastAsia="微软雅黑" w:cs="微软雅黑"/>
          <w:color w:val="000000"/>
          <w:kern w:val="0"/>
          <w:sz w:val="32"/>
          <w:szCs w:val="32"/>
        </w:rPr>
      </w:pPr>
    </w:p>
    <w:p w14:paraId="342678C2">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E169A87">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57D0805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i/>
          <w:color w:val="FF0000"/>
          <w:kern w:val="0"/>
          <w:sz w:val="32"/>
          <w:szCs w:val="32"/>
          <w:lang w:val="en-US" w:eastAsia="zh-CN" w:bidi="ar-SA"/>
        </w:rPr>
      </w:pPr>
    </w:p>
    <w:p w14:paraId="06591245">
      <w:pPr>
        <w:rPr>
          <w:rFonts w:hint="eastAsia" w:ascii="微软雅黑" w:hAnsi="微软雅黑" w:eastAsia="微软雅黑" w:cs="微软雅黑"/>
          <w:sz w:val="72"/>
          <w:szCs w:val="72"/>
        </w:rPr>
      </w:pPr>
      <w:r>
        <w:rPr>
          <w:rFonts w:hint="eastAsia" w:ascii="微软雅黑" w:hAnsi="微软雅黑" w:eastAsia="微软雅黑" w:cs="微软雅黑"/>
          <w:sz w:val="72"/>
          <w:szCs w:val="72"/>
        </w:rPr>
        <w:br w:type="page"/>
      </w:r>
    </w:p>
    <w:p w14:paraId="4C0BC5F1">
      <w:pPr>
        <w:pStyle w:val="13"/>
        <w:jc w:val="center"/>
        <w:rPr>
          <w:rFonts w:hint="eastAsia" w:ascii="微软雅黑" w:hAnsi="微软雅黑" w:eastAsia="微软雅黑" w:cs="微软雅黑"/>
          <w:sz w:val="72"/>
          <w:szCs w:val="72"/>
        </w:rPr>
      </w:pPr>
    </w:p>
    <w:p w14:paraId="0308CCD4">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ADF21FB">
      <w:pPr>
        <w:jc w:val="center"/>
        <w:rPr>
          <w:rFonts w:hint="eastAsia" w:ascii="微软雅黑" w:hAnsi="微软雅黑" w:eastAsia="微软雅黑" w:cs="微软雅黑"/>
          <w:b/>
          <w:bCs/>
          <w:color w:val="000000"/>
          <w:kern w:val="0"/>
          <w:sz w:val="70"/>
          <w:szCs w:val="70"/>
        </w:rPr>
      </w:pPr>
    </w:p>
    <w:p w14:paraId="6B0214BF">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42A4DC2B">
      <w:pPr>
        <w:ind w:firstLine="640" w:firstLineChars="200"/>
        <w:jc w:val="left"/>
        <w:rPr>
          <w:rFonts w:hint="eastAsia" w:ascii="微软雅黑" w:hAnsi="微软雅黑" w:eastAsia="微软雅黑" w:cs="微软雅黑"/>
          <w:b/>
          <w:bCs/>
          <w:color w:val="000000"/>
          <w:kern w:val="0"/>
          <w:sz w:val="32"/>
          <w:szCs w:val="32"/>
          <w:lang w:val="en-US" w:eastAsia="zh-CN"/>
        </w:rPr>
      </w:pPr>
    </w:p>
    <w:p w14:paraId="3EF3E99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2023年部门决算公开表格</w:t>
      </w:r>
    </w:p>
    <w:p w14:paraId="538D8DD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2023</w:t>
      </w:r>
      <w:r>
        <w:rPr>
          <w:rFonts w:hint="eastAsia" w:ascii="微软雅黑" w:hAnsi="微软雅黑" w:eastAsia="微软雅黑" w:cs="微软雅黑"/>
          <w:b/>
          <w:bCs/>
          <w:color w:val="000000"/>
          <w:kern w:val="0"/>
          <w:sz w:val="32"/>
          <w:szCs w:val="32"/>
        </w:rPr>
        <w:t>年度部门整体支出绩效评价报告</w:t>
      </w:r>
      <w:bookmarkStart w:id="10" w:name="_GoBack"/>
      <w:bookmarkEnd w:id="10"/>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4A5DBB"/>
    <w:multiLevelType w:val="singleLevel"/>
    <w:tmpl w:val="DB4A5DBB"/>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jY2YxYWNmZWIzY2JhNGFiMzYyMGUyM2YyZTMzZTM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716377"/>
    <w:rsid w:val="05482261"/>
    <w:rsid w:val="074309F6"/>
    <w:rsid w:val="07966D78"/>
    <w:rsid w:val="07E04F3D"/>
    <w:rsid w:val="096227F5"/>
    <w:rsid w:val="0AC57974"/>
    <w:rsid w:val="0F9016DB"/>
    <w:rsid w:val="0FE268D2"/>
    <w:rsid w:val="10A73DA4"/>
    <w:rsid w:val="11A63AC3"/>
    <w:rsid w:val="13135140"/>
    <w:rsid w:val="134641EF"/>
    <w:rsid w:val="14A5561D"/>
    <w:rsid w:val="15986B0A"/>
    <w:rsid w:val="15A64981"/>
    <w:rsid w:val="17D85E72"/>
    <w:rsid w:val="191A1185"/>
    <w:rsid w:val="1A4B623A"/>
    <w:rsid w:val="21680401"/>
    <w:rsid w:val="26174A53"/>
    <w:rsid w:val="27B766F6"/>
    <w:rsid w:val="29701875"/>
    <w:rsid w:val="2F026361"/>
    <w:rsid w:val="2F5729E1"/>
    <w:rsid w:val="303A7D66"/>
    <w:rsid w:val="306F0E15"/>
    <w:rsid w:val="30AA3BFA"/>
    <w:rsid w:val="31B77767"/>
    <w:rsid w:val="33E12879"/>
    <w:rsid w:val="34095384"/>
    <w:rsid w:val="34E24AFB"/>
    <w:rsid w:val="36E96615"/>
    <w:rsid w:val="3BC62A80"/>
    <w:rsid w:val="3FD348C7"/>
    <w:rsid w:val="40C80669"/>
    <w:rsid w:val="412D2F9B"/>
    <w:rsid w:val="41940D6D"/>
    <w:rsid w:val="42415557"/>
    <w:rsid w:val="42FC322C"/>
    <w:rsid w:val="44AC435F"/>
    <w:rsid w:val="47047043"/>
    <w:rsid w:val="487D493C"/>
    <w:rsid w:val="493A4AAE"/>
    <w:rsid w:val="4AB84A68"/>
    <w:rsid w:val="4C76404F"/>
    <w:rsid w:val="4D542DAB"/>
    <w:rsid w:val="4EC70B92"/>
    <w:rsid w:val="509030DA"/>
    <w:rsid w:val="512C2F2E"/>
    <w:rsid w:val="52E579D6"/>
    <w:rsid w:val="55C63EE6"/>
    <w:rsid w:val="570F5142"/>
    <w:rsid w:val="5777D4F5"/>
    <w:rsid w:val="57D94F90"/>
    <w:rsid w:val="59743537"/>
    <w:rsid w:val="5B4F3FC2"/>
    <w:rsid w:val="5D241898"/>
    <w:rsid w:val="5D2E44D2"/>
    <w:rsid w:val="5DA84284"/>
    <w:rsid w:val="5DB1138B"/>
    <w:rsid w:val="5E026FEC"/>
    <w:rsid w:val="5FC6BB1E"/>
    <w:rsid w:val="5FF720F1"/>
    <w:rsid w:val="63930AB7"/>
    <w:rsid w:val="643C1282"/>
    <w:rsid w:val="645753D4"/>
    <w:rsid w:val="65B05FE0"/>
    <w:rsid w:val="660109D5"/>
    <w:rsid w:val="6720463D"/>
    <w:rsid w:val="6BD30F4C"/>
    <w:rsid w:val="6CBF2488"/>
    <w:rsid w:val="6D15603E"/>
    <w:rsid w:val="6D1D2BA3"/>
    <w:rsid w:val="6D340BE9"/>
    <w:rsid w:val="6E4E0530"/>
    <w:rsid w:val="71B615C9"/>
    <w:rsid w:val="71B943D3"/>
    <w:rsid w:val="71FE274C"/>
    <w:rsid w:val="72853156"/>
    <w:rsid w:val="72D57472"/>
    <w:rsid w:val="73653335"/>
    <w:rsid w:val="737D59BA"/>
    <w:rsid w:val="73D15FE7"/>
    <w:rsid w:val="743957DE"/>
    <w:rsid w:val="75063912"/>
    <w:rsid w:val="772C33D8"/>
    <w:rsid w:val="776B5ABC"/>
    <w:rsid w:val="776D2CE2"/>
    <w:rsid w:val="77C37683"/>
    <w:rsid w:val="79FF515B"/>
    <w:rsid w:val="7C4D3A17"/>
    <w:rsid w:val="7D772DF9"/>
    <w:rsid w:val="7E9F11B4"/>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font11"/>
    <w:basedOn w:val="6"/>
    <w:qFormat/>
    <w:uiPriority w:val="0"/>
    <w:rPr>
      <w:rFonts w:hint="eastAsia" w:ascii="宋体" w:hAnsi="宋体" w:eastAsia="宋体" w:cs="宋体"/>
      <w:color w:val="000000"/>
      <w:sz w:val="24"/>
      <w:szCs w:val="24"/>
      <w:u w:val="none"/>
    </w:rPr>
  </w:style>
  <w:style w:type="character" w:customStyle="1" w:styleId="11">
    <w:name w:val="font21"/>
    <w:basedOn w:val="6"/>
    <w:qFormat/>
    <w:uiPriority w:val="0"/>
    <w:rPr>
      <w:rFonts w:hint="eastAsia" w:ascii="宋体" w:hAnsi="宋体" w:eastAsia="宋体" w:cs="宋体"/>
      <w:color w:val="000000"/>
      <w:sz w:val="24"/>
      <w:szCs w:val="24"/>
      <w:u w:val="none"/>
    </w:rPr>
  </w:style>
  <w:style w:type="character" w:customStyle="1" w:styleId="12">
    <w:name w:val="font01"/>
    <w:basedOn w:val="6"/>
    <w:qFormat/>
    <w:uiPriority w:val="0"/>
    <w:rPr>
      <w:rFonts w:hint="eastAsia" w:ascii="宋体" w:hAnsi="宋体" w:eastAsia="宋体" w:cs="宋体"/>
      <w:color w:val="000000"/>
      <w:sz w:val="22"/>
      <w:szCs w:val="22"/>
      <w:u w:val="none"/>
    </w:rPr>
  </w:style>
  <w:style w:type="paragraph" w:customStyle="1" w:styleId="13">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4660</Words>
  <Characters>5134</Characters>
  <Lines>63</Lines>
  <Paragraphs>18</Paragraphs>
  <TotalTime>11</TotalTime>
  <ScaleCrop>false</ScaleCrop>
  <LinksUpToDate>false</LinksUpToDate>
  <CharactersWithSpaces>5154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lenovo_2</cp:lastModifiedBy>
  <cp:lastPrinted>2023-08-15T09:28:00Z</cp:lastPrinted>
  <dcterms:modified xsi:type="dcterms:W3CDTF">2024-09-25T02:29:22Z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661ABA64067A42B98A18CBAF8FC9F9FC_13</vt:lpwstr>
  </property>
</Properties>
</file>