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A9976">
      <w:pPr>
        <w:pStyle w:val="13"/>
        <w:jc w:val="center"/>
        <w:rPr>
          <w:rFonts w:hint="eastAsia" w:ascii="微软雅黑" w:hAnsi="微软雅黑" w:eastAsia="微软雅黑" w:cs="微软雅黑"/>
          <w:sz w:val="56"/>
          <w:szCs w:val="56"/>
        </w:rPr>
      </w:pPr>
    </w:p>
    <w:p w14:paraId="6AA61587">
      <w:pPr>
        <w:pStyle w:val="13"/>
        <w:jc w:val="center"/>
        <w:rPr>
          <w:rFonts w:hint="eastAsia" w:ascii="微软雅黑" w:hAnsi="微软雅黑" w:eastAsia="微软雅黑" w:cs="微软雅黑"/>
          <w:sz w:val="56"/>
          <w:szCs w:val="56"/>
        </w:rPr>
      </w:pPr>
    </w:p>
    <w:p w14:paraId="063A3D1E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2B43E4A7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70F1861E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2023</w:t>
      </w:r>
      <w:r>
        <w:rPr>
          <w:rFonts w:ascii="微软雅黑" w:hAnsi="微软雅黑" w:eastAsia="微软雅黑" w:cs="微软雅黑"/>
          <w:b/>
          <w:sz w:val="84"/>
        </w:rPr>
        <w:t>年度</w:t>
      </w:r>
    </w:p>
    <w:p w14:paraId="1F82586A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岳阳县疾病预防控制中心</w:t>
      </w:r>
      <w:r>
        <w:rPr>
          <w:rFonts w:ascii="微软雅黑" w:hAnsi="微软雅黑" w:eastAsia="微软雅黑" w:cs="微软雅黑"/>
          <w:b/>
          <w:sz w:val="84"/>
        </w:rPr>
        <w:t>部门（单位）部门决算</w:t>
      </w:r>
    </w:p>
    <w:p w14:paraId="75AE3C46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68E4FE28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F27891B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2434F2FB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CE7E7DC">
      <w:pPr>
        <w:bidi w:val="0"/>
        <w:rPr>
          <w:rFonts w:hint="eastAsia" w:ascii="微软雅黑" w:hAnsi="微软雅黑" w:eastAsia="微软雅黑" w:cs="微软雅黑"/>
        </w:rPr>
      </w:pPr>
    </w:p>
    <w:p w14:paraId="23A8E8C6">
      <w:pPr>
        <w:pStyle w:val="13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  <w:r>
        <w:rPr>
          <w:rFonts w:hint="eastAsia" w:ascii="微软雅黑" w:hAnsi="微软雅黑" w:eastAsia="微软雅黑" w:cs="微软雅黑"/>
          <w:b/>
          <w:sz w:val="36"/>
          <w:szCs w:val="28"/>
        </w:rPr>
        <w:t>目录</w:t>
      </w:r>
    </w:p>
    <w:p w14:paraId="1AB9E1F8">
      <w:pPr>
        <w:pStyle w:val="13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</w:p>
    <w:p w14:paraId="157216F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第一部分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岳阳县疾病预防控制中心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部门（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单位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概况</w:t>
      </w:r>
    </w:p>
    <w:p w14:paraId="240AF2E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一、部门职责</w:t>
      </w:r>
    </w:p>
    <w:p w14:paraId="46A6DDD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二、机构设置及决算单位构成</w:t>
      </w:r>
    </w:p>
    <w:p w14:paraId="78ED566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第二部分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部门决算表</w:t>
      </w:r>
    </w:p>
    <w:p w14:paraId="34CC4E5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一、收入支出决算总表</w:t>
      </w:r>
    </w:p>
    <w:p w14:paraId="725EC07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二、收入决算表</w:t>
      </w:r>
    </w:p>
    <w:p w14:paraId="0471765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三、支出决算表</w:t>
      </w:r>
    </w:p>
    <w:p w14:paraId="3A7FE9A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四、财政拨款收入支出决算总表</w:t>
      </w:r>
    </w:p>
    <w:p w14:paraId="00946C6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五、一般公共预算财政拨款支出决算表</w:t>
      </w:r>
    </w:p>
    <w:p w14:paraId="375E430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六、一般公共预算财政拨款基本支出决算明细表</w:t>
      </w:r>
    </w:p>
    <w:p w14:paraId="711A9B7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七、政府性基金预算财政拨款收入支出决算表</w:t>
      </w:r>
    </w:p>
    <w:p w14:paraId="437AF57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八、国有资本经营预算财政拨款支出决算表</w:t>
      </w:r>
    </w:p>
    <w:p w14:paraId="3E3B4F8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九、财政拨款“三公”经费支出决算表</w:t>
      </w:r>
    </w:p>
    <w:p w14:paraId="6998845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第三部分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部门决算情况说明</w:t>
      </w:r>
    </w:p>
    <w:p w14:paraId="11DA723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一、收入支出决算总体情况说明</w:t>
      </w:r>
    </w:p>
    <w:p w14:paraId="337BFC7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二、收入决算情况说明</w:t>
      </w:r>
    </w:p>
    <w:p w14:paraId="6F47155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三、支出决算情况说明</w:t>
      </w:r>
    </w:p>
    <w:p w14:paraId="3FB4FFB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四、财政拨款收入支出决算总体情况说明</w:t>
      </w:r>
    </w:p>
    <w:p w14:paraId="19CF113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五、一般公共预算财政拨款支出决算情况说明</w:t>
      </w:r>
    </w:p>
    <w:p w14:paraId="17C6FEC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六、一般公共预算财政拨款基本支出决算情况说明</w:t>
      </w:r>
    </w:p>
    <w:p w14:paraId="6877610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七</w:t>
      </w:r>
      <w:r>
        <w:rPr>
          <w:rFonts w:hint="eastAsia" w:ascii="微软雅黑" w:hAnsi="微软雅黑" w:eastAsia="微软雅黑" w:cs="微软雅黑"/>
          <w:sz w:val="28"/>
          <w:szCs w:val="28"/>
        </w:rPr>
        <w:t>、政府性基金预算收入支出决算情况</w:t>
      </w:r>
    </w:p>
    <w:p w14:paraId="09B7EC0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八</w:t>
      </w:r>
      <w:r>
        <w:rPr>
          <w:rFonts w:hint="eastAsia" w:ascii="微软雅黑" w:hAnsi="微软雅黑" w:eastAsia="微软雅黑" w:cs="微软雅黑"/>
          <w:sz w:val="28"/>
          <w:szCs w:val="28"/>
        </w:rPr>
        <w:t>、国有资本经营预算财政拨款支出决算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情况</w:t>
      </w:r>
    </w:p>
    <w:p w14:paraId="05ECA7F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九</w:t>
      </w:r>
      <w:r>
        <w:rPr>
          <w:rFonts w:hint="eastAsia" w:ascii="微软雅黑" w:hAnsi="微软雅黑" w:eastAsia="微软雅黑" w:cs="微软雅黑"/>
          <w:sz w:val="28"/>
          <w:szCs w:val="28"/>
        </w:rPr>
        <w:t>、财政拨款三公经费支出决算情况说明</w:t>
      </w:r>
    </w:p>
    <w:p w14:paraId="3E34862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十、关于机关运行经费支出说明</w:t>
      </w:r>
    </w:p>
    <w:p w14:paraId="400371D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十一、一般性支出情况说明</w:t>
      </w:r>
    </w:p>
    <w:p w14:paraId="0F2A30E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十二、关于政府采购支出说明</w:t>
      </w:r>
    </w:p>
    <w:p w14:paraId="2894561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十三、关于国有资产占用情况说明</w:t>
      </w:r>
    </w:p>
    <w:p w14:paraId="59CBBFA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十四、</w:t>
      </w:r>
      <w:r>
        <w:rPr>
          <w:rFonts w:hint="eastAsia" w:ascii="微软雅黑" w:hAnsi="微软雅黑" w:eastAsia="微软雅黑" w:cs="微软雅黑"/>
          <w:sz w:val="28"/>
          <w:szCs w:val="28"/>
        </w:rPr>
        <w:t>关于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2023</w:t>
      </w:r>
      <w:r>
        <w:rPr>
          <w:rFonts w:ascii="微软雅黑" w:hAnsi="微软雅黑" w:eastAsia="微软雅黑" w:cs="微软雅黑"/>
          <w:sz w:val="28"/>
        </w:rPr>
        <w:t>年度</w:t>
      </w:r>
      <w:r>
        <w:rPr>
          <w:rFonts w:hint="eastAsia" w:ascii="微软雅黑" w:hAnsi="微软雅黑" w:eastAsia="微软雅黑" w:cs="微软雅黑"/>
          <w:sz w:val="28"/>
          <w:szCs w:val="28"/>
        </w:rPr>
        <w:t>绩效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评价</w:t>
      </w:r>
      <w:r>
        <w:rPr>
          <w:rFonts w:hint="eastAsia" w:ascii="微软雅黑" w:hAnsi="微软雅黑" w:eastAsia="微软雅黑" w:cs="微软雅黑"/>
          <w:sz w:val="28"/>
          <w:szCs w:val="28"/>
        </w:rPr>
        <w:t>情况的说明</w:t>
      </w:r>
    </w:p>
    <w:p w14:paraId="1103F9D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第四部分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名词解释</w:t>
      </w:r>
    </w:p>
    <w:p w14:paraId="69E08CA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第五部分 附件</w:t>
      </w:r>
    </w:p>
    <w:p w14:paraId="326A9DE3">
      <w:pPr>
        <w:pStyle w:val="13"/>
        <w:spacing w:line="500" w:lineRule="exact"/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  <w:br w:type="page"/>
      </w:r>
    </w:p>
    <w:p w14:paraId="11BF87EE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B2202FE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57614D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229656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0222A74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 xml:space="preserve">第一部分 </w:t>
      </w:r>
    </w:p>
    <w:p w14:paraId="5FE8B51E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</w:p>
    <w:p w14:paraId="66291003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岳阳县疾病预防控制中心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  <w:lang w:eastAsia="zh-CN"/>
        </w:rPr>
        <w:t>部门（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单位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概况</w:t>
      </w:r>
    </w:p>
    <w:p w14:paraId="173AE3A4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24FAF5A5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FD6A7F7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9AD0A7F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F84CF8C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22E8C870">
      <w:pPr>
        <w:pStyle w:val="14"/>
        <w:numPr>
          <w:ilvl w:val="0"/>
          <w:numId w:val="0"/>
        </w:numPr>
        <w:ind w:leftChars="0"/>
        <w:jc w:val="left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部门职责</w:t>
      </w:r>
    </w:p>
    <w:p w14:paraId="044ADF16">
      <w:pPr>
        <w:widowControl/>
        <w:spacing w:line="600" w:lineRule="exact"/>
        <w:ind w:firstLine="640" w:firstLineChars="200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（一）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职能职责</w:t>
      </w:r>
    </w:p>
    <w:p w14:paraId="5FE71CD5">
      <w:pPr>
        <w:spacing w:line="480" w:lineRule="auto"/>
        <w:ind w:firstLine="640" w:firstLineChars="200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中心目前承担着疾病预防与控制、突发公共卫生事件应急处置、疫情及健康相关因素信息管理、职业健康危害因素监测与控制、实验室检测分析与评价、健康教育与健康促进、技术指导与应用研究等七大职能。同时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承担着社会委托的预防保健、公共卫生等方面的技术咨询、技术服务；参与社区卫生服务，开展预防保健门诊服务；为社会提供各类健康相关产品的卫生检测、评价报告。</w:t>
      </w:r>
    </w:p>
    <w:p w14:paraId="1675BDDD">
      <w:pPr>
        <w:widowControl/>
        <w:spacing w:line="600" w:lineRule="exact"/>
        <w:rPr>
          <w:rFonts w:hint="eastAsia" w:ascii="微软雅黑" w:hAnsi="微软雅黑" w:eastAsia="微软雅黑" w:cs="微软雅黑"/>
          <w:b/>
          <w:bCs w:val="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32"/>
          <w:szCs w:val="32"/>
        </w:rPr>
        <w:t>二、机构设置及决算单位构成</w:t>
      </w:r>
    </w:p>
    <w:p w14:paraId="4416B405">
      <w:pPr>
        <w:widowControl/>
        <w:spacing w:line="480" w:lineRule="auto"/>
        <w:ind w:firstLine="480"/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（一）内设机构设置。</w:t>
      </w:r>
      <w:r>
        <w:rPr>
          <w:rFonts w:ascii="微软雅黑" w:hAnsi="微软雅黑" w:eastAsia="微软雅黑" w:cs="微软雅黑"/>
          <w:sz w:val="32"/>
        </w:rPr>
        <w:t>岳阳县疾病预防控制中心单位内设机构包括：</w:t>
      </w:r>
      <w:r>
        <w:rPr>
          <w:rFonts w:hint="eastAsia" w:ascii="微软雅黑" w:hAnsi="微软雅黑" w:eastAsia="微软雅黑" w:cs="微软雅黑"/>
          <w:sz w:val="32"/>
          <w:szCs w:val="32"/>
        </w:rPr>
        <w:t>免疫规划室、学校卫生室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慢病防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控</w:t>
      </w:r>
      <w:r>
        <w:rPr>
          <w:rFonts w:hint="eastAsia" w:ascii="微软雅黑" w:hAnsi="微软雅黑" w:eastAsia="微软雅黑" w:cs="微软雅黑"/>
          <w:sz w:val="32"/>
          <w:szCs w:val="32"/>
        </w:rPr>
        <w:t>室、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急传科、</w:t>
      </w:r>
      <w:r>
        <w:rPr>
          <w:rFonts w:hint="eastAsia" w:ascii="微软雅黑" w:hAnsi="微软雅黑" w:eastAsia="微软雅黑" w:cs="微软雅黑"/>
          <w:sz w:val="32"/>
          <w:szCs w:val="32"/>
        </w:rPr>
        <w:t>公共卫生监测室、消毒与病媒生物控制室（消杀灭室）、职业病防治室、性病艾滋病防治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室（含</w:t>
      </w:r>
      <w:r>
        <w:rPr>
          <w:rFonts w:hint="eastAsia" w:ascii="微软雅黑" w:hAnsi="微软雅黑" w:eastAsia="微软雅黑" w:cs="微软雅黑"/>
          <w:sz w:val="32"/>
          <w:szCs w:val="32"/>
        </w:rPr>
        <w:t>美沙酮社区维持治疗门诊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）</w:t>
      </w:r>
      <w:r>
        <w:rPr>
          <w:rFonts w:hint="eastAsia" w:ascii="微软雅黑" w:hAnsi="微软雅黑" w:eastAsia="微软雅黑" w:cs="微软雅黑"/>
          <w:sz w:val="32"/>
          <w:szCs w:val="32"/>
        </w:rPr>
        <w:t>、卫生检验室、预防接种门诊部、结核病防治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科</w:t>
      </w:r>
      <w:r>
        <w:rPr>
          <w:rFonts w:hint="eastAsia" w:ascii="微软雅黑" w:hAnsi="微软雅黑" w:eastAsia="微软雅黑" w:cs="微软雅黑"/>
          <w:sz w:val="32"/>
          <w:szCs w:val="32"/>
        </w:rPr>
        <w:t>、美沙酮社区维持治疗门诊部、质量控制室、财务室和办公室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共15个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。共有干部职工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105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人，其中在职人数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55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人，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临聘人员12人，借调人员8人，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离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退休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人员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28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人；核定编制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55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名，实有人数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55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名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eastAsia="zh-CN"/>
        </w:rPr>
        <w:t>，专技人员</w:t>
      </w:r>
      <w:r>
        <w:rPr>
          <w:rFonts w:hint="eastAsia" w:ascii="微软雅黑" w:hAnsi="微软雅黑" w:eastAsia="微软雅黑" w:cs="微软雅黑"/>
          <w:kern w:val="0"/>
          <w:sz w:val="32"/>
          <w:szCs w:val="32"/>
          <w:lang w:val="en-US" w:eastAsia="zh-CN"/>
        </w:rPr>
        <w:t>40人。</w:t>
      </w:r>
    </w:p>
    <w:p w14:paraId="1B0A0996">
      <w:pPr>
        <w:widowControl/>
        <w:spacing w:line="600" w:lineRule="exact"/>
        <w:ind w:firstLine="640" w:firstLineChars="200"/>
        <w:rPr>
          <w:rFonts w:hint="eastAsia" w:ascii="微软雅黑" w:hAnsi="微软雅黑" w:eastAsia="微软雅黑" w:cs="微软雅黑"/>
          <w:bCs/>
          <w:i/>
          <w:i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（二）决算单位构成。</w:t>
      </w:r>
      <w:r>
        <w:rPr>
          <w:rFonts w:ascii="微软雅黑" w:hAnsi="微软雅黑" w:eastAsia="微软雅黑" w:cs="微软雅黑"/>
          <w:sz w:val="32"/>
        </w:rPr>
        <w:t>岳阳县疾病预防控制中心单位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  <w:lang w:val="en-US" w:eastAsia="zh-CN"/>
        </w:rPr>
        <w:t>本单位没有所属二级机构，因此本年度部门预算仅为本级部门预算。</w:t>
      </w:r>
    </w:p>
    <w:p w14:paraId="1A81944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i/>
          <w:iCs/>
          <w:color w:val="FF0000"/>
          <w:sz w:val="32"/>
          <w:szCs w:val="24"/>
          <w:highlight w:val="white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</w:p>
    <w:p w14:paraId="7A7504E3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D2C1952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7560790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5A3E38E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29224D5D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第二部分</w:t>
      </w:r>
    </w:p>
    <w:p w14:paraId="0358D151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</w:p>
    <w:p w14:paraId="36C01BF0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部门决算表</w:t>
      </w:r>
    </w:p>
    <w:p w14:paraId="448A4BD8">
      <w:pPr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  <w:lang w:eastAsia="zh-CN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  <w:lang w:eastAsia="zh-CN"/>
        </w:rPr>
        <w:t>（见附件）</w:t>
      </w:r>
    </w:p>
    <w:p w14:paraId="3FB8F864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B052895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A38A4B0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9AF1447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AC08E3D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第三部分</w:t>
      </w:r>
    </w:p>
    <w:p w14:paraId="7928C40F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0"/>
          <w:szCs w:val="70"/>
        </w:rPr>
      </w:pPr>
    </w:p>
    <w:p w14:paraId="2DD92FE3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  <w:lang w:eastAsia="zh-CN"/>
        </w:rPr>
        <w:t>2023</w:t>
      </w: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年度部门决算情况说明</w:t>
      </w:r>
    </w:p>
    <w:p w14:paraId="422B5A88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7701B91A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47981D21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17FCB2AF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2CA93B76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0AB426D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一、收入支出决算总体情况说明</w:t>
      </w:r>
    </w:p>
    <w:p w14:paraId="444327CA">
      <w:pPr>
        <w:pStyle w:val="13"/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highlight w:val="none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年度收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入</w:t>
      </w:r>
      <w:r>
        <w:rPr>
          <w:rFonts w:hint="eastAsia" w:ascii="微软雅黑" w:hAnsi="微软雅黑" w:eastAsia="微软雅黑" w:cs="微软雅黑"/>
          <w:sz w:val="32"/>
          <w:szCs w:val="32"/>
        </w:rPr>
        <w:t>总计</w:t>
      </w:r>
      <w:r>
        <w:rPr>
          <w:rFonts w:ascii="微软雅黑" w:hAnsi="微软雅黑" w:eastAsia="微软雅黑" w:cs="微软雅黑"/>
          <w:sz w:val="32"/>
        </w:rPr>
        <w:t>4,320.90万元</w:t>
      </w:r>
      <w:r>
        <w:rPr>
          <w:rFonts w:hint="eastAsia" w:ascii="微软雅黑" w:hAnsi="微软雅黑" w:eastAsia="微软雅黑" w:cs="微软雅黑"/>
          <w:sz w:val="32"/>
          <w:lang w:eastAsia="zh-CN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与上年相比，减少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452.65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万元，减少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9.48</w:t>
      </w:r>
      <w:r>
        <w:rPr>
          <w:rFonts w:hint="eastAsia" w:ascii="微软雅黑" w:hAnsi="微软雅黑" w:eastAsia="微软雅黑" w:cs="微软雅黑"/>
          <w:sz w:val="32"/>
          <w:szCs w:val="32"/>
        </w:rPr>
        <w:t>%，主要是因为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22年疾控检验大楼建设项目投入1000万元，23年此项目投入500万元，减少500万元</w:t>
      </w:r>
      <w:r>
        <w:rPr>
          <w:rFonts w:hint="eastAsia" w:ascii="微软雅黑" w:hAnsi="微软雅黑" w:eastAsia="微软雅黑" w:cs="微软雅黑"/>
          <w:sz w:val="32"/>
          <w:szCs w:val="32"/>
          <w:highlight w:val="none"/>
        </w:rPr>
        <w:t>。</w:t>
      </w:r>
    </w:p>
    <w:p w14:paraId="4791E57A">
      <w:pPr>
        <w:pStyle w:val="13"/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2023年</w:t>
      </w:r>
      <w:r>
        <w:rPr>
          <w:rFonts w:hint="eastAsia" w:ascii="微软雅黑" w:hAnsi="微软雅黑" w:eastAsia="微软雅黑" w:cs="微软雅黑"/>
          <w:sz w:val="32"/>
          <w:szCs w:val="32"/>
        </w:rPr>
        <w:t>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支出总计3724.99</w:t>
      </w:r>
      <w:r>
        <w:rPr>
          <w:rFonts w:hint="eastAsia" w:ascii="微软雅黑" w:hAnsi="微软雅黑" w:eastAsia="微软雅黑" w:cs="微软雅黑"/>
          <w:sz w:val="32"/>
          <w:szCs w:val="32"/>
        </w:rPr>
        <w:t>万元。与上年相比，减少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48.48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万元，减少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1.28</w:t>
      </w:r>
      <w:r>
        <w:rPr>
          <w:rFonts w:hint="eastAsia" w:ascii="微软雅黑" w:hAnsi="微软雅黑" w:eastAsia="微软雅黑" w:cs="微软雅黑"/>
          <w:sz w:val="32"/>
          <w:szCs w:val="32"/>
        </w:rPr>
        <w:t>%，主要是因为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22年疾控检验大楼建设项目投入在23年元月列支400万元</w:t>
      </w:r>
      <w:r>
        <w:rPr>
          <w:rFonts w:hint="eastAsia" w:ascii="微软雅黑" w:hAnsi="微软雅黑" w:eastAsia="微软雅黑" w:cs="微软雅黑"/>
          <w:sz w:val="32"/>
          <w:szCs w:val="32"/>
          <w:highlight w:val="none"/>
        </w:rPr>
        <w:t>。</w:t>
      </w:r>
    </w:p>
    <w:p w14:paraId="2E3574C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二、收入决算情况说明</w:t>
      </w:r>
    </w:p>
    <w:p w14:paraId="0EA3762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年度收入合计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4,320.90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万元，其中：财政拨款收入</w:t>
      </w:r>
      <w:r>
        <w:rPr>
          <w:rFonts w:ascii="微软雅黑" w:hAnsi="微软雅黑" w:eastAsia="微软雅黑" w:cs="微软雅黑"/>
          <w:sz w:val="32"/>
        </w:rPr>
        <w:t>1,644.60万元，占38.06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%；上级补助收入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%；事业收入</w:t>
      </w:r>
      <w:r>
        <w:rPr>
          <w:rFonts w:ascii="微软雅黑" w:hAnsi="微软雅黑" w:eastAsia="微软雅黑" w:cs="微软雅黑"/>
          <w:sz w:val="32"/>
        </w:rPr>
        <w:t>2,676.30万元，占61.94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%；经营收入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%；附属单位上缴收入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%；其他收入</w:t>
      </w:r>
      <w:r>
        <w:rPr>
          <w:rFonts w:ascii="微软雅黑" w:hAnsi="微软雅黑" w:eastAsia="微软雅黑" w:cs="微软雅黑"/>
          <w:sz w:val="32"/>
        </w:rPr>
        <w:t>0.00万元，占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%。</w:t>
      </w:r>
    </w:p>
    <w:p w14:paraId="41B031C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三、支出决算情况说明</w:t>
      </w:r>
    </w:p>
    <w:p w14:paraId="32E0D2E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年度支出合计3,724.99万元，其中：基本支出3,724.99万元，占100.00%；项目支出0.00万元，占0.00%；上缴上级支出0.00万元，占0.00%；经营支出0.00万元，占0.00%；对附属单位补助支出0.00万元，占0.00%。</w:t>
      </w:r>
    </w:p>
    <w:p w14:paraId="440FCE0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四、财政拨款收入支出决算总体情况说明</w:t>
      </w:r>
    </w:p>
    <w:p w14:paraId="5DFADD49">
      <w:pPr>
        <w:pStyle w:val="13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年度财政拨款收、支总计1,644.60万元，与上年相比，增长557.32万元,增长51.26%，主要是因为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22年中央转移支付项目第二批资金在23年到账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3FB05CE4">
      <w:pPr>
        <w:pStyle w:val="13"/>
        <w:ind w:firstLine="640" w:firstLineChars="200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2023年</w:t>
      </w:r>
      <w:r>
        <w:rPr>
          <w:rFonts w:hint="eastAsia" w:ascii="微软雅黑" w:hAnsi="微软雅黑" w:eastAsia="微软雅黑" w:cs="微软雅黑"/>
          <w:sz w:val="32"/>
          <w:szCs w:val="32"/>
        </w:rPr>
        <w:t>度财政拨款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支出</w:t>
      </w:r>
      <w:r>
        <w:rPr>
          <w:rFonts w:hint="eastAsia" w:ascii="微软雅黑" w:hAnsi="微软雅黑" w:eastAsia="微软雅黑" w:cs="微软雅黑"/>
          <w:sz w:val="32"/>
          <w:szCs w:val="32"/>
        </w:rPr>
        <w:t>总计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1644.6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万元，与上年相比，增加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557.32</w:t>
      </w:r>
      <w:r>
        <w:rPr>
          <w:rFonts w:hint="eastAsia" w:ascii="微软雅黑" w:hAnsi="微软雅黑" w:eastAsia="微软雅黑" w:cs="微软雅黑"/>
          <w:sz w:val="32"/>
          <w:szCs w:val="32"/>
        </w:rPr>
        <w:t>万元,增长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51.26</w:t>
      </w:r>
      <w:r>
        <w:rPr>
          <w:rFonts w:hint="eastAsia" w:ascii="微软雅黑" w:hAnsi="微软雅黑" w:eastAsia="微软雅黑" w:cs="微软雅黑"/>
          <w:sz w:val="32"/>
          <w:szCs w:val="32"/>
        </w:rPr>
        <w:t>%，主要是因为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22年中央转移支付项目第二批资金在23年列支</w:t>
      </w:r>
      <w:r>
        <w:rPr>
          <w:rFonts w:hint="eastAsia" w:ascii="宋体" w:hAnsi="宋体" w:eastAsia="宋体"/>
          <w:sz w:val="32"/>
          <w:szCs w:val="32"/>
        </w:rPr>
        <w:t>。</w:t>
      </w:r>
    </w:p>
    <w:p w14:paraId="2DCAE40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五、一般公共预算财政拨款支出决算情况说明</w:t>
      </w:r>
    </w:p>
    <w:p w14:paraId="202F9A9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（一）财政拨款支出决算总体情况</w:t>
      </w:r>
    </w:p>
    <w:p w14:paraId="0D138BC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年度财政拨款支出1,644.60万元，占本年支出合计的44.15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%，与上年相比，财政拨款支出</w:t>
      </w:r>
      <w:r>
        <w:rPr>
          <w:rFonts w:ascii="微软雅黑" w:hAnsi="微软雅黑" w:eastAsia="微软雅黑" w:cs="微软雅黑"/>
          <w:sz w:val="32"/>
        </w:rPr>
        <w:t>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557.32</w:t>
      </w:r>
      <w:r>
        <w:rPr>
          <w:rFonts w:hint="eastAsia" w:ascii="微软雅黑" w:hAnsi="微软雅黑" w:eastAsia="微软雅黑" w:cs="微软雅黑"/>
          <w:sz w:val="32"/>
          <w:szCs w:val="32"/>
        </w:rPr>
        <w:t>万元,增长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51.26</w:t>
      </w:r>
      <w:r>
        <w:rPr>
          <w:rFonts w:hint="eastAsia" w:ascii="微软雅黑" w:hAnsi="微软雅黑" w:eastAsia="微软雅黑" w:cs="微软雅黑"/>
          <w:sz w:val="32"/>
          <w:szCs w:val="32"/>
        </w:rPr>
        <w:t>%，主要是因为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22年中央转移支付项目第二批资金在23年列支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64556F6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（二）财政拨款支出决算结构情况</w:t>
      </w:r>
    </w:p>
    <w:p w14:paraId="375E4E4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default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年度财政拨款支出1,644.60万元，主要用于以下方面：一般公共服务（类）支出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1644.60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%；教育（类）支出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万元，占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%。</w:t>
      </w:r>
    </w:p>
    <w:p w14:paraId="40FE352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（三）财政拨款支出决算具体情况</w:t>
      </w:r>
    </w:p>
    <w:p w14:paraId="6632AC9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年度财政拨款支出年初预算数为698.46万元，支出决算数为1,644.60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万元，完成年初预算的</w:t>
      </w:r>
      <w:r>
        <w:rPr>
          <w:rFonts w:ascii="微软雅黑" w:hAnsi="微软雅黑" w:eastAsia="微软雅黑" w:cs="微软雅黑"/>
          <w:sz w:val="32"/>
        </w:rPr>
        <w:t>235.46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%，其中：</w:t>
      </w:r>
    </w:p>
    <w:p w14:paraId="588D1CF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1、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卫生健康支出</w:t>
      </w:r>
      <w:r>
        <w:rPr>
          <w:rFonts w:hint="eastAsia" w:ascii="微软雅黑" w:hAnsi="微软雅黑" w:eastAsia="微软雅黑" w:cs="微软雅黑"/>
          <w:sz w:val="32"/>
          <w:szCs w:val="32"/>
        </w:rPr>
        <w:t>（类）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公共卫生</w:t>
      </w:r>
      <w:r>
        <w:rPr>
          <w:rFonts w:hint="eastAsia" w:ascii="微软雅黑" w:hAnsi="微软雅黑" w:eastAsia="微软雅黑" w:cs="微软雅黑"/>
          <w:sz w:val="32"/>
          <w:szCs w:val="32"/>
        </w:rPr>
        <w:t>（款）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疾病预防控制机构</w:t>
      </w:r>
      <w:r>
        <w:rPr>
          <w:rFonts w:hint="eastAsia" w:ascii="微软雅黑" w:hAnsi="微软雅黑" w:eastAsia="微软雅黑" w:cs="微软雅黑"/>
          <w:sz w:val="32"/>
          <w:szCs w:val="32"/>
        </w:rPr>
        <w:t>（项）。</w:t>
      </w:r>
    </w:p>
    <w:p w14:paraId="443511D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698.46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1644.6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235.46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%，决算数大于年初预算数的主要原因是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年初预算数未含疾控检验大楼建设项目资金和中央转移支付经费。</w:t>
      </w:r>
    </w:p>
    <w:p w14:paraId="5C5C91D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六、一般公共预算财政拨款基本支出决算情况说明</w:t>
      </w:r>
    </w:p>
    <w:p w14:paraId="25B3793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年度财政拨款基本支出1644.61万元，其中：</w:t>
      </w:r>
    </w:p>
    <w:p w14:paraId="24C1584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人员经费</w:t>
      </w:r>
      <w:r>
        <w:rPr>
          <w:rFonts w:ascii="微软雅黑" w:hAnsi="微软雅黑" w:eastAsia="微软雅黑" w:cs="微软雅黑"/>
          <w:sz w:val="32"/>
        </w:rPr>
        <w:t>771.57万元，占基本支出的46.92%,主要包括基本工资、津贴补贴、奖金、伙食补助费……。</w:t>
      </w:r>
    </w:p>
    <w:p w14:paraId="2B8E5F8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公用经费</w:t>
      </w:r>
      <w:r>
        <w:rPr>
          <w:rFonts w:ascii="微软雅黑" w:hAnsi="微软雅黑" w:eastAsia="微软雅黑" w:cs="微软雅黑"/>
          <w:sz w:val="32"/>
        </w:rPr>
        <w:t>873.04万元，占基本支出的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53.08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%，主要包括办公费、印刷费、咨询费、手续费……。</w:t>
      </w:r>
    </w:p>
    <w:p w14:paraId="186AF02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七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、政府性基金预算收入支出决算情况</w:t>
      </w:r>
    </w:p>
    <w:p w14:paraId="214A2054">
      <w:pPr>
        <w:pStyle w:val="13"/>
        <w:ind w:firstLine="640" w:firstLineChars="200"/>
        <w:rPr>
          <w:rFonts w:hint="eastAsia" w:ascii="微软雅黑" w:hAnsi="微软雅黑" w:eastAsia="微软雅黑" w:cs="微软雅黑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 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年度政府性基金预算财政拨款收入0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万元；年初结转和结余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万元；支出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万元，其中基本支出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万元，项目支出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万元；年末结转和结余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万元。具体情况如下：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本单位无政府性基金收支。</w:t>
      </w:r>
    </w:p>
    <w:p w14:paraId="798CB96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八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、国有资本经营预算财政拨款支出决算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情况</w:t>
      </w:r>
    </w:p>
    <w:p w14:paraId="2BA4233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年度国有资本经营预算财政拨款支出0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万元；基本支出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万元，项目支出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万元。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本单位无国有资本经营预算财政拨款支出。</w:t>
      </w:r>
    </w:p>
    <w:p w14:paraId="03EF82A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highlight w:val="none"/>
          <w:lang w:eastAsia="zh-CN"/>
        </w:rPr>
        <w:t>九、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财政拨款三公经费支出决算情况说明</w:t>
      </w:r>
    </w:p>
    <w:p w14:paraId="222AAB52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（一）“三公”经费财政拨款支出决算总体情况说明</w:t>
      </w:r>
    </w:p>
    <w:p w14:paraId="5137658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“三公”经费财政拨款支出预算为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6.5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5.69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87.54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</w:t>
      </w:r>
    </w:p>
    <w:p w14:paraId="3CEEB13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因公出国（境）费支出预算为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无增减变动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无增减变动。</w:t>
      </w:r>
    </w:p>
    <w:p w14:paraId="0C42673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公务接待费支出预算为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1.5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1.36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90.67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小于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加强公务接待管理，严格控制接待费用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，与上年相比增加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0.16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13.33</w:t>
      </w:r>
      <w:r>
        <w:rPr>
          <w:rFonts w:hint="eastAsia" w:ascii="微软雅黑" w:hAnsi="微软雅黑" w:eastAsia="微软雅黑" w:cs="微软雅黑"/>
          <w:sz w:val="32"/>
          <w:szCs w:val="32"/>
        </w:rPr>
        <w:t>%,增长的主要原因是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上级部门督导次数增加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34D68DC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公务用车购置费支出预算为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无增减变动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无增减变动。</w:t>
      </w:r>
    </w:p>
    <w:p w14:paraId="3A545C3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公务用车运行维护费支出预算为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4.33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86.6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小于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加强对中心车辆管理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，与上年相比增加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1.71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65.27</w:t>
      </w:r>
      <w:r>
        <w:rPr>
          <w:rFonts w:hint="eastAsia" w:ascii="微软雅黑" w:hAnsi="微软雅黑" w:eastAsia="微软雅黑" w:cs="微软雅黑"/>
          <w:sz w:val="32"/>
          <w:szCs w:val="32"/>
        </w:rPr>
        <w:t>%,增长的主要原因是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油价上涨和车辆耗损维修费用增加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7130F27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（二）“三公”经费财政拨款支出决算具体情况说明</w:t>
      </w:r>
    </w:p>
    <w:p w14:paraId="286EFD3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年度“三公”经费财政拨款支出决算中，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公</w:t>
      </w:r>
      <w:r>
        <w:rPr>
          <w:rFonts w:hint="eastAsia" w:ascii="微软雅黑" w:hAnsi="微软雅黑" w:eastAsia="微软雅黑" w:cs="微软雅黑"/>
          <w:sz w:val="32"/>
          <w:szCs w:val="32"/>
        </w:rPr>
        <w:t>务接待费支出决算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1.36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23.9</w:t>
      </w:r>
      <w:r>
        <w:rPr>
          <w:rFonts w:hint="eastAsia" w:ascii="微软雅黑" w:hAnsi="微软雅黑" w:eastAsia="微软雅黑" w:cs="微软雅黑"/>
          <w:sz w:val="32"/>
          <w:szCs w:val="32"/>
        </w:rPr>
        <w:t>%,因公出国（境）费支出决算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%,公务用车购置费及运行维护费支出决算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4.33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76.1</w:t>
      </w:r>
      <w:r>
        <w:rPr>
          <w:rFonts w:hint="eastAsia" w:ascii="微软雅黑" w:hAnsi="微软雅黑" w:eastAsia="微软雅黑" w:cs="微软雅黑"/>
          <w:sz w:val="32"/>
          <w:szCs w:val="32"/>
        </w:rPr>
        <w:t>%。其中：</w:t>
      </w:r>
    </w:p>
    <w:p w14:paraId="0308F9EF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/>
          <w:i/>
          <w:color w:val="auto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32"/>
          <w:szCs w:val="32"/>
        </w:rPr>
        <w:t>因公出国（境）费支出决算为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万元，全年安排因公出国（境）团组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个，累计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人次</w:t>
      </w:r>
      <w:r>
        <w:rPr>
          <w:rFonts w:hint="eastAsia" w:ascii="微软雅黑" w:hAnsi="微软雅黑" w:eastAsia="微软雅黑" w:cs="微软雅黑"/>
          <w:b/>
          <w:bCs/>
          <w:i/>
          <w:color w:val="auto"/>
          <w:sz w:val="32"/>
          <w:szCs w:val="32"/>
        </w:rPr>
        <w:t>,</w:t>
      </w:r>
      <w:r>
        <w:rPr>
          <w:rFonts w:hint="eastAsia" w:ascii="微软雅黑" w:hAnsi="微软雅黑" w:eastAsia="微软雅黑" w:cs="微软雅黑"/>
          <w:b w:val="0"/>
          <w:bCs w:val="0"/>
          <w:i w:val="0"/>
          <w:iCs/>
          <w:color w:val="auto"/>
          <w:sz w:val="32"/>
          <w:szCs w:val="32"/>
          <w:lang w:val="en-US" w:eastAsia="zh-CN"/>
        </w:rPr>
        <w:t>无</w:t>
      </w:r>
      <w:r>
        <w:rPr>
          <w:rFonts w:hint="eastAsia" w:ascii="微软雅黑" w:hAnsi="微软雅黑" w:eastAsia="微软雅黑" w:cs="微软雅黑"/>
          <w:sz w:val="32"/>
          <w:szCs w:val="32"/>
        </w:rPr>
        <w:t>开支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。</w:t>
      </w:r>
    </w:p>
    <w:p w14:paraId="06DA67C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</w:t>
      </w:r>
      <w:r>
        <w:rPr>
          <w:rFonts w:hint="eastAsia" w:ascii="微软雅黑" w:hAnsi="微软雅黑" w:eastAsia="微软雅黑" w:cs="微软雅黑"/>
          <w:sz w:val="32"/>
          <w:szCs w:val="32"/>
        </w:rPr>
        <w:t>公务接待费支出决算为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1.36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万元，全年共接待来访团组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sz w:val="32"/>
          <w:szCs w:val="32"/>
        </w:rPr>
        <w:t>个、来宾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98</w:t>
      </w:r>
      <w:r>
        <w:rPr>
          <w:rFonts w:hint="eastAsia" w:ascii="微软雅黑" w:hAnsi="微软雅黑" w:eastAsia="微软雅黑" w:cs="微软雅黑"/>
          <w:sz w:val="32"/>
          <w:szCs w:val="32"/>
        </w:rPr>
        <w:t>人次，主要是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省市上级部门业务督导、业务检查等</w:t>
      </w:r>
      <w:r>
        <w:rPr>
          <w:rFonts w:hint="eastAsia" w:ascii="微软雅黑" w:hAnsi="微软雅黑" w:eastAsia="微软雅黑" w:cs="微软雅黑"/>
          <w:sz w:val="32"/>
          <w:szCs w:val="32"/>
        </w:rPr>
        <w:t>发生的接待支出。</w:t>
      </w:r>
    </w:p>
    <w:p w14:paraId="28E32EC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微软雅黑" w:hAnsi="微软雅黑" w:eastAsia="微软雅黑" w:cs="微软雅黑"/>
          <w:i/>
          <w:iCs w:val="0"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3、公务用车购置费及运行维护费支出决算为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4.33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万元，其中：公务用车购置费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本单位</w:t>
      </w:r>
      <w:r>
        <w:rPr>
          <w:rFonts w:hint="eastAsia" w:ascii="微软雅黑" w:hAnsi="微软雅黑" w:eastAsia="微软雅黑" w:cs="微软雅黑"/>
          <w:sz w:val="32"/>
          <w:szCs w:val="32"/>
        </w:rPr>
        <w:t>更新公务用车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</w:rPr>
        <w:t>。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4.33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万元，主要是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保险、油料、维修费</w:t>
      </w:r>
      <w:r>
        <w:rPr>
          <w:rFonts w:hint="eastAsia" w:ascii="微软雅黑" w:hAnsi="微软雅黑" w:eastAsia="微软雅黑" w:cs="微软雅黑"/>
          <w:sz w:val="32"/>
          <w:szCs w:val="32"/>
        </w:rPr>
        <w:t>支出，截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至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2023年</w:t>
      </w:r>
      <w:r>
        <w:rPr>
          <w:rFonts w:hint="eastAsia" w:ascii="微软雅黑" w:hAnsi="微软雅黑" w:eastAsia="微软雅黑" w:cs="微软雅黑"/>
          <w:sz w:val="32"/>
          <w:szCs w:val="32"/>
        </w:rPr>
        <w:t>12月31日，我单位开支财政拨款的公务用车保有量为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32"/>
          <w:szCs w:val="32"/>
        </w:rPr>
        <w:t>辆。</w:t>
      </w:r>
    </w:p>
    <w:p w14:paraId="1B4472F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十、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关于机关运行经费支出说明</w:t>
      </w:r>
    </w:p>
    <w:p w14:paraId="690E84EC">
      <w:pPr>
        <w:pStyle w:val="13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单位为事业单位，按照机关运行经费的口径，本年度机关运行经费为0。</w:t>
      </w:r>
    </w:p>
    <w:p w14:paraId="5835FDE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一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、一般性支出情况说明</w:t>
      </w:r>
    </w:p>
    <w:p w14:paraId="5626DA18">
      <w:pPr>
        <w:pStyle w:val="13"/>
        <w:ind w:firstLine="640" w:firstLineChars="200"/>
        <w:rPr>
          <w:rFonts w:hint="eastAsia" w:ascii="微软雅黑" w:hAnsi="微软雅黑" w:eastAsia="微软雅黑" w:cs="微软雅黑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2023年</w:t>
      </w:r>
      <w:r>
        <w:rPr>
          <w:rFonts w:hint="eastAsia" w:ascii="微软雅黑" w:hAnsi="微软雅黑" w:eastAsia="微软雅黑" w:cs="微软雅黑"/>
          <w:sz w:val="32"/>
          <w:szCs w:val="32"/>
        </w:rPr>
        <w:t>本部门开支会议费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万元，用于召开……会议，人数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人，内容为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无</w:t>
      </w:r>
      <w:r>
        <w:rPr>
          <w:rFonts w:hint="eastAsia" w:ascii="微软雅黑" w:hAnsi="微软雅黑" w:eastAsia="微软雅黑" w:cs="微软雅黑"/>
          <w:sz w:val="32"/>
          <w:szCs w:val="32"/>
        </w:rPr>
        <w:t>；开支培训费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8.83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万元，用于开展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计划免于冷链运转、职业病知识宣传防治、学生结核病与学校水源检测、突发传染病防治、死因监测等培训</w:t>
      </w:r>
      <w:r>
        <w:rPr>
          <w:rFonts w:hint="eastAsia" w:ascii="微软雅黑" w:hAnsi="微软雅黑" w:eastAsia="微软雅黑" w:cs="微软雅黑"/>
          <w:sz w:val="32"/>
          <w:szCs w:val="32"/>
        </w:rPr>
        <w:t>，人数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1100</w:t>
      </w:r>
      <w:r>
        <w:rPr>
          <w:rFonts w:hint="eastAsia" w:ascii="微软雅黑" w:hAnsi="微软雅黑" w:eastAsia="微软雅黑" w:cs="微软雅黑"/>
          <w:sz w:val="32"/>
          <w:szCs w:val="32"/>
        </w:rPr>
        <w:t>人，内容为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计划免于冷链运转工作安排、职业病知识宣传防治与工作场所监测工作部署、学生结核病与学校水源检测工作计划、突发传染病防治、死因监测填报工作安排等</w:t>
      </w:r>
      <w:r>
        <w:rPr>
          <w:rFonts w:hint="eastAsia" w:ascii="微软雅黑" w:hAnsi="微软雅黑" w:eastAsia="微软雅黑" w:cs="微软雅黑"/>
          <w:sz w:val="32"/>
          <w:szCs w:val="32"/>
        </w:rPr>
        <w:t>；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没有</w:t>
      </w:r>
      <w:r>
        <w:rPr>
          <w:rFonts w:hint="eastAsia" w:ascii="微软雅黑" w:hAnsi="微软雅黑" w:eastAsia="微软雅黑" w:cs="微软雅黑"/>
          <w:sz w:val="32"/>
          <w:szCs w:val="32"/>
        </w:rPr>
        <w:t>举办节庆、晚会、论坛、赛事活动，开支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内容无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72C3B2C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二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、关于政府采购支出说明</w:t>
      </w:r>
    </w:p>
    <w:p w14:paraId="382D20A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本部门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年度政府采购支出总额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万元，其中：政府采购货物支出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万元、政府采购工程支出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万元、政府采购服务支出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万元。授予中小企业合同金额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万元，占政府采购支出总额的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%，其中：授予小微企业合同金额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万元，占授予中小企业合同金额的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%。货物采购授予中小企业合同金额占货物支出金额的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%，工程采购授予中小企业合同金额占工程支出金额的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%，服务采购授予中小企业合同金额占服务支出金额的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%。</w:t>
      </w:r>
    </w:p>
    <w:p w14:paraId="2E5EAD4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三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、关于国有资产占用情况说明</w:t>
      </w:r>
    </w:p>
    <w:p w14:paraId="5CA372E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截至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年12月31日，本单位共有车辆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辆，其中，主要领导干部用车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辆，机要通信用车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辆、应急保障用车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辆、执法执勤用车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辆、特种专业技术用车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辆、其他用车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32"/>
          <w:szCs w:val="32"/>
        </w:rPr>
        <w:t>辆，其他用车主要是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疫苗冷链运转</w:t>
      </w:r>
      <w:r>
        <w:rPr>
          <w:rFonts w:hint="eastAsia" w:ascii="微软雅黑" w:hAnsi="微软雅黑" w:eastAsia="微软雅黑" w:cs="微软雅黑"/>
          <w:sz w:val="32"/>
          <w:szCs w:val="32"/>
        </w:rPr>
        <w:t>；单位价值50万元以上通用设备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32"/>
          <w:szCs w:val="32"/>
        </w:rPr>
        <w:t>台（套）；单位价值100万元以上专用设备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台（套）。</w:t>
      </w:r>
    </w:p>
    <w:p w14:paraId="1097948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四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年度绩效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评价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情况的说明</w:t>
      </w:r>
    </w:p>
    <w:p w14:paraId="06E0A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。</w:t>
      </w:r>
    </w:p>
    <w:p w14:paraId="58024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根据预算绩效管理要求，我部门组织对</w:t>
      </w:r>
      <w:r>
        <w:rPr>
          <w:rFonts w:ascii="微软雅黑" w:hAnsi="微软雅黑" w:eastAsia="微软雅黑" w:cs="微软雅黑"/>
          <w:color w:val="000000"/>
          <w:sz w:val="32"/>
        </w:rPr>
        <w:t>2023年度一般公共预算项目支出全面开展绩效自评，其中，一级项目</w:t>
      </w:r>
      <w:r>
        <w:rPr>
          <w:rFonts w:hint="eastAsia" w:ascii="微软雅黑" w:hAnsi="微软雅黑" w:eastAsia="微软雅黑" w:cs="微软雅黑"/>
          <w:color w:val="000000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>个，二级项目</w:t>
      </w:r>
      <w:r>
        <w:rPr>
          <w:rFonts w:hint="eastAsia" w:ascii="微软雅黑" w:hAnsi="微软雅黑" w:eastAsia="微软雅黑" w:cs="微软雅黑"/>
          <w:color w:val="000000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 xml:space="preserve"> 个，共涉及资金</w:t>
      </w:r>
      <w:r>
        <w:rPr>
          <w:rFonts w:hint="eastAsia" w:ascii="微软雅黑" w:hAnsi="微软雅黑" w:eastAsia="微软雅黑" w:cs="微软雅黑"/>
          <w:color w:val="000000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 xml:space="preserve"> 万元，占一般公共预算项目支出总额的</w:t>
      </w:r>
      <w:r>
        <w:rPr>
          <w:rFonts w:hint="eastAsia" w:ascii="微软雅黑" w:hAnsi="微软雅黑" w:eastAsia="微软雅黑" w:cs="微软雅黑"/>
          <w:color w:val="000000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>%。</w:t>
      </w:r>
    </w:p>
    <w:p w14:paraId="7D34E6A7">
      <w:pPr>
        <w:autoSpaceDE w:val="0"/>
        <w:autoSpaceDN w:val="0"/>
        <w:adjustRightInd w:val="0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组织对本单位开展整体支出绩效评价，涉及一般公共预算支出1644.6 万元，政府性基金预算支出X0万元。从评价情况来看，涉及一般公共预算支出1644.6 万元，无政府性基金预算支出，无国有资本经营预算项目支出，部门整体支出绩效自评等级为“优”（请对整体支出绩效评价情况进行简单说明）。</w:t>
      </w:r>
    </w:p>
    <w:p w14:paraId="7484C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（2）部门决算中项目绩效自评结果（如有）。</w:t>
      </w:r>
    </w:p>
    <w:p w14:paraId="12EC1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default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无</w:t>
      </w:r>
    </w:p>
    <w:p w14:paraId="1F941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（3）部门评价项目绩效评价结果。</w:t>
      </w:r>
    </w:p>
    <w:p w14:paraId="30D83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部门评价项目数量3个以内的，至少将1 个部门评价报告向社会公开；部门评价项目数量大于3 个的，至少将2 个部门评价报告向社会公开。报告框架可参考《项目支出绩效评价办法》（财预〔2020〕10 号）中《项目支出绩效评价报告（参考提纲）》、《湖南省预算支出绩效评价管理办法》（湘财绩〔2020〕7号）。</w:t>
      </w:r>
    </w:p>
    <w:p w14:paraId="5552B5E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  <w:t>（绩效评价报告必须作为附件上传）</w:t>
      </w:r>
      <w:bookmarkStart w:id="0" w:name="_GoBack"/>
    </w:p>
    <w:bookmarkEnd w:id="0"/>
    <w:p w14:paraId="4075D7C4">
      <w:pPr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  <w:br w:type="page"/>
      </w:r>
    </w:p>
    <w:p w14:paraId="30DD0CD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34ADAA99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第四部分</w:t>
      </w:r>
    </w:p>
    <w:p w14:paraId="3B810295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0D6C4062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名词解释</w:t>
      </w:r>
    </w:p>
    <w:p w14:paraId="401081C5"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269CB1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2B10CA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二、机关运行经费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2E534F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三、……</w:t>
      </w:r>
    </w:p>
    <w:p w14:paraId="6171295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………</w:t>
      </w:r>
    </w:p>
    <w:p w14:paraId="3337ABC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val="en-US" w:eastAsia="zh-CN"/>
        </w:rPr>
        <w:t>（名词解释应包含本部门专有名词，如省财政厅应有对“财政事务”科目的解释，可参考中央相关部门的名词解释）</w:t>
      </w:r>
    </w:p>
    <w:p w14:paraId="7D5722C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</w:p>
    <w:p w14:paraId="4FA8EFEC">
      <w:pPr>
        <w:rPr>
          <w:rFonts w:hint="eastAsia" w:ascii="微软雅黑" w:hAnsi="微软雅黑" w:eastAsia="微软雅黑" w:cs="微软雅黑"/>
          <w:sz w:val="72"/>
          <w:szCs w:val="72"/>
        </w:rPr>
      </w:pPr>
      <w:r>
        <w:rPr>
          <w:rFonts w:hint="eastAsia" w:ascii="微软雅黑" w:hAnsi="微软雅黑" w:eastAsia="微软雅黑" w:cs="微软雅黑"/>
          <w:sz w:val="72"/>
          <w:szCs w:val="72"/>
        </w:rPr>
        <w:br w:type="page"/>
      </w:r>
    </w:p>
    <w:p w14:paraId="4A429A30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4F01676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第五部分</w:t>
      </w:r>
    </w:p>
    <w:p w14:paraId="00B72341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0457B14F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附件</w:t>
      </w:r>
    </w:p>
    <w:p w14:paraId="7A04FEAB">
      <w:pPr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</w:pPr>
    </w:p>
    <w:p w14:paraId="25897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ascii="微软雅黑" w:hAnsi="微软雅黑" w:eastAsia="微软雅黑" w:cs="微软雅黑"/>
          <w:b/>
          <w:color w:val="000000"/>
          <w:sz w:val="32"/>
        </w:rPr>
        <w:t>2023年部门决算公开表格</w:t>
      </w:r>
    </w:p>
    <w:p w14:paraId="1DF57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  <w:t>年度部门整体支出绩效评价报告</w:t>
      </w:r>
    </w:p>
    <w:sectPr>
      <w:pgSz w:w="11906" w:h="16838"/>
      <w:pgMar w:top="720" w:right="720" w:bottom="720" w:left="72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YjI4MGEwOTAxM2VhMjE0YmE3ZmIwNjYyZmY2YWYifQ=="/>
    <w:docVar w:name="KSO_WPS_MARK_KEY" w:val="aeeac8e3-f466-426f-889f-364d7213eb81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482261"/>
    <w:rsid w:val="074309F6"/>
    <w:rsid w:val="077A5294"/>
    <w:rsid w:val="07966D78"/>
    <w:rsid w:val="07E04F3D"/>
    <w:rsid w:val="096227F5"/>
    <w:rsid w:val="0A21416E"/>
    <w:rsid w:val="0A24044F"/>
    <w:rsid w:val="0AC57974"/>
    <w:rsid w:val="0F9016DB"/>
    <w:rsid w:val="0FE268D2"/>
    <w:rsid w:val="10A73DA4"/>
    <w:rsid w:val="11A63AC3"/>
    <w:rsid w:val="13135140"/>
    <w:rsid w:val="134641EF"/>
    <w:rsid w:val="136B7D14"/>
    <w:rsid w:val="15986B0A"/>
    <w:rsid w:val="15A64981"/>
    <w:rsid w:val="17D85E72"/>
    <w:rsid w:val="17F966D2"/>
    <w:rsid w:val="191A1185"/>
    <w:rsid w:val="1A4B623A"/>
    <w:rsid w:val="1AA23D67"/>
    <w:rsid w:val="1B1042E5"/>
    <w:rsid w:val="21680401"/>
    <w:rsid w:val="23E773DF"/>
    <w:rsid w:val="27B766F6"/>
    <w:rsid w:val="29701875"/>
    <w:rsid w:val="2F026361"/>
    <w:rsid w:val="2F5729E1"/>
    <w:rsid w:val="306F0E15"/>
    <w:rsid w:val="31B77767"/>
    <w:rsid w:val="33E12879"/>
    <w:rsid w:val="34095384"/>
    <w:rsid w:val="34E24AFB"/>
    <w:rsid w:val="36E96615"/>
    <w:rsid w:val="3BC62A80"/>
    <w:rsid w:val="3FD348C7"/>
    <w:rsid w:val="40C80669"/>
    <w:rsid w:val="41940D6D"/>
    <w:rsid w:val="42415557"/>
    <w:rsid w:val="42FC322C"/>
    <w:rsid w:val="44AC435F"/>
    <w:rsid w:val="487D493C"/>
    <w:rsid w:val="493A4AAE"/>
    <w:rsid w:val="4C327165"/>
    <w:rsid w:val="4C76404F"/>
    <w:rsid w:val="4D542DAB"/>
    <w:rsid w:val="4EC70B92"/>
    <w:rsid w:val="512C2F2E"/>
    <w:rsid w:val="52E579D6"/>
    <w:rsid w:val="55C63EE6"/>
    <w:rsid w:val="570F5142"/>
    <w:rsid w:val="5777D4F5"/>
    <w:rsid w:val="57D94F90"/>
    <w:rsid w:val="58BD785A"/>
    <w:rsid w:val="59743537"/>
    <w:rsid w:val="5B4F3FC2"/>
    <w:rsid w:val="5D2E44D2"/>
    <w:rsid w:val="5DA84284"/>
    <w:rsid w:val="5DB1138B"/>
    <w:rsid w:val="5E026FEC"/>
    <w:rsid w:val="5FC6BB1E"/>
    <w:rsid w:val="5FF720F1"/>
    <w:rsid w:val="63930AB7"/>
    <w:rsid w:val="643C1282"/>
    <w:rsid w:val="645753D4"/>
    <w:rsid w:val="65B05FE0"/>
    <w:rsid w:val="660109D5"/>
    <w:rsid w:val="6720463D"/>
    <w:rsid w:val="69154588"/>
    <w:rsid w:val="6BD30F4C"/>
    <w:rsid w:val="6D15603E"/>
    <w:rsid w:val="6D1D2BA3"/>
    <w:rsid w:val="6D340BE9"/>
    <w:rsid w:val="6E4E0530"/>
    <w:rsid w:val="6FAA207B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8952220"/>
    <w:rsid w:val="79FF515B"/>
    <w:rsid w:val="7C4D3A17"/>
    <w:rsid w:val="7E9F11B4"/>
    <w:rsid w:val="7FC69637"/>
    <w:rsid w:val="7FFDB408"/>
    <w:rsid w:val="CBFF70E0"/>
    <w:rsid w:val="EEABED75"/>
    <w:rsid w:val="FB36E1A6"/>
    <w:rsid w:val="FFFF1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5101</Words>
  <Characters>5645</Characters>
  <Lines>63</Lines>
  <Paragraphs>18</Paragraphs>
  <TotalTime>1</TotalTime>
  <ScaleCrop>false</ScaleCrop>
  <LinksUpToDate>false</LinksUpToDate>
  <CharactersWithSpaces>5692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WPS_1657853568</cp:lastModifiedBy>
  <cp:lastPrinted>2023-08-15T09:28:00Z</cp:lastPrinted>
  <dcterms:modified xsi:type="dcterms:W3CDTF">2024-09-27T02:20:55Z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661ABA64067A42B98A18CBAF8FC9F9FC_13</vt:lpwstr>
  </property>
</Properties>
</file>