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3"/>
        <w:jc w:val="center"/>
        <w:rPr>
          <w:rFonts w:hint="eastAsia" w:ascii="微软雅黑" w:hAnsi="微软雅黑" w:eastAsia="微软雅黑" w:cs="微软雅黑"/>
          <w:sz w:val="56"/>
          <w:szCs w:val="56"/>
        </w:rPr>
      </w:pPr>
    </w:p>
    <w:p w14:paraId="6AA61587">
      <w:pPr>
        <w:pStyle w:val="13"/>
        <w:jc w:val="center"/>
        <w:rPr>
          <w:rFonts w:hint="eastAsia" w:ascii="微软雅黑" w:hAnsi="微软雅黑" w:eastAsia="微软雅黑" w:cs="微软雅黑"/>
          <w:sz w:val="56"/>
          <w:szCs w:val="56"/>
        </w:rPr>
      </w:pPr>
    </w:p>
    <w:p w14:paraId="063A3D1E">
      <w:pPr>
        <w:pStyle w:val="13"/>
        <w:jc w:val="center"/>
        <w:rPr>
          <w:rFonts w:hint="eastAsia" w:ascii="微软雅黑" w:hAnsi="微软雅黑" w:eastAsia="微软雅黑" w:cs="微软雅黑"/>
          <w:sz w:val="84"/>
          <w:szCs w:val="84"/>
        </w:rPr>
      </w:pPr>
    </w:p>
    <w:p w14:paraId="2B43E4A7">
      <w:pPr>
        <w:pStyle w:val="13"/>
        <w:jc w:val="center"/>
        <w:rPr>
          <w:rFonts w:hint="eastAsia" w:ascii="微软雅黑" w:hAnsi="微软雅黑" w:eastAsia="微软雅黑" w:cs="微软雅黑"/>
          <w:sz w:val="84"/>
          <w:szCs w:val="84"/>
        </w:rPr>
      </w:pPr>
    </w:p>
    <w:p w14:paraId="70F1861E">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04276982">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岳阳县农业广播电视学校</w:t>
      </w:r>
    </w:p>
    <w:p w14:paraId="1F82586A">
      <w:pPr>
        <w:pStyle w:val="13"/>
        <w:jc w:val="center"/>
        <w:rPr>
          <w:rFonts w:hint="eastAsia" w:ascii="微软雅黑" w:hAnsi="微软雅黑" w:eastAsia="微软雅黑" w:cs="微软雅黑"/>
          <w:b/>
          <w:bCs/>
          <w:sz w:val="84"/>
          <w:szCs w:val="84"/>
        </w:rPr>
      </w:pPr>
      <w:bookmarkStart w:id="0" w:name="_GoBack"/>
      <w:bookmarkEnd w:id="0"/>
      <w:r>
        <w:rPr>
          <w:rFonts w:ascii="微软雅黑" w:hAnsi="微软雅黑" w:eastAsia="微软雅黑" w:cs="微软雅黑"/>
          <w:b/>
          <w:sz w:val="84"/>
        </w:rPr>
        <w:t>部门（单位）部门决算</w:t>
      </w:r>
    </w:p>
    <w:p w14:paraId="75AE3C46">
      <w:pPr>
        <w:pStyle w:val="13"/>
        <w:jc w:val="center"/>
        <w:rPr>
          <w:rFonts w:hint="eastAsia" w:ascii="微软雅黑" w:hAnsi="微软雅黑" w:eastAsia="微软雅黑" w:cs="微软雅黑"/>
          <w:sz w:val="84"/>
          <w:szCs w:val="84"/>
        </w:rPr>
      </w:pPr>
    </w:p>
    <w:p w14:paraId="68E4FE28">
      <w:pPr>
        <w:pStyle w:val="13"/>
        <w:jc w:val="center"/>
        <w:rPr>
          <w:rFonts w:hint="eastAsia" w:ascii="微软雅黑" w:hAnsi="微软雅黑" w:eastAsia="微软雅黑" w:cs="微软雅黑"/>
          <w:sz w:val="84"/>
          <w:szCs w:val="84"/>
        </w:rPr>
      </w:pPr>
    </w:p>
    <w:p w14:paraId="4F27891B">
      <w:pPr>
        <w:pStyle w:val="13"/>
        <w:jc w:val="center"/>
        <w:rPr>
          <w:rFonts w:hint="eastAsia" w:ascii="微软雅黑" w:hAnsi="微软雅黑" w:eastAsia="微软雅黑" w:cs="微软雅黑"/>
          <w:sz w:val="84"/>
          <w:szCs w:val="84"/>
        </w:rPr>
      </w:pPr>
    </w:p>
    <w:p w14:paraId="2434F2FB">
      <w:pPr>
        <w:pStyle w:val="13"/>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3"/>
        <w:spacing w:line="500" w:lineRule="exact"/>
        <w:jc w:val="center"/>
        <w:rPr>
          <w:rFonts w:hint="eastAsia" w:ascii="微软雅黑" w:hAnsi="微软雅黑" w:eastAsia="微软雅黑" w:cs="微软雅黑"/>
          <w:b/>
          <w:sz w:val="36"/>
          <w:szCs w:val="28"/>
        </w:rPr>
      </w:pPr>
    </w:p>
    <w:p w14:paraId="157216F0">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岳阳县农业广播电视学校</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3"/>
        <w:jc w:val="center"/>
        <w:rPr>
          <w:rFonts w:hint="eastAsia" w:ascii="微软雅黑" w:hAnsi="微软雅黑" w:eastAsia="微软雅黑" w:cs="微软雅黑"/>
          <w:b/>
          <w:bCs/>
          <w:sz w:val="84"/>
          <w:szCs w:val="84"/>
        </w:rPr>
      </w:pPr>
    </w:p>
    <w:p w14:paraId="66291003">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岳阳县农业广播电视学校</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35713913">
      <w:pPr>
        <w:pStyle w:val="14"/>
        <w:numPr>
          <w:ilvl w:val="0"/>
          <w:numId w:val="1"/>
        </w:numPr>
        <w:ind w:firstLineChars="0"/>
        <w:jc w:val="left"/>
        <w:outlineLvl w:val="0"/>
        <w:rPr>
          <w:rFonts w:ascii="黑体" w:hAnsi="黑体" w:eastAsia="黑体"/>
          <w:sz w:val="32"/>
          <w:szCs w:val="32"/>
        </w:rPr>
      </w:pPr>
      <w:r>
        <w:rPr>
          <w:rFonts w:ascii="黑体" w:hAnsi="黑体" w:eastAsia="黑体"/>
          <w:sz w:val="32"/>
          <w:szCs w:val="32"/>
        </w:rPr>
        <w:t>部门职责</w:t>
      </w:r>
    </w:p>
    <w:p w14:paraId="4D14F51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岳阳县农业广播电视学校贯彻落实中央农业广播电视学校、湖南省农业广播电视学校办学政策和农民教育培训理念。主要职能职责是:</w:t>
      </w:r>
    </w:p>
    <w:p w14:paraId="3D9B187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（一） 承担农村实用技术培训，农民素质教育，农村劳动力就业技能培训，农科教结合组织实施，农民教育培训等工作。</w:t>
      </w:r>
    </w:p>
    <w:p w14:paraId="6EC4078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（二） 承担远距离农业成人高等教育和中等职业教育工作。</w:t>
      </w:r>
    </w:p>
    <w:p w14:paraId="545DF5F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（三） 承担组织实施农民体育健身活动，承担农民体育协会工作。</w:t>
      </w:r>
    </w:p>
    <w:p w14:paraId="2668F1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（四） 承担县农业农村局交办的其他工作。</w:t>
      </w:r>
    </w:p>
    <w:p w14:paraId="7F359662">
      <w:pPr>
        <w:jc w:val="left"/>
        <w:rPr>
          <w:rFonts w:ascii="仿宋_GB2312" w:hAnsi="宋体" w:eastAsia="仿宋_GB2312"/>
          <w:sz w:val="28"/>
          <w:szCs w:val="32"/>
        </w:rPr>
      </w:pPr>
    </w:p>
    <w:p w14:paraId="7415DA0A">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14:paraId="7F28875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一）内设机构设置。岳阳县农业广播电视学校为岳阳县农业农村局所属公益一类财政全额拨款副科级事业单位，财务独立核算。编制数8人，本部门在编在岗职工7人，退休3人。内设有3个股室：教务股、财务股、综合股。</w:t>
      </w:r>
    </w:p>
    <w:p w14:paraId="1574405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仿宋" w:hAnsi="仿宋" w:eastAsia="仿宋" w:cs="宋体"/>
          <w:color w:val="000000"/>
          <w:kern w:val="0"/>
          <w:sz w:val="30"/>
          <w:szCs w:val="30"/>
        </w:rPr>
      </w:pPr>
      <w:r>
        <w:rPr>
          <w:rFonts w:hint="eastAsia" w:ascii="微软雅黑" w:hAnsi="微软雅黑" w:eastAsia="微软雅黑" w:cs="微软雅黑"/>
          <w:sz w:val="32"/>
          <w:szCs w:val="32"/>
          <w:lang w:eastAsia="zh-CN"/>
        </w:rPr>
        <w:t>（二）决算单位构成。农广校202</w:t>
      </w: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lang w:eastAsia="zh-CN"/>
        </w:rPr>
        <w:t>年部门决算汇总公开单位构成为本级</w:t>
      </w:r>
      <w:r>
        <w:rPr>
          <w:rFonts w:hint="eastAsia" w:ascii="仿宋" w:hAnsi="仿宋" w:eastAsia="仿宋" w:cs="宋体"/>
          <w:color w:val="000000"/>
          <w:kern w:val="0"/>
          <w:sz w:val="30"/>
          <w:szCs w:val="30"/>
        </w:rPr>
        <w:t>。</w:t>
      </w:r>
    </w:p>
    <w:p w14:paraId="091290B6">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p>
    <w:p w14:paraId="7A7504E3">
      <w:pPr>
        <w:jc w:val="center"/>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3"/>
        <w:jc w:val="center"/>
        <w:rPr>
          <w:rFonts w:hint="eastAsia" w:ascii="微软雅黑" w:hAnsi="微软雅黑" w:eastAsia="微软雅黑" w:cs="微软雅黑"/>
          <w:sz w:val="84"/>
          <w:szCs w:val="84"/>
        </w:rPr>
      </w:pPr>
    </w:p>
    <w:p w14:paraId="29224D5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3"/>
        <w:jc w:val="center"/>
        <w:rPr>
          <w:rFonts w:hint="eastAsia" w:ascii="微软雅黑" w:hAnsi="微软雅黑" w:eastAsia="微软雅黑" w:cs="微软雅黑"/>
          <w:b/>
          <w:bCs/>
          <w:sz w:val="72"/>
          <w:szCs w:val="72"/>
        </w:rPr>
      </w:pPr>
    </w:p>
    <w:p w14:paraId="36C01BF0">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72F94ED7">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3"/>
        <w:jc w:val="center"/>
        <w:rPr>
          <w:rFonts w:hint="eastAsia" w:ascii="微软雅黑" w:hAnsi="微软雅黑" w:eastAsia="微软雅黑" w:cs="微软雅黑"/>
          <w:sz w:val="72"/>
          <w:szCs w:val="72"/>
        </w:rPr>
      </w:pPr>
    </w:p>
    <w:p w14:paraId="0B052895">
      <w:pPr>
        <w:pStyle w:val="13"/>
        <w:jc w:val="center"/>
        <w:rPr>
          <w:rFonts w:hint="eastAsia" w:ascii="微软雅黑" w:hAnsi="微软雅黑" w:eastAsia="微软雅黑" w:cs="微软雅黑"/>
          <w:sz w:val="72"/>
          <w:szCs w:val="72"/>
        </w:rPr>
      </w:pPr>
    </w:p>
    <w:p w14:paraId="1A38A4B0">
      <w:pPr>
        <w:pStyle w:val="13"/>
        <w:jc w:val="center"/>
        <w:rPr>
          <w:rFonts w:hint="eastAsia" w:ascii="微软雅黑" w:hAnsi="微软雅黑" w:eastAsia="微软雅黑" w:cs="微软雅黑"/>
          <w:sz w:val="72"/>
          <w:szCs w:val="72"/>
        </w:rPr>
      </w:pPr>
    </w:p>
    <w:p w14:paraId="09AF1447">
      <w:pPr>
        <w:pStyle w:val="13"/>
        <w:jc w:val="center"/>
        <w:rPr>
          <w:rFonts w:hint="eastAsia" w:ascii="微软雅黑" w:hAnsi="微软雅黑" w:eastAsia="微软雅黑" w:cs="微软雅黑"/>
          <w:sz w:val="72"/>
          <w:szCs w:val="72"/>
        </w:rPr>
      </w:pPr>
    </w:p>
    <w:p w14:paraId="1AC08E3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3"/>
        <w:jc w:val="center"/>
        <w:rPr>
          <w:rFonts w:hint="eastAsia" w:ascii="微软雅黑" w:hAnsi="微软雅黑" w:eastAsia="微软雅黑" w:cs="微软雅黑"/>
          <w:b/>
          <w:bCs/>
          <w:sz w:val="70"/>
          <w:szCs w:val="70"/>
        </w:rPr>
      </w:pPr>
    </w:p>
    <w:p w14:paraId="2DD92FE3">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422B5A88">
      <w:pPr>
        <w:pStyle w:val="13"/>
        <w:jc w:val="center"/>
        <w:rPr>
          <w:rFonts w:hint="eastAsia" w:ascii="微软雅黑" w:hAnsi="微软雅黑" w:eastAsia="微软雅黑" w:cs="微软雅黑"/>
          <w:sz w:val="70"/>
          <w:szCs w:val="70"/>
        </w:rPr>
      </w:pPr>
    </w:p>
    <w:p w14:paraId="7701B91A">
      <w:pPr>
        <w:pStyle w:val="13"/>
        <w:jc w:val="center"/>
        <w:rPr>
          <w:rFonts w:hint="eastAsia" w:ascii="微软雅黑" w:hAnsi="微软雅黑" w:eastAsia="微软雅黑" w:cs="微软雅黑"/>
          <w:sz w:val="70"/>
          <w:szCs w:val="70"/>
        </w:rPr>
      </w:pPr>
    </w:p>
    <w:p w14:paraId="47981D21">
      <w:pPr>
        <w:pStyle w:val="13"/>
        <w:jc w:val="center"/>
        <w:rPr>
          <w:rFonts w:hint="eastAsia" w:ascii="微软雅黑" w:hAnsi="微软雅黑" w:eastAsia="微软雅黑" w:cs="微软雅黑"/>
          <w:sz w:val="70"/>
          <w:szCs w:val="70"/>
        </w:rPr>
      </w:pPr>
    </w:p>
    <w:p w14:paraId="17FCB2AF">
      <w:pPr>
        <w:pStyle w:val="13"/>
        <w:jc w:val="center"/>
        <w:rPr>
          <w:rFonts w:hint="eastAsia" w:ascii="微软雅黑" w:hAnsi="微软雅黑" w:eastAsia="微软雅黑" w:cs="微软雅黑"/>
          <w:sz w:val="70"/>
          <w:szCs w:val="70"/>
        </w:rPr>
      </w:pPr>
    </w:p>
    <w:p w14:paraId="2CA93B76">
      <w:pPr>
        <w:pStyle w:val="13"/>
        <w:jc w:val="center"/>
        <w:rPr>
          <w:rFonts w:hint="eastAsia" w:ascii="微软雅黑" w:hAnsi="微软雅黑" w:eastAsia="微软雅黑" w:cs="微软雅黑"/>
          <w:sz w:val="70"/>
          <w:szCs w:val="70"/>
        </w:rPr>
      </w:pPr>
    </w:p>
    <w:p w14:paraId="0AB426D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2A01CBA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157.34万元。与上年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增长10.04</w:t>
      </w:r>
      <w:r>
        <w:rPr>
          <w:rFonts w:ascii="微软雅黑" w:hAnsi="微软雅黑" w:eastAsia="微软雅黑" w:cs="微软雅黑"/>
          <w:sz w:val="32"/>
        </w:rPr>
        <w:t>万元，增长6.82%，主要</w:t>
      </w:r>
      <w:r>
        <w:rPr>
          <w:rFonts w:hint="eastAsia" w:ascii="微软雅黑" w:hAnsi="微软雅黑" w:eastAsia="微软雅黑" w:cs="微软雅黑"/>
          <w:sz w:val="32"/>
          <w:lang w:eastAsia="zh-CN"/>
        </w:rPr>
        <w:t>是因为</w:t>
      </w:r>
      <w:r>
        <w:rPr>
          <w:rFonts w:hint="eastAsia" w:ascii="微软雅黑" w:hAnsi="微软雅黑" w:eastAsia="微软雅黑" w:cs="微软雅黑"/>
          <w:sz w:val="32"/>
        </w:rPr>
        <w:t>基本工资的增加和培训收入的增加。</w:t>
      </w:r>
    </w:p>
    <w:p w14:paraId="2E3574C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5A062A5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157.34</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96.50万元，占61.33</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60.84万元，占</w:t>
      </w:r>
      <w:r>
        <w:rPr>
          <w:rFonts w:hint="eastAsia" w:ascii="微软雅黑" w:hAnsi="微软雅黑" w:eastAsia="微软雅黑" w:cs="微软雅黑"/>
          <w:sz w:val="32"/>
          <w:szCs w:val="32"/>
          <w:lang w:val="en-US" w:eastAsia="zh-CN"/>
        </w:rPr>
        <w:t>38.67</w:t>
      </w:r>
      <w:r>
        <w:rPr>
          <w:rFonts w:hint="eastAsia" w:ascii="微软雅黑" w:hAnsi="微软雅黑" w:eastAsia="微软雅黑" w:cs="微软雅黑"/>
          <w:sz w:val="32"/>
          <w:szCs w:val="32"/>
          <w:lang w:eastAsia="zh-CN"/>
        </w:rPr>
        <w:t>%。</w:t>
      </w:r>
    </w:p>
    <w:p w14:paraId="41B031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32E0D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年度支出合计157.34万元，其中：基本支出108.66万元，占69.06%；项目支出48.67万元，占30.93%；上缴上级支出0.00万元，占0.00%；经营支出0.00万元，占0.00%；对附属单位补助支出0.00万元，占0.00%。</w:t>
      </w:r>
    </w:p>
    <w:p w14:paraId="440FCE0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77D59DB0">
      <w:pPr>
        <w:pStyle w:val="13"/>
        <w:ind w:firstLine="640" w:firstLineChars="200"/>
        <w:rPr>
          <w:rFonts w:hint="eastAsia" w:ascii="宋体" w:hAnsi="宋体" w:eastAsia="宋体"/>
          <w:sz w:val="32"/>
          <w:szCs w:val="32"/>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年度财政拨款收、支总计96.50万元，与上年相比，增长16.73万元,增长20.97%，主要是因为</w:t>
      </w:r>
      <w:r>
        <w:rPr>
          <w:rFonts w:hint="eastAsia" w:ascii="微软雅黑" w:hAnsi="微软雅黑" w:eastAsia="微软雅黑" w:cs="微软雅黑"/>
          <w:sz w:val="32"/>
          <w:lang w:eastAsia="zh-CN"/>
        </w:rPr>
        <w:t>培训经费的增加。</w:t>
      </w:r>
    </w:p>
    <w:p w14:paraId="2DCAE4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0AEDEDE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年度财政拨款支出96.50万元，占本年支出合计的61.33</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增长16.73万元，增长20.97%，主要是因为</w:t>
      </w:r>
      <w:r>
        <w:rPr>
          <w:rFonts w:hint="eastAsia" w:ascii="微软雅黑" w:hAnsi="微软雅黑" w:eastAsia="微软雅黑" w:cs="微软雅黑"/>
          <w:sz w:val="32"/>
          <w:lang w:eastAsia="zh-CN"/>
        </w:rPr>
        <w:t>培训经费的增加。</w:t>
      </w:r>
    </w:p>
    <w:p w14:paraId="64556F6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38596DC1">
      <w:pPr>
        <w:pStyle w:val="13"/>
        <w:ind w:firstLine="640" w:firstLineChars="200"/>
        <w:rPr>
          <w:rFonts w:hint="eastAsia" w:ascii="Times New Roman" w:hAnsi="Times New Roman" w:eastAsia="仿宋_GB2312"/>
          <w:sz w:val="32"/>
          <w:szCs w:val="32"/>
          <w:lang w:val="en-US"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年度财政拨款支出96.50万元，主要用于以下方面：</w:t>
      </w:r>
      <w:r>
        <w:rPr>
          <w:rFonts w:hint="eastAsia" w:ascii="微软雅黑" w:hAnsi="微软雅黑" w:eastAsia="微软雅黑" w:cs="微软雅黑"/>
          <w:sz w:val="32"/>
        </w:rPr>
        <w:t>一般公共服务（类）支出1.</w:t>
      </w:r>
      <w:r>
        <w:rPr>
          <w:rFonts w:hint="eastAsia" w:ascii="微软雅黑" w:hAnsi="微软雅黑" w:eastAsia="微软雅黑" w:cs="微软雅黑"/>
          <w:sz w:val="32"/>
          <w:lang w:val="en-US" w:eastAsia="zh-CN"/>
        </w:rPr>
        <w:t>5</w:t>
      </w:r>
      <w:r>
        <w:rPr>
          <w:rFonts w:hint="eastAsia" w:ascii="微软雅黑" w:hAnsi="微软雅黑" w:eastAsia="微软雅黑" w:cs="微软雅黑"/>
          <w:sz w:val="32"/>
        </w:rPr>
        <w:t>万元，占1%；社会保障和就业（类）支出</w:t>
      </w:r>
      <w:r>
        <w:rPr>
          <w:rFonts w:hint="eastAsia" w:ascii="微软雅黑" w:hAnsi="微软雅黑" w:eastAsia="微软雅黑" w:cs="微软雅黑"/>
          <w:sz w:val="32"/>
          <w:lang w:val="en-US" w:eastAsia="zh-CN"/>
        </w:rPr>
        <w:t>6.19</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4</w:t>
      </w:r>
      <w:r>
        <w:rPr>
          <w:rFonts w:hint="eastAsia" w:ascii="微软雅黑" w:hAnsi="微软雅黑" w:eastAsia="微软雅黑" w:cs="微软雅黑"/>
          <w:sz w:val="32"/>
        </w:rPr>
        <w:t>%;卫生健康（类）支出</w:t>
      </w:r>
      <w:r>
        <w:rPr>
          <w:rFonts w:hint="eastAsia" w:ascii="微软雅黑" w:hAnsi="微软雅黑" w:eastAsia="微软雅黑" w:cs="微软雅黑"/>
          <w:sz w:val="32"/>
          <w:lang w:val="en-US" w:eastAsia="zh-CN"/>
        </w:rPr>
        <w:t>4.48</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3</w:t>
      </w:r>
      <w:r>
        <w:rPr>
          <w:rFonts w:hint="eastAsia" w:ascii="微软雅黑" w:hAnsi="微软雅黑" w:eastAsia="微软雅黑" w:cs="微软雅黑"/>
          <w:sz w:val="32"/>
        </w:rPr>
        <w:t>%;农林水（类）支出</w:t>
      </w:r>
      <w:r>
        <w:rPr>
          <w:rFonts w:hint="eastAsia" w:ascii="微软雅黑" w:hAnsi="微软雅黑" w:eastAsia="微软雅黑" w:cs="微软雅黑"/>
          <w:sz w:val="32"/>
          <w:lang w:val="en-US" w:eastAsia="zh-CN"/>
        </w:rPr>
        <w:t>78.46</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50</w:t>
      </w:r>
      <w:r>
        <w:rPr>
          <w:rFonts w:hint="eastAsia" w:ascii="微软雅黑" w:hAnsi="微软雅黑" w:eastAsia="微软雅黑" w:cs="微软雅黑"/>
          <w:sz w:val="32"/>
        </w:rPr>
        <w:t>%;住房保障（类）支出5.</w:t>
      </w:r>
      <w:r>
        <w:rPr>
          <w:rFonts w:hint="eastAsia" w:ascii="微软雅黑" w:hAnsi="微软雅黑" w:eastAsia="微软雅黑" w:cs="微软雅黑"/>
          <w:sz w:val="32"/>
          <w:lang w:val="en-US" w:eastAsia="zh-CN"/>
        </w:rPr>
        <w:t>87</w:t>
      </w:r>
      <w:r>
        <w:rPr>
          <w:rFonts w:hint="eastAsia" w:ascii="微软雅黑" w:hAnsi="微软雅黑" w:eastAsia="微软雅黑" w:cs="微软雅黑"/>
          <w:sz w:val="32"/>
        </w:rPr>
        <w:t>万元，占</w:t>
      </w:r>
      <w:r>
        <w:rPr>
          <w:rFonts w:hint="eastAsia" w:ascii="微软雅黑" w:hAnsi="微软雅黑" w:eastAsia="微软雅黑" w:cs="微软雅黑"/>
          <w:sz w:val="32"/>
          <w:lang w:val="en-US" w:eastAsia="zh-CN"/>
        </w:rPr>
        <w:t>3</w:t>
      </w:r>
      <w:r>
        <w:rPr>
          <w:rFonts w:hint="eastAsia" w:ascii="微软雅黑" w:hAnsi="微软雅黑" w:eastAsia="微软雅黑" w:cs="微软雅黑"/>
          <w:sz w:val="32"/>
        </w:rPr>
        <w:t>%</w:t>
      </w:r>
      <w:r>
        <w:rPr>
          <w:rFonts w:hint="eastAsia" w:ascii="微软雅黑" w:hAnsi="微软雅黑" w:eastAsia="微软雅黑" w:cs="微软雅黑"/>
          <w:sz w:val="32"/>
          <w:lang w:eastAsia="zh-CN"/>
        </w:rPr>
        <w:t>，其他支出</w:t>
      </w:r>
      <w:r>
        <w:rPr>
          <w:rFonts w:hint="eastAsia" w:ascii="微软雅黑" w:hAnsi="微软雅黑" w:eastAsia="微软雅黑" w:cs="微软雅黑"/>
          <w:sz w:val="32"/>
          <w:lang w:val="en-US" w:eastAsia="zh-CN"/>
        </w:rPr>
        <w:t>60.84万元，</w:t>
      </w:r>
      <w:r>
        <w:rPr>
          <w:rFonts w:hint="eastAsia" w:ascii="微软雅黑" w:hAnsi="微软雅黑" w:eastAsia="微软雅黑" w:cs="微软雅黑"/>
          <w:sz w:val="32"/>
        </w:rPr>
        <w:t>占</w:t>
      </w:r>
      <w:r>
        <w:rPr>
          <w:rFonts w:hint="eastAsia" w:ascii="微软雅黑" w:hAnsi="微软雅黑" w:eastAsia="微软雅黑" w:cs="微软雅黑"/>
          <w:sz w:val="32"/>
          <w:lang w:val="en-US" w:eastAsia="zh-CN"/>
        </w:rPr>
        <w:t>39</w:t>
      </w:r>
      <w:r>
        <w:rPr>
          <w:rFonts w:hint="eastAsia" w:ascii="微软雅黑" w:hAnsi="微软雅黑" w:eastAsia="微软雅黑" w:cs="微软雅黑"/>
          <w:sz w:val="32"/>
        </w:rPr>
        <w:t>%</w:t>
      </w:r>
      <w:r>
        <w:rPr>
          <w:rFonts w:hint="eastAsia" w:ascii="微软雅黑" w:hAnsi="微软雅黑" w:eastAsia="微软雅黑" w:cs="微软雅黑"/>
          <w:sz w:val="32"/>
          <w:lang w:eastAsia="zh-CN"/>
        </w:rPr>
        <w:t>。</w:t>
      </w:r>
    </w:p>
    <w:p w14:paraId="6418407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40FE352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年度财政拨款支出年初预算数为87.16万元，支出决算数为96.50</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110.72</w:t>
      </w:r>
      <w:r>
        <w:rPr>
          <w:rFonts w:hint="eastAsia" w:ascii="微软雅黑" w:hAnsi="微软雅黑" w:eastAsia="微软雅黑" w:cs="微软雅黑"/>
          <w:sz w:val="32"/>
          <w:szCs w:val="32"/>
          <w:lang w:eastAsia="zh-CN"/>
        </w:rPr>
        <w:t>%，其中：</w:t>
      </w:r>
    </w:p>
    <w:p w14:paraId="744CA112">
      <w:pPr>
        <w:pStyle w:val="13"/>
        <w:spacing w:line="600" w:lineRule="exact"/>
        <w:ind w:firstLine="640" w:firstLineChars="200"/>
        <w:rPr>
          <w:rFonts w:ascii="微软雅黑" w:hAnsi="微软雅黑" w:eastAsia="微软雅黑" w:cs="微软雅黑"/>
          <w:sz w:val="32"/>
        </w:rPr>
      </w:pPr>
      <w:r>
        <w:rPr>
          <w:rFonts w:hint="eastAsia" w:ascii="微软雅黑" w:hAnsi="微软雅黑" w:eastAsia="微软雅黑" w:cs="微软雅黑"/>
          <w:sz w:val="32"/>
        </w:rPr>
        <w:t>1、农林水支出-农业农村-科技转换与推广服务。</w:t>
      </w:r>
    </w:p>
    <w:p w14:paraId="0D75B84F">
      <w:pPr>
        <w:pStyle w:val="13"/>
        <w:spacing w:line="600" w:lineRule="exact"/>
        <w:ind w:firstLine="640" w:firstLineChars="200"/>
        <w:rPr>
          <w:rFonts w:hint="eastAsia" w:ascii="微软雅黑" w:hAnsi="微软雅黑" w:eastAsia="微软雅黑" w:cs="微软雅黑"/>
          <w:sz w:val="32"/>
          <w:lang w:eastAsia="zh-CN"/>
        </w:rPr>
      </w:pPr>
      <w:r>
        <w:rPr>
          <w:rFonts w:hint="eastAsia" w:ascii="微软雅黑" w:hAnsi="微软雅黑" w:eastAsia="微软雅黑" w:cs="微软雅黑"/>
          <w:sz w:val="32"/>
        </w:rPr>
        <w:t>年初预算为</w:t>
      </w:r>
      <w:r>
        <w:rPr>
          <w:rFonts w:hint="eastAsia" w:ascii="微软雅黑" w:hAnsi="微软雅黑" w:eastAsia="微软雅黑" w:cs="微软雅黑"/>
          <w:sz w:val="32"/>
          <w:lang w:val="en-US" w:eastAsia="zh-CN"/>
        </w:rPr>
        <w:t>68.82</w:t>
      </w:r>
      <w:r>
        <w:rPr>
          <w:rFonts w:hint="eastAsia" w:ascii="微软雅黑" w:hAnsi="微软雅黑" w:eastAsia="微软雅黑" w:cs="微软雅黑"/>
          <w:sz w:val="32"/>
        </w:rPr>
        <w:t>万元，支出决算为</w:t>
      </w:r>
      <w:r>
        <w:rPr>
          <w:rFonts w:hint="eastAsia" w:ascii="微软雅黑" w:hAnsi="微软雅黑" w:eastAsia="微软雅黑" w:cs="微软雅黑"/>
          <w:sz w:val="32"/>
          <w:lang w:val="en-US" w:eastAsia="zh-CN"/>
        </w:rPr>
        <w:t>78.46</w:t>
      </w:r>
      <w:r>
        <w:rPr>
          <w:rFonts w:hint="eastAsia" w:ascii="微软雅黑" w:hAnsi="微软雅黑" w:eastAsia="微软雅黑" w:cs="微软雅黑"/>
          <w:sz w:val="32"/>
        </w:rPr>
        <w:t>万元，完成年初预算的1</w:t>
      </w:r>
      <w:r>
        <w:rPr>
          <w:rFonts w:hint="eastAsia" w:ascii="微软雅黑" w:hAnsi="微软雅黑" w:eastAsia="微软雅黑" w:cs="微软雅黑"/>
          <w:sz w:val="32"/>
          <w:lang w:val="en-US" w:eastAsia="zh-CN"/>
        </w:rPr>
        <w:t>14</w:t>
      </w:r>
      <w:r>
        <w:rPr>
          <w:rFonts w:hint="eastAsia" w:ascii="微软雅黑" w:hAnsi="微软雅黑" w:eastAsia="微软雅黑" w:cs="微软雅黑"/>
          <w:sz w:val="32"/>
        </w:rPr>
        <w:t>%，决算数大于年初预算数的主要原因是</w:t>
      </w:r>
      <w:r>
        <w:rPr>
          <w:rFonts w:hint="eastAsia" w:ascii="微软雅黑" w:hAnsi="微软雅黑" w:eastAsia="微软雅黑" w:cs="微软雅黑"/>
          <w:sz w:val="32"/>
          <w:lang w:eastAsia="zh-CN"/>
        </w:rPr>
        <w:t>：培训经费的增加。</w:t>
      </w:r>
    </w:p>
    <w:p w14:paraId="17115844">
      <w:pPr>
        <w:pStyle w:val="13"/>
        <w:spacing w:line="600" w:lineRule="exact"/>
        <w:ind w:firstLine="640" w:firstLineChars="200"/>
        <w:rPr>
          <w:rFonts w:ascii="微软雅黑" w:hAnsi="微软雅黑" w:eastAsia="微软雅黑" w:cs="微软雅黑"/>
          <w:sz w:val="32"/>
        </w:rPr>
      </w:pPr>
      <w:r>
        <w:rPr>
          <w:rFonts w:hint="eastAsia" w:ascii="微软雅黑" w:hAnsi="微软雅黑" w:eastAsia="微软雅黑" w:cs="微软雅黑"/>
          <w:sz w:val="32"/>
        </w:rPr>
        <w:t>2、一般公共服务支出-政府办公厅（室）及相关机构事务-其他政府办公厅（室）及相关机构事务支出。</w:t>
      </w:r>
    </w:p>
    <w:p w14:paraId="7BFE14BA">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年初预算为0万元，支出决算为1</w:t>
      </w:r>
      <w:r>
        <w:rPr>
          <w:rFonts w:hint="eastAsia" w:ascii="微软雅黑" w:hAnsi="微软雅黑" w:eastAsia="微软雅黑" w:cs="微软雅黑"/>
          <w:sz w:val="32"/>
          <w:lang w:val="en-US" w:eastAsia="zh-CN"/>
        </w:rPr>
        <w:t>.5</w:t>
      </w:r>
      <w:r>
        <w:rPr>
          <w:rFonts w:hint="eastAsia" w:ascii="微软雅黑" w:hAnsi="微软雅黑" w:eastAsia="微软雅黑" w:cs="微软雅黑"/>
          <w:sz w:val="32"/>
        </w:rPr>
        <w:t>万元，完成年初预算的1</w:t>
      </w:r>
      <w:r>
        <w:rPr>
          <w:rFonts w:hint="eastAsia" w:ascii="微软雅黑" w:hAnsi="微软雅黑" w:eastAsia="微软雅黑" w:cs="微软雅黑"/>
          <w:sz w:val="32"/>
          <w:lang w:val="en-US" w:eastAsia="zh-CN"/>
        </w:rPr>
        <w:t>5</w:t>
      </w:r>
      <w:r>
        <w:rPr>
          <w:rFonts w:hint="eastAsia" w:ascii="微软雅黑" w:hAnsi="微软雅黑" w:eastAsia="微软雅黑" w:cs="微软雅黑"/>
          <w:sz w:val="32"/>
        </w:rPr>
        <w:t>0%，决算数大于年初预算数的主要原因是：年底增补工资的追加。</w:t>
      </w:r>
    </w:p>
    <w:p w14:paraId="31140F98">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社会保障和就业支出—行政事业单位—机关事业单位基本养老保险缴费支出</w:t>
      </w:r>
    </w:p>
    <w:p w14:paraId="48FA90D9">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年初预算为</w:t>
      </w:r>
      <w:r>
        <w:rPr>
          <w:rFonts w:hint="eastAsia" w:ascii="微软雅黑" w:hAnsi="微软雅黑" w:eastAsia="微软雅黑" w:cs="微软雅黑"/>
          <w:sz w:val="32"/>
          <w:lang w:val="en-US" w:eastAsia="zh-CN"/>
        </w:rPr>
        <w:t>8.1</w:t>
      </w:r>
      <w:r>
        <w:rPr>
          <w:rFonts w:hint="eastAsia" w:ascii="微软雅黑" w:hAnsi="微软雅黑" w:eastAsia="微软雅黑" w:cs="微软雅黑"/>
          <w:sz w:val="32"/>
        </w:rPr>
        <w:t>万元，支出决算为</w:t>
      </w:r>
      <w:r>
        <w:rPr>
          <w:rFonts w:hint="eastAsia" w:ascii="微软雅黑" w:hAnsi="微软雅黑" w:eastAsia="微软雅黑" w:cs="微软雅黑"/>
          <w:sz w:val="32"/>
          <w:lang w:val="en-US" w:eastAsia="zh-CN"/>
        </w:rPr>
        <w:t>6.19</w:t>
      </w:r>
      <w:r>
        <w:rPr>
          <w:rFonts w:hint="eastAsia" w:ascii="微软雅黑" w:hAnsi="微软雅黑" w:eastAsia="微软雅黑" w:cs="微软雅黑"/>
          <w:sz w:val="32"/>
        </w:rPr>
        <w:t>万元，完成年初预算的</w:t>
      </w:r>
      <w:r>
        <w:rPr>
          <w:rFonts w:hint="eastAsia" w:ascii="微软雅黑" w:hAnsi="微软雅黑" w:eastAsia="微软雅黑" w:cs="微软雅黑"/>
          <w:sz w:val="32"/>
          <w:lang w:val="en-US" w:eastAsia="zh-CN"/>
        </w:rPr>
        <w:t>76</w:t>
      </w:r>
      <w:r>
        <w:rPr>
          <w:rFonts w:hint="eastAsia" w:ascii="微软雅黑" w:hAnsi="微软雅黑" w:eastAsia="微软雅黑" w:cs="微软雅黑"/>
          <w:sz w:val="32"/>
        </w:rPr>
        <w:t>%，决</w:t>
      </w:r>
      <w:r>
        <w:rPr>
          <w:rFonts w:hint="eastAsia" w:ascii="微软雅黑" w:hAnsi="微软雅黑" w:eastAsia="微软雅黑" w:cs="微软雅黑"/>
          <w:sz w:val="32"/>
          <w:highlight w:val="none"/>
        </w:rPr>
        <w:t>算数</w:t>
      </w:r>
      <w:r>
        <w:rPr>
          <w:rFonts w:hint="eastAsia" w:ascii="微软雅黑" w:hAnsi="微软雅黑" w:eastAsia="微软雅黑" w:cs="微软雅黑"/>
          <w:sz w:val="32"/>
          <w:highlight w:val="none"/>
          <w:lang w:eastAsia="zh-CN"/>
        </w:rPr>
        <w:t>小于</w:t>
      </w:r>
      <w:r>
        <w:rPr>
          <w:rFonts w:hint="eastAsia" w:ascii="微软雅黑" w:hAnsi="微软雅黑" w:eastAsia="微软雅黑" w:cs="微软雅黑"/>
          <w:sz w:val="32"/>
          <w:highlight w:val="none"/>
        </w:rPr>
        <w:t>年初预算数</w:t>
      </w:r>
      <w:r>
        <w:rPr>
          <w:rFonts w:hint="eastAsia" w:ascii="微软雅黑" w:hAnsi="微软雅黑" w:eastAsia="微软雅黑" w:cs="微软雅黑"/>
          <w:sz w:val="32"/>
          <w:highlight w:val="none"/>
          <w:lang w:eastAsia="zh-CN"/>
        </w:rPr>
        <w:t>是因为执行过程中功能科目误用，导致未完成年初预算数</w:t>
      </w:r>
      <w:r>
        <w:rPr>
          <w:rFonts w:hint="eastAsia" w:ascii="微软雅黑" w:hAnsi="微软雅黑" w:eastAsia="微软雅黑" w:cs="微软雅黑"/>
          <w:sz w:val="32"/>
          <w:highlight w:val="none"/>
        </w:rPr>
        <w:t>。</w:t>
      </w:r>
    </w:p>
    <w:p w14:paraId="53D85E9E">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卫生健康支出—行政事业单位医疗—行政单位医疗</w:t>
      </w:r>
    </w:p>
    <w:p w14:paraId="04CFADCE">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年初预算为</w:t>
      </w:r>
      <w:r>
        <w:rPr>
          <w:rFonts w:hint="eastAsia" w:ascii="微软雅黑" w:hAnsi="微软雅黑" w:eastAsia="微软雅黑" w:cs="微软雅黑"/>
          <w:sz w:val="32"/>
          <w:lang w:val="en-US" w:eastAsia="zh-CN"/>
        </w:rPr>
        <w:t>4.52</w:t>
      </w:r>
      <w:r>
        <w:rPr>
          <w:rFonts w:hint="eastAsia" w:ascii="微软雅黑" w:hAnsi="微软雅黑" w:eastAsia="微软雅黑" w:cs="微软雅黑"/>
          <w:sz w:val="32"/>
        </w:rPr>
        <w:t>万元，支出决算为</w:t>
      </w:r>
      <w:r>
        <w:rPr>
          <w:rFonts w:hint="eastAsia" w:ascii="微软雅黑" w:hAnsi="微软雅黑" w:eastAsia="微软雅黑" w:cs="微软雅黑"/>
          <w:sz w:val="32"/>
          <w:lang w:val="en-US" w:eastAsia="zh-CN"/>
        </w:rPr>
        <w:t>4.48</w:t>
      </w:r>
      <w:r>
        <w:rPr>
          <w:rFonts w:hint="eastAsia" w:ascii="微软雅黑" w:hAnsi="微软雅黑" w:eastAsia="微软雅黑" w:cs="微软雅黑"/>
          <w:sz w:val="32"/>
        </w:rPr>
        <w:t>万元，完成年初预算的99%，决算数与年初预算数基本一致。</w:t>
      </w:r>
    </w:p>
    <w:p w14:paraId="2FD064DA">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住房保障支出—住房改革支出—住房公积金</w:t>
      </w:r>
    </w:p>
    <w:p w14:paraId="0F30C0F6">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rPr>
        <w:t>年初预算为5.</w:t>
      </w:r>
      <w:r>
        <w:rPr>
          <w:rFonts w:hint="eastAsia" w:ascii="微软雅黑" w:hAnsi="微软雅黑" w:eastAsia="微软雅黑" w:cs="微软雅黑"/>
          <w:sz w:val="32"/>
          <w:lang w:val="en-US" w:eastAsia="zh-CN"/>
        </w:rPr>
        <w:t>72</w:t>
      </w:r>
      <w:r>
        <w:rPr>
          <w:rFonts w:hint="eastAsia" w:ascii="微软雅黑" w:hAnsi="微软雅黑" w:eastAsia="微软雅黑" w:cs="微软雅黑"/>
          <w:sz w:val="32"/>
        </w:rPr>
        <w:t>万元，支出决算为5.</w:t>
      </w:r>
      <w:r>
        <w:rPr>
          <w:rFonts w:hint="eastAsia" w:ascii="微软雅黑" w:hAnsi="微软雅黑" w:eastAsia="微软雅黑" w:cs="微软雅黑"/>
          <w:sz w:val="32"/>
          <w:lang w:val="en-US" w:eastAsia="zh-CN"/>
        </w:rPr>
        <w:t>87</w:t>
      </w:r>
      <w:r>
        <w:rPr>
          <w:rFonts w:hint="eastAsia" w:ascii="微软雅黑" w:hAnsi="微软雅黑" w:eastAsia="微软雅黑" w:cs="微软雅黑"/>
          <w:sz w:val="32"/>
        </w:rPr>
        <w:t>万元，完成年初预算的10</w:t>
      </w:r>
      <w:r>
        <w:rPr>
          <w:rFonts w:hint="eastAsia" w:ascii="微软雅黑" w:hAnsi="微软雅黑" w:eastAsia="微软雅黑" w:cs="微软雅黑"/>
          <w:sz w:val="32"/>
          <w:lang w:val="en-US" w:eastAsia="zh-CN"/>
        </w:rPr>
        <w:t>2</w:t>
      </w:r>
      <w:r>
        <w:rPr>
          <w:rFonts w:hint="eastAsia" w:ascii="微软雅黑" w:hAnsi="微软雅黑" w:eastAsia="微软雅黑" w:cs="微软雅黑"/>
          <w:sz w:val="32"/>
        </w:rPr>
        <w:t>%，决算数与年初预算数基本一致。</w:t>
      </w:r>
    </w:p>
    <w:p w14:paraId="5C5C91D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年度财政拨款基本支出96.50万元，其中：</w:t>
      </w:r>
    </w:p>
    <w:p w14:paraId="4C890ACF">
      <w:pPr>
        <w:pStyle w:val="13"/>
        <w:spacing w:line="600" w:lineRule="exact"/>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93.12万元，占基本支出的96.50%,</w:t>
      </w:r>
      <w:r>
        <w:rPr>
          <w:rFonts w:hint="eastAsia" w:ascii="微软雅黑" w:hAnsi="微软雅黑" w:eastAsia="微软雅黑" w:cs="微软雅黑"/>
          <w:sz w:val="32"/>
        </w:rPr>
        <w:t>主要包括基本工资、津贴补贴、奖金、绩效工资、机关事业单位基本养老保险缴费、职业年金缴费、 职工基本医疗保险缴费、公务员医疗补助缴费、其他社会保障缴费、住房公积金、对个人和家庭的补助。</w:t>
      </w:r>
    </w:p>
    <w:p w14:paraId="2B8E5F8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3.38万元，占基本支出的</w:t>
      </w:r>
      <w:r>
        <w:rPr>
          <w:rFonts w:hint="eastAsia" w:ascii="微软雅黑" w:hAnsi="微软雅黑" w:eastAsia="微软雅黑" w:cs="微软雅黑"/>
          <w:sz w:val="32"/>
          <w:szCs w:val="32"/>
          <w:lang w:val="en-US" w:eastAsia="zh-CN"/>
        </w:rPr>
        <w:t>3.50</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rPr>
        <w:t>主要包括办公费、电费、物业管理费、公务接待费、 工会经费、其他交通费用、其他商品和服务支出。</w:t>
      </w:r>
    </w:p>
    <w:p w14:paraId="186AF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66931FE8">
      <w:pPr>
        <w:pStyle w:val="13"/>
        <w:ind w:firstLine="640" w:firstLineChars="200"/>
        <w:rPr>
          <w:rFonts w:hint="eastAsia" w:ascii="微软雅黑" w:hAnsi="微软雅黑" w:eastAsia="微软雅黑" w:cs="微软雅黑"/>
          <w:sz w:val="32"/>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w:t>
      </w:r>
      <w:r>
        <w:rPr>
          <w:rFonts w:hint="eastAsia" w:ascii="微软雅黑" w:hAnsi="微软雅黑" w:eastAsia="微软雅黑" w:cs="微软雅黑"/>
          <w:sz w:val="32"/>
        </w:rPr>
        <w:t>本单位无政府性基金预算财政拨款收支。</w:t>
      </w:r>
    </w:p>
    <w:p w14:paraId="798CB96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11B59B27">
      <w:pPr>
        <w:pStyle w:val="13"/>
        <w:ind w:firstLine="640" w:firstLineChars="20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w:t>
      </w:r>
      <w:r>
        <w:rPr>
          <w:rFonts w:hint="eastAsia" w:ascii="微软雅黑" w:hAnsi="微软雅黑" w:eastAsia="微软雅黑" w:cs="微软雅黑"/>
          <w:sz w:val="32"/>
          <w:szCs w:val="32"/>
          <w:lang w:eastAsia="zh-CN"/>
        </w:rPr>
        <w:t>本单位无国有资本经营预算财政拨款支出。</w:t>
      </w:r>
    </w:p>
    <w:p w14:paraId="03EF82A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0.5</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0.5</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100.00</w:t>
      </w:r>
      <w:r>
        <w:rPr>
          <w:rFonts w:hint="eastAsia" w:ascii="微软雅黑" w:hAnsi="微软雅黑" w:eastAsia="微软雅黑" w:cs="微软雅黑"/>
          <w:sz w:val="32"/>
          <w:szCs w:val="32"/>
        </w:rPr>
        <w:t>%，其中：</w:t>
      </w:r>
    </w:p>
    <w:p w14:paraId="62846F5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因公出国（境）费支出预算为0万元，支出决算为0万元，完成预算的0%，与上年相比减少（增加）0万元，减少（增长）0%。</w:t>
      </w:r>
    </w:p>
    <w:p w14:paraId="0C42673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ascii="微软雅黑" w:hAnsi="微软雅黑" w:eastAsia="微软雅黑" w:cs="微软雅黑"/>
          <w:sz w:val="32"/>
        </w:rPr>
        <w:t>0.5</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0.5</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100.00</w:t>
      </w:r>
      <w:r>
        <w:rPr>
          <w:rFonts w:hint="eastAsia" w:ascii="微软雅黑" w:hAnsi="微软雅黑" w:eastAsia="微软雅黑" w:cs="微软雅黑"/>
          <w:sz w:val="32"/>
          <w:szCs w:val="32"/>
        </w:rPr>
        <w:t>%，决算数</w:t>
      </w:r>
      <w:r>
        <w:rPr>
          <w:rFonts w:hint="eastAsia" w:ascii="微软雅黑" w:hAnsi="微软雅黑" w:eastAsia="微软雅黑" w:cs="微软雅黑"/>
          <w:sz w:val="32"/>
          <w:szCs w:val="32"/>
          <w:lang w:eastAsia="zh-CN"/>
        </w:rPr>
        <w:t>与预算数基本一致。</w:t>
      </w:r>
    </w:p>
    <w:p w14:paraId="1A844BF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公务用车购置费支出预算为0万元，支出决算为0万元，完成预算的0%，与上年相比减少（增加）0万元，减少（增长）0%。</w:t>
      </w:r>
    </w:p>
    <w:p w14:paraId="40A616B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公务用车运行维护费支出预算为0万元，支出决算为0万元，完成预算的0%，与上年相比减少（增加）0万元，减少（增长）0%。</w:t>
      </w:r>
    </w:p>
    <w:p w14:paraId="7130F27B">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0.5</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0CAE1285">
      <w:pPr>
        <w:pStyle w:val="13"/>
        <w:spacing w:line="600" w:lineRule="exact"/>
        <w:ind w:firstLine="640" w:firstLineChars="200"/>
        <w:rPr>
          <w:rFonts w:ascii="Times New Roman" w:hAnsi="Times New Roman" w:eastAsia="仿宋_GB2312"/>
          <w:sz w:val="32"/>
          <w:szCs w:val="32"/>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因公出国（境）费支出决算为0万元，全年无安排因公出国（境）团组0个，累计0人次。</w:t>
      </w:r>
    </w:p>
    <w:p w14:paraId="56D6A242">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0.5</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17</w:t>
      </w:r>
      <w:r>
        <w:rPr>
          <w:rFonts w:hint="eastAsia" w:ascii="微软雅黑" w:hAnsi="微软雅黑" w:eastAsia="微软雅黑" w:cs="微软雅黑"/>
          <w:sz w:val="32"/>
          <w:szCs w:val="32"/>
        </w:rPr>
        <w:t>个、来宾1</w:t>
      </w:r>
      <w:r>
        <w:rPr>
          <w:rFonts w:hint="eastAsia" w:ascii="微软雅黑" w:hAnsi="微软雅黑" w:eastAsia="微软雅黑" w:cs="微软雅黑"/>
          <w:sz w:val="32"/>
          <w:szCs w:val="32"/>
          <w:lang w:val="en-US" w:eastAsia="zh-CN"/>
        </w:rPr>
        <w:t>35</w:t>
      </w:r>
      <w:r>
        <w:rPr>
          <w:rFonts w:hint="eastAsia" w:ascii="微软雅黑" w:hAnsi="微软雅黑" w:eastAsia="微软雅黑" w:cs="微软雅黑"/>
          <w:sz w:val="32"/>
          <w:szCs w:val="32"/>
        </w:rPr>
        <w:t>人次，主要是联系培训业务发生的接待支出。</w:t>
      </w:r>
    </w:p>
    <w:p w14:paraId="03BADE46">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3、</w:t>
      </w:r>
      <w:r>
        <w:rPr>
          <w:rFonts w:hint="eastAsia" w:ascii="微软雅黑" w:hAnsi="微软雅黑" w:eastAsia="微软雅黑" w:cs="微软雅黑"/>
          <w:color w:val="000000"/>
          <w:kern w:val="0"/>
          <w:sz w:val="32"/>
          <w:szCs w:val="32"/>
          <w:lang w:val="en-US" w:eastAsia="zh-CN" w:bidi="ar-SA"/>
        </w:rPr>
        <w:t>公务用车购置费及运行维护费支出决算为0万元，其中：公务用车购置费0万元，本级更新公务用车0辆。公务用车运行维护费0万元，截至2022年12月31日，我单位开支财政拨款的公务用车保有量为0辆。</w:t>
      </w:r>
    </w:p>
    <w:p w14:paraId="1B4472FB">
      <w:pPr>
        <w:pStyle w:val="13"/>
        <w:keepNext w:val="0"/>
        <w:keepLines w:val="0"/>
        <w:pageBreakBefore w:val="0"/>
        <w:widowControl w:val="0"/>
        <w:kinsoku/>
        <w:wordWrap/>
        <w:overflowPunct/>
        <w:topLinePunct w:val="0"/>
        <w:bidi w:val="0"/>
        <w:snapToGrid/>
        <w:spacing w:line="600" w:lineRule="exact"/>
        <w:ind w:firstLine="320" w:firstLineChars="1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123123BA">
      <w:pPr>
        <w:pStyle w:val="13"/>
        <w:ind w:firstLine="640" w:firstLineChars="200"/>
        <w:rPr>
          <w:rFonts w:hint="eastAsia" w:ascii="微软雅黑" w:hAnsi="微软雅黑" w:eastAsia="微软雅黑" w:cs="微软雅黑"/>
          <w:sz w:val="32"/>
          <w:szCs w:val="32"/>
        </w:rPr>
      </w:pPr>
      <w:r>
        <w:rPr>
          <w:rFonts w:hint="eastAsia" w:ascii="微软雅黑" w:hAnsi="微软雅黑" w:eastAsia="微软雅黑" w:cs="微软雅黑"/>
          <w:sz w:val="32"/>
          <w:szCs w:val="32"/>
        </w:rPr>
        <w:t>本级和所属单位均为事业单位，按照机关运行经费的口径，本年度机关运行经费为0。</w:t>
      </w:r>
    </w:p>
    <w:p w14:paraId="5835FDE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305D90A1">
      <w:pPr>
        <w:pStyle w:val="13"/>
        <w:ind w:firstLine="640" w:firstLineChars="200"/>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w:t>
      </w:r>
      <w:r>
        <w:rPr>
          <w:rFonts w:hint="eastAsia" w:ascii="微软雅黑" w:hAnsi="微软雅黑" w:eastAsia="微软雅黑" w:cs="微软雅黑"/>
          <w:sz w:val="32"/>
          <w:szCs w:val="32"/>
          <w:lang w:eastAsia="zh-CN"/>
        </w:rPr>
        <w:t>本部门</w:t>
      </w:r>
      <w:r>
        <w:rPr>
          <w:rFonts w:hint="eastAsia" w:ascii="微软雅黑" w:hAnsi="微软雅黑" w:eastAsia="微软雅黑" w:cs="微软雅黑"/>
          <w:sz w:val="32"/>
          <w:szCs w:val="32"/>
        </w:rPr>
        <w:t>开支会议费0万元；开支培训费0万元；未举办节庆、晚会、论坛、赛事活动，开支0万元。</w:t>
      </w:r>
    </w:p>
    <w:p w14:paraId="7C02C2C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72C3B2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0.9</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0.4</w:t>
      </w:r>
      <w:r>
        <w:rPr>
          <w:rFonts w:hint="eastAsia" w:ascii="微软雅黑" w:hAnsi="微软雅黑" w:eastAsia="微软雅黑" w:cs="微软雅黑"/>
          <w:sz w:val="32"/>
          <w:szCs w:val="32"/>
        </w:rPr>
        <w:t xml:space="preserve"> 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0.5</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0.9</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0.9</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100</w:t>
      </w:r>
      <w:r>
        <w:rPr>
          <w:rFonts w:hint="eastAsia" w:ascii="微软雅黑" w:hAnsi="微软雅黑" w:eastAsia="微软雅黑" w:cs="微软雅黑"/>
          <w:sz w:val="32"/>
          <w:szCs w:val="32"/>
        </w:rPr>
        <w:t>%。</w:t>
      </w:r>
    </w:p>
    <w:p w14:paraId="2E5EAD4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3D2B0BCA">
      <w:pPr>
        <w:pStyle w:val="13"/>
        <w:spacing w:line="600" w:lineRule="exact"/>
        <w:ind w:firstLine="640" w:firstLineChars="200"/>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截至2023年12月31日，本单位共有车辆0辆；单位价值50万元以上通用设备0台（套）；单位价值100万元以上专用设备0台（套）。</w:t>
      </w:r>
    </w:p>
    <w:p w14:paraId="109794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751FAFFB">
      <w:pPr>
        <w:autoSpaceDE w:val="0"/>
        <w:autoSpaceDN w:val="0"/>
        <w:adjustRightInd w:val="0"/>
        <w:ind w:firstLine="640" w:firstLineChars="200"/>
        <w:jc w:val="left"/>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2023年度一般公共预算项目支出全面开展绩效自评，其中，一级项目0个，二级项目0个，共涉及资金0万元，占一般公共预算项目支出总额的0%。组织对2022年度0个政府性基金预算项目支出开展绩效自评，共涉及资金0万元，占政府性基金预算项目支出总额的0%。组织对2022年度 0个国有资本经营预算项目支出开展绩效自评，共涉及资金0万元，占国有资本经营预算项目支出总额的0%。</w:t>
      </w:r>
    </w:p>
    <w:p w14:paraId="2E73A190">
      <w:pPr>
        <w:autoSpaceDE w:val="0"/>
        <w:autoSpaceDN w:val="0"/>
        <w:adjustRightInd w:val="0"/>
        <w:ind w:firstLine="640" w:firstLineChars="200"/>
        <w:jc w:val="left"/>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组织对0个项目开展了部门评价，涉及一般公共预算支出0万元，政府性基金预算支出0万元，国有资本经营预算支出0万元。</w:t>
      </w:r>
    </w:p>
    <w:p w14:paraId="74465547">
      <w:pPr>
        <w:autoSpaceDE w:val="0"/>
        <w:autoSpaceDN w:val="0"/>
        <w:adjustRightInd w:val="0"/>
        <w:ind w:firstLine="640" w:firstLineChars="200"/>
        <w:jc w:val="left"/>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农业广播电视学校”等1个单位开展整体支出绩效评价，涉及一般公共预算支出157.34万元，政府性基金预算支出0万元。从评价情况来看，2023年农业广播电视学校基本支出157.34万元，其中人员经费101.15万元，主要用于人员的基本工资福利支出、五险一金的缴纳；公用经费56.19万元，主要包括机关运行经费和各项培训费用的开支。公用经费中的“三公”经费合计0.5万元，其中公务接待费0.5万元，公务用车维护0万元，公务用车购置费0万元,因公出国0万元，无专项支出。2023年农业广播电视学校圆满完成了各项培训任务，其中短期技能培训600人、高素质农民教育培育140人、其他部门培训500人。通过培训使农民增产、增收。</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w:t>
      </w:r>
    </w:p>
    <w:p w14:paraId="7908257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无项目绩效自评</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30D83D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30DD0C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3337ABC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val="0"/>
          <w:iCs w:val="0"/>
          <w:color w:val="FF0000"/>
          <w:sz w:val="32"/>
          <w:szCs w:val="32"/>
          <w:lang w:val="en-US" w:eastAsia="zh-CN"/>
        </w:rPr>
      </w:pPr>
      <w:r>
        <w:rPr>
          <w:rFonts w:hint="eastAsia" w:ascii="微软雅黑" w:hAnsi="微软雅黑" w:eastAsia="微软雅黑" w:cs="微软雅黑"/>
          <w:b w:val="0"/>
          <w:bCs w:val="0"/>
          <w:i w:val="0"/>
          <w:iCs w:val="0"/>
          <w:color w:val="FF0000"/>
          <w:sz w:val="32"/>
          <w:szCs w:val="32"/>
          <w:lang w:val="en-US" w:eastAsia="zh-CN"/>
        </w:rPr>
        <w:t>（名词解释应包含本部门专有名词，如省财政厅应有对“财政事务”科目的解释，可参考中央相关部门的名词解释）</w:t>
      </w:r>
    </w:p>
    <w:p w14:paraId="7D5722C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3"/>
        <w:jc w:val="center"/>
        <w:rPr>
          <w:rFonts w:hint="eastAsia" w:ascii="微软雅黑" w:hAnsi="微软雅黑" w:eastAsia="微软雅黑" w:cs="微软雅黑"/>
          <w:sz w:val="72"/>
          <w:szCs w:val="72"/>
        </w:rPr>
      </w:pPr>
    </w:p>
    <w:p w14:paraId="74F01676">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NDUwNzRkNjE1MmRjZmExZGY2MWIyMWNkMWI1ZWI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91CE5"/>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9E387C"/>
    <w:rsid w:val="05482261"/>
    <w:rsid w:val="074309F6"/>
    <w:rsid w:val="07966D78"/>
    <w:rsid w:val="07E04F3D"/>
    <w:rsid w:val="096227F5"/>
    <w:rsid w:val="0AC57974"/>
    <w:rsid w:val="0F9016DB"/>
    <w:rsid w:val="0FE268D2"/>
    <w:rsid w:val="10A73DA4"/>
    <w:rsid w:val="11A63AC3"/>
    <w:rsid w:val="13135140"/>
    <w:rsid w:val="134641EF"/>
    <w:rsid w:val="136B7D14"/>
    <w:rsid w:val="15986B0A"/>
    <w:rsid w:val="15A64981"/>
    <w:rsid w:val="17D85E72"/>
    <w:rsid w:val="191A1185"/>
    <w:rsid w:val="1A4B623A"/>
    <w:rsid w:val="1EA13EB4"/>
    <w:rsid w:val="1F734658"/>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307A20"/>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42480A"/>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4167</Words>
  <Characters>4615</Characters>
  <Lines>63</Lines>
  <Paragraphs>18</Paragraphs>
  <TotalTime>38</TotalTime>
  <ScaleCrop>false</ScaleCrop>
  <LinksUpToDate>false</LinksUpToDate>
  <CharactersWithSpaces>4637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红梅</cp:lastModifiedBy>
  <cp:lastPrinted>2023-08-15T09:28:00Z</cp:lastPrinted>
  <dcterms:modified xsi:type="dcterms:W3CDTF">2024-10-11T02:26:44Z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A02BB88D53E042CABC1DBA7A82778C93_13</vt:lpwstr>
  </property>
</Properties>
</file>