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2CE5FB">
      <w:pPr>
        <w:spacing w:line="267" w:lineRule="auto"/>
        <w:jc w:val="both"/>
        <w:rPr>
          <w:rFonts w:ascii="宋体" w:cs="宋体"/>
          <w:bCs/>
          <w:spacing w:val="-4"/>
          <w:sz w:val="28"/>
          <w:szCs w:val="28"/>
          <w:lang w:eastAsia="zh-CN"/>
        </w:rPr>
      </w:pPr>
    </w:p>
    <w:p w14:paraId="0BAC1581">
      <w:pPr>
        <w:ind w:firstLine="880"/>
        <w:jc w:val="center"/>
        <w:rPr>
          <w:rFonts w:ascii="方正小标宋简体" w:eastAsia="方正小标宋简体"/>
          <w:sz w:val="44"/>
          <w:szCs w:val="44"/>
          <w:lang w:eastAsia="zh-CN"/>
        </w:rPr>
      </w:pPr>
      <w:r>
        <w:rPr>
          <w:rFonts w:hint="eastAsia" w:ascii="方正小标宋简体" w:eastAsia="方正小标宋简体"/>
          <w:sz w:val="44"/>
          <w:szCs w:val="44"/>
          <w:lang w:eastAsia="zh-CN"/>
        </w:rPr>
        <w:t>岳阳县农村经营服务站</w:t>
      </w:r>
    </w:p>
    <w:p w14:paraId="659B051C">
      <w:pPr>
        <w:ind w:firstLine="880"/>
        <w:jc w:val="center"/>
        <w:rPr>
          <w:rFonts w:ascii="方正小标宋简体" w:hAnsi="宋体" w:eastAsia="方正小标宋简体" w:cs="宋体"/>
          <w:sz w:val="44"/>
          <w:szCs w:val="44"/>
          <w:lang w:eastAsia="zh-CN"/>
        </w:rPr>
      </w:pPr>
      <w:r>
        <w:rPr>
          <w:rFonts w:ascii="方正小标宋简体" w:eastAsia="方正小标宋简体"/>
          <w:sz w:val="44"/>
          <w:szCs w:val="44"/>
          <w:lang w:eastAsia="zh-CN"/>
        </w:rPr>
        <w:t>2023</w:t>
      </w:r>
      <w:r>
        <w:rPr>
          <w:rFonts w:hint="eastAsia" w:ascii="方正小标宋简体" w:hAnsi="宋体" w:eastAsia="方正小标宋简体" w:cs="宋体"/>
          <w:sz w:val="44"/>
          <w:szCs w:val="44"/>
          <w:lang w:eastAsia="zh-CN"/>
        </w:rPr>
        <w:t>年度整体支出绩效自评报告</w:t>
      </w:r>
    </w:p>
    <w:p w14:paraId="0B10B8DE">
      <w:pPr>
        <w:pStyle w:val="2"/>
        <w:spacing w:before="78" w:line="221" w:lineRule="auto"/>
        <w:ind w:firstLine="587"/>
        <w:jc w:val="center"/>
        <w:rPr>
          <w:rFonts w:ascii="楷体_GB2312" w:eastAsia="楷体_GB2312"/>
          <w:b/>
          <w:bCs/>
          <w:spacing w:val="-28"/>
          <w:sz w:val="32"/>
          <w:szCs w:val="32"/>
          <w:lang w:eastAsia="zh-CN"/>
        </w:rPr>
      </w:pPr>
    </w:p>
    <w:p w14:paraId="453A92CD">
      <w:pPr>
        <w:pStyle w:val="2"/>
        <w:spacing w:before="78" w:line="221" w:lineRule="auto"/>
        <w:ind w:firstLine="587"/>
        <w:jc w:val="center"/>
        <w:rPr>
          <w:rFonts w:ascii="楷体_GB2312" w:eastAsia="楷体_GB2312"/>
          <w:b/>
          <w:bCs/>
          <w:spacing w:val="-28"/>
          <w:sz w:val="32"/>
          <w:szCs w:val="32"/>
          <w:lang w:eastAsia="zh-CN"/>
        </w:rPr>
      </w:pPr>
    </w:p>
    <w:p w14:paraId="3359FFC9">
      <w:pPr>
        <w:pStyle w:val="2"/>
        <w:spacing w:before="78" w:line="221" w:lineRule="auto"/>
        <w:ind w:firstLine="587"/>
        <w:jc w:val="center"/>
        <w:rPr>
          <w:rFonts w:ascii="楷体_GB2312" w:eastAsia="楷体_GB2312"/>
          <w:b/>
          <w:bCs/>
          <w:spacing w:val="-28"/>
          <w:sz w:val="32"/>
          <w:szCs w:val="32"/>
          <w:lang w:eastAsia="zh-CN"/>
        </w:rPr>
      </w:pPr>
    </w:p>
    <w:p w14:paraId="195969B5">
      <w:pPr>
        <w:pStyle w:val="2"/>
        <w:spacing w:before="78" w:line="221" w:lineRule="auto"/>
        <w:ind w:firstLine="587"/>
        <w:jc w:val="center"/>
        <w:rPr>
          <w:rFonts w:ascii="楷体_GB2312" w:eastAsia="楷体_GB2312"/>
          <w:b/>
          <w:bCs/>
          <w:spacing w:val="-28"/>
          <w:sz w:val="32"/>
          <w:szCs w:val="32"/>
          <w:lang w:eastAsia="zh-CN"/>
        </w:rPr>
      </w:pPr>
    </w:p>
    <w:p w14:paraId="2DECE269">
      <w:pPr>
        <w:pStyle w:val="2"/>
        <w:spacing w:before="78" w:line="221" w:lineRule="auto"/>
        <w:ind w:firstLine="587"/>
        <w:jc w:val="center"/>
        <w:rPr>
          <w:rFonts w:ascii="楷体_GB2312" w:eastAsia="楷体_GB2312"/>
          <w:b/>
          <w:bCs/>
          <w:spacing w:val="-28"/>
          <w:sz w:val="32"/>
          <w:szCs w:val="32"/>
          <w:lang w:eastAsia="zh-CN"/>
        </w:rPr>
      </w:pPr>
    </w:p>
    <w:p w14:paraId="18605860">
      <w:pPr>
        <w:pStyle w:val="2"/>
        <w:spacing w:before="78" w:line="221" w:lineRule="auto"/>
        <w:ind w:firstLine="587"/>
        <w:jc w:val="center"/>
        <w:rPr>
          <w:rFonts w:ascii="楷体_GB2312" w:eastAsia="楷体_GB2312"/>
          <w:b/>
          <w:bCs/>
          <w:spacing w:val="-28"/>
          <w:sz w:val="32"/>
          <w:szCs w:val="32"/>
          <w:lang w:eastAsia="zh-CN"/>
        </w:rPr>
      </w:pPr>
    </w:p>
    <w:p w14:paraId="06A35DDE">
      <w:pPr>
        <w:pStyle w:val="2"/>
        <w:spacing w:before="78" w:line="221" w:lineRule="auto"/>
        <w:ind w:firstLine="587"/>
        <w:jc w:val="center"/>
        <w:rPr>
          <w:rFonts w:ascii="楷体_GB2312" w:eastAsia="楷体_GB2312"/>
          <w:b/>
          <w:bCs/>
          <w:spacing w:val="-28"/>
          <w:sz w:val="32"/>
          <w:szCs w:val="32"/>
          <w:lang w:eastAsia="zh-CN"/>
        </w:rPr>
      </w:pPr>
    </w:p>
    <w:p w14:paraId="2ED75E6F">
      <w:pPr>
        <w:pStyle w:val="2"/>
        <w:spacing w:before="78" w:line="221" w:lineRule="auto"/>
        <w:ind w:firstLine="587"/>
        <w:jc w:val="center"/>
        <w:rPr>
          <w:rFonts w:ascii="楷体_GB2312" w:eastAsia="楷体_GB2312"/>
          <w:b/>
          <w:bCs/>
          <w:spacing w:val="-28"/>
          <w:sz w:val="32"/>
          <w:szCs w:val="32"/>
          <w:lang w:eastAsia="zh-CN"/>
        </w:rPr>
      </w:pPr>
    </w:p>
    <w:p w14:paraId="636C10AA">
      <w:pPr>
        <w:pStyle w:val="2"/>
        <w:spacing w:before="78" w:line="221" w:lineRule="auto"/>
        <w:ind w:firstLine="587"/>
        <w:jc w:val="center"/>
        <w:rPr>
          <w:rFonts w:ascii="楷体_GB2312" w:eastAsia="楷体_GB2312"/>
          <w:b/>
          <w:bCs/>
          <w:spacing w:val="-28"/>
          <w:sz w:val="32"/>
          <w:szCs w:val="32"/>
          <w:lang w:eastAsia="zh-CN"/>
        </w:rPr>
      </w:pPr>
    </w:p>
    <w:p w14:paraId="56C9BFD3">
      <w:pPr>
        <w:pStyle w:val="2"/>
        <w:spacing w:before="78" w:line="221" w:lineRule="auto"/>
        <w:ind w:firstLine="587"/>
        <w:jc w:val="center"/>
        <w:rPr>
          <w:rFonts w:ascii="楷体_GB2312" w:eastAsia="楷体_GB2312"/>
          <w:b/>
          <w:bCs/>
          <w:spacing w:val="-28"/>
          <w:sz w:val="32"/>
          <w:szCs w:val="32"/>
          <w:lang w:eastAsia="zh-CN"/>
        </w:rPr>
      </w:pPr>
    </w:p>
    <w:p w14:paraId="026086C6">
      <w:pPr>
        <w:pStyle w:val="2"/>
        <w:spacing w:before="78" w:line="221" w:lineRule="auto"/>
        <w:ind w:firstLine="587"/>
        <w:jc w:val="center"/>
        <w:rPr>
          <w:rFonts w:ascii="楷体_GB2312" w:eastAsia="楷体_GB2312"/>
          <w:b/>
          <w:bCs/>
          <w:spacing w:val="-28"/>
          <w:sz w:val="32"/>
          <w:szCs w:val="32"/>
          <w:lang w:eastAsia="zh-CN"/>
        </w:rPr>
      </w:pPr>
    </w:p>
    <w:p w14:paraId="7AA5065C">
      <w:pPr>
        <w:pStyle w:val="2"/>
        <w:spacing w:before="78" w:line="221" w:lineRule="auto"/>
        <w:ind w:firstLine="587"/>
        <w:jc w:val="center"/>
        <w:rPr>
          <w:rFonts w:ascii="楷体_GB2312" w:eastAsia="楷体_GB2312"/>
          <w:b/>
          <w:bCs/>
          <w:spacing w:val="-28"/>
          <w:sz w:val="32"/>
          <w:szCs w:val="32"/>
          <w:lang w:eastAsia="zh-CN"/>
        </w:rPr>
      </w:pPr>
    </w:p>
    <w:p w14:paraId="03AB9F76">
      <w:pPr>
        <w:pStyle w:val="2"/>
        <w:spacing w:before="78" w:line="221" w:lineRule="auto"/>
        <w:ind w:firstLine="587"/>
        <w:jc w:val="center"/>
        <w:rPr>
          <w:rFonts w:ascii="楷体_GB2312" w:eastAsia="楷体_GB2312"/>
          <w:b/>
          <w:bCs/>
          <w:spacing w:val="-28"/>
          <w:sz w:val="32"/>
          <w:szCs w:val="32"/>
          <w:lang w:eastAsia="zh-CN"/>
        </w:rPr>
      </w:pPr>
    </w:p>
    <w:p w14:paraId="6E1AFFC5">
      <w:pPr>
        <w:pStyle w:val="2"/>
        <w:spacing w:before="78" w:line="221" w:lineRule="auto"/>
        <w:ind w:firstLine="587"/>
        <w:jc w:val="center"/>
        <w:rPr>
          <w:rFonts w:ascii="楷体_GB2312" w:eastAsia="楷体_GB2312"/>
          <w:b/>
          <w:bCs/>
          <w:spacing w:val="-28"/>
          <w:sz w:val="32"/>
          <w:szCs w:val="32"/>
          <w:lang w:eastAsia="zh-CN"/>
        </w:rPr>
      </w:pPr>
    </w:p>
    <w:p w14:paraId="7F918718">
      <w:pPr>
        <w:pStyle w:val="2"/>
        <w:spacing w:before="78" w:line="221" w:lineRule="auto"/>
        <w:ind w:firstLine="587"/>
        <w:jc w:val="center"/>
        <w:rPr>
          <w:rFonts w:ascii="楷体_GB2312" w:eastAsia="楷体_GB2312"/>
          <w:b/>
          <w:bCs/>
          <w:spacing w:val="-28"/>
          <w:sz w:val="32"/>
          <w:szCs w:val="32"/>
          <w:lang w:eastAsia="zh-CN"/>
        </w:rPr>
      </w:pPr>
    </w:p>
    <w:p w14:paraId="79FFC55B">
      <w:pPr>
        <w:pStyle w:val="2"/>
        <w:spacing w:before="78" w:line="221" w:lineRule="auto"/>
        <w:ind w:firstLine="587"/>
        <w:jc w:val="center"/>
        <w:rPr>
          <w:rFonts w:ascii="楷体_GB2312" w:eastAsia="楷体_GB2312"/>
          <w:b/>
          <w:bCs/>
          <w:spacing w:val="-28"/>
          <w:sz w:val="32"/>
          <w:szCs w:val="32"/>
          <w:lang w:eastAsia="zh-CN"/>
        </w:rPr>
      </w:pPr>
    </w:p>
    <w:p w14:paraId="4B7313B4">
      <w:pPr>
        <w:pStyle w:val="2"/>
        <w:spacing w:before="78" w:line="221" w:lineRule="auto"/>
        <w:ind w:firstLine="587"/>
        <w:jc w:val="center"/>
        <w:rPr>
          <w:rFonts w:ascii="楷体_GB2312" w:eastAsia="楷体_GB2312"/>
          <w:b/>
          <w:bCs/>
          <w:spacing w:val="-28"/>
          <w:sz w:val="32"/>
          <w:szCs w:val="32"/>
          <w:lang w:eastAsia="zh-CN"/>
        </w:rPr>
      </w:pPr>
    </w:p>
    <w:p w14:paraId="763CB8AE">
      <w:pPr>
        <w:pStyle w:val="2"/>
        <w:spacing w:before="78" w:line="221" w:lineRule="auto"/>
        <w:ind w:firstLine="587"/>
        <w:jc w:val="center"/>
        <w:rPr>
          <w:rFonts w:ascii="楷体_GB2312" w:eastAsia="楷体_GB2312"/>
          <w:sz w:val="32"/>
          <w:szCs w:val="32"/>
          <w:lang w:eastAsia="zh-CN"/>
        </w:rPr>
      </w:pPr>
      <w:r>
        <w:rPr>
          <w:rFonts w:hint="eastAsia" w:ascii="楷体_GB2312" w:eastAsia="楷体_GB2312"/>
          <w:b/>
          <w:bCs/>
          <w:spacing w:val="-28"/>
          <w:sz w:val="32"/>
          <w:szCs w:val="32"/>
          <w:lang w:eastAsia="zh-CN"/>
        </w:rPr>
        <w:t>部门</w:t>
      </w:r>
      <w:r>
        <w:rPr>
          <w:rFonts w:ascii="楷体_GB2312" w:eastAsia="楷体_GB2312"/>
          <w:b/>
          <w:bCs/>
          <w:spacing w:val="-28"/>
          <w:sz w:val="32"/>
          <w:szCs w:val="32"/>
          <w:lang w:eastAsia="zh-CN"/>
        </w:rPr>
        <w:t>(</w:t>
      </w:r>
      <w:r>
        <w:rPr>
          <w:rFonts w:hint="eastAsia" w:ascii="楷体_GB2312" w:eastAsia="楷体_GB2312"/>
          <w:b/>
          <w:bCs/>
          <w:spacing w:val="-28"/>
          <w:sz w:val="32"/>
          <w:szCs w:val="32"/>
          <w:lang w:eastAsia="zh-CN"/>
        </w:rPr>
        <w:t>单位</w:t>
      </w:r>
      <w:r>
        <w:rPr>
          <w:rFonts w:ascii="楷体_GB2312" w:eastAsia="楷体_GB2312"/>
          <w:b/>
          <w:bCs/>
          <w:spacing w:val="-28"/>
          <w:sz w:val="32"/>
          <w:szCs w:val="32"/>
          <w:lang w:eastAsia="zh-CN"/>
        </w:rPr>
        <w:t>)</w:t>
      </w:r>
      <w:r>
        <w:rPr>
          <w:rFonts w:hint="eastAsia" w:ascii="楷体_GB2312" w:eastAsia="楷体_GB2312"/>
          <w:b/>
          <w:bCs/>
          <w:spacing w:val="-28"/>
          <w:sz w:val="32"/>
          <w:szCs w:val="32"/>
          <w:lang w:eastAsia="zh-CN"/>
        </w:rPr>
        <w:t>名称：</w:t>
      </w:r>
      <w:r>
        <w:rPr>
          <w:rFonts w:ascii="楷体_GB2312" w:eastAsia="楷体_GB2312"/>
          <w:b/>
          <w:bCs/>
          <w:spacing w:val="-28"/>
          <w:sz w:val="32"/>
          <w:szCs w:val="32"/>
          <w:u w:val="single"/>
          <w:lang w:eastAsia="zh-CN"/>
        </w:rPr>
        <w:t>(</w:t>
      </w:r>
      <w:r>
        <w:rPr>
          <w:rFonts w:hint="eastAsia" w:ascii="楷体_GB2312" w:eastAsia="楷体_GB2312"/>
          <w:b/>
          <w:bCs/>
          <w:spacing w:val="-28"/>
          <w:sz w:val="32"/>
          <w:szCs w:val="32"/>
          <w:u w:val="single"/>
          <w:lang w:eastAsia="zh-CN"/>
        </w:rPr>
        <w:t>盖章</w:t>
      </w:r>
      <w:r>
        <w:rPr>
          <w:rFonts w:ascii="楷体_GB2312" w:eastAsia="楷体_GB2312"/>
          <w:b/>
          <w:bCs/>
          <w:spacing w:val="-28"/>
          <w:sz w:val="32"/>
          <w:szCs w:val="32"/>
          <w:u w:val="single"/>
          <w:lang w:eastAsia="zh-CN"/>
        </w:rPr>
        <w:t>)</w:t>
      </w:r>
    </w:p>
    <w:p w14:paraId="0521C91B">
      <w:pPr>
        <w:spacing w:before="274" w:line="225" w:lineRule="auto"/>
        <w:ind w:firstLine="617"/>
        <w:jc w:val="center"/>
        <w:rPr>
          <w:rFonts w:ascii="楷体_GB2312" w:hAnsi="楷体" w:eastAsia="楷体_GB2312" w:cs="楷体"/>
          <w:b/>
          <w:bCs/>
          <w:sz w:val="32"/>
          <w:szCs w:val="32"/>
          <w:lang w:eastAsia="zh-CN"/>
        </w:rPr>
      </w:pPr>
      <w:r>
        <w:rPr>
          <w:rFonts w:ascii="楷体_GB2312" w:hAnsi="楷体" w:eastAsia="楷体_GB2312" w:cs="楷体"/>
          <w:b/>
          <w:bCs/>
          <w:spacing w:val="-13"/>
          <w:sz w:val="32"/>
          <w:szCs w:val="32"/>
          <w:lang w:eastAsia="zh-CN"/>
        </w:rPr>
        <w:t>2024</w:t>
      </w:r>
      <w:r>
        <w:rPr>
          <w:rFonts w:hint="eastAsia" w:ascii="楷体_GB2312" w:hAnsi="楷体" w:eastAsia="楷体_GB2312" w:cs="楷体"/>
          <w:b/>
          <w:bCs/>
          <w:spacing w:val="-13"/>
          <w:sz w:val="32"/>
          <w:szCs w:val="32"/>
          <w:lang w:eastAsia="zh-CN"/>
        </w:rPr>
        <w:t>年</w:t>
      </w:r>
      <w:r>
        <w:rPr>
          <w:rFonts w:ascii="楷体_GB2312" w:hAnsi="楷体" w:eastAsia="楷体_GB2312" w:cs="楷体"/>
          <w:b/>
          <w:bCs/>
          <w:spacing w:val="-13"/>
          <w:sz w:val="32"/>
          <w:szCs w:val="32"/>
          <w:lang w:eastAsia="zh-CN"/>
        </w:rPr>
        <w:t>6</w:t>
      </w:r>
      <w:r>
        <w:rPr>
          <w:rFonts w:hint="eastAsia" w:ascii="楷体_GB2312" w:hAnsi="楷体" w:eastAsia="楷体_GB2312" w:cs="楷体"/>
          <w:b/>
          <w:bCs/>
          <w:spacing w:val="-13"/>
          <w:sz w:val="32"/>
          <w:szCs w:val="32"/>
          <w:lang w:eastAsia="zh-CN"/>
        </w:rPr>
        <w:t>月</w:t>
      </w:r>
      <w:r>
        <w:rPr>
          <w:rFonts w:ascii="楷体_GB2312" w:hAnsi="楷体" w:eastAsia="楷体_GB2312" w:cs="楷体"/>
          <w:b/>
          <w:bCs/>
          <w:spacing w:val="-13"/>
          <w:sz w:val="32"/>
          <w:szCs w:val="32"/>
          <w:lang w:eastAsia="zh-CN"/>
        </w:rPr>
        <w:t>17</w:t>
      </w:r>
      <w:r>
        <w:rPr>
          <w:rFonts w:hint="eastAsia" w:ascii="楷体_GB2312" w:hAnsi="楷体" w:eastAsia="楷体_GB2312" w:cs="楷体"/>
          <w:b/>
          <w:bCs/>
          <w:spacing w:val="-13"/>
          <w:sz w:val="32"/>
          <w:szCs w:val="32"/>
          <w:lang w:eastAsia="zh-CN"/>
        </w:rPr>
        <w:t>日</w:t>
      </w:r>
    </w:p>
    <w:p w14:paraId="2D8CF613">
      <w:pPr>
        <w:pStyle w:val="2"/>
        <w:spacing w:before="211" w:line="224" w:lineRule="auto"/>
        <w:ind w:firstLine="638"/>
        <w:jc w:val="center"/>
        <w:rPr>
          <w:b/>
          <w:bCs/>
          <w:spacing w:val="18"/>
          <w:sz w:val="30"/>
          <w:szCs w:val="30"/>
          <w:lang w:eastAsia="zh-CN"/>
        </w:rPr>
      </w:pPr>
      <w:r>
        <w:rPr>
          <w:b/>
          <w:bCs/>
          <w:spacing w:val="18"/>
          <w:sz w:val="30"/>
          <w:szCs w:val="30"/>
          <w:lang w:eastAsia="zh-CN"/>
        </w:rPr>
        <w:t>(</w:t>
      </w:r>
      <w:r>
        <w:rPr>
          <w:rFonts w:hint="eastAsia"/>
          <w:b/>
          <w:bCs/>
          <w:spacing w:val="18"/>
          <w:sz w:val="30"/>
          <w:szCs w:val="30"/>
          <w:lang w:eastAsia="zh-CN"/>
        </w:rPr>
        <w:t>此页为封面</w:t>
      </w:r>
      <w:r>
        <w:rPr>
          <w:b/>
          <w:bCs/>
          <w:spacing w:val="18"/>
          <w:sz w:val="30"/>
          <w:szCs w:val="30"/>
          <w:lang w:eastAsia="zh-CN"/>
        </w:rPr>
        <w:t>)</w:t>
      </w:r>
    </w:p>
    <w:p w14:paraId="0FB2EEA8">
      <w:pPr>
        <w:pStyle w:val="2"/>
        <w:spacing w:before="211" w:line="224" w:lineRule="auto"/>
        <w:ind w:firstLine="638"/>
        <w:jc w:val="both"/>
        <w:rPr>
          <w:b/>
          <w:bCs/>
          <w:spacing w:val="18"/>
          <w:sz w:val="30"/>
          <w:szCs w:val="30"/>
          <w:lang w:eastAsia="zh-CN"/>
        </w:rPr>
      </w:pPr>
    </w:p>
    <w:p w14:paraId="0AA4A419">
      <w:pPr>
        <w:pStyle w:val="2"/>
        <w:spacing w:before="211" w:line="224" w:lineRule="auto"/>
        <w:ind w:firstLine="638"/>
        <w:jc w:val="both"/>
        <w:rPr>
          <w:b/>
          <w:bCs/>
          <w:spacing w:val="18"/>
          <w:sz w:val="30"/>
          <w:szCs w:val="30"/>
          <w:lang w:eastAsia="zh-CN"/>
        </w:rPr>
      </w:pPr>
    </w:p>
    <w:p w14:paraId="534E7AA0">
      <w:pPr>
        <w:pStyle w:val="2"/>
        <w:spacing w:before="211" w:line="224" w:lineRule="auto"/>
        <w:ind w:firstLine="640"/>
        <w:jc w:val="both"/>
        <w:rPr>
          <w:rFonts w:ascii="方正黑体_GBK" w:eastAsia="方正黑体_GBK"/>
          <w:sz w:val="32"/>
          <w:szCs w:val="32"/>
          <w:lang w:eastAsia="zh-CN"/>
        </w:rPr>
      </w:pPr>
      <w:r>
        <w:rPr>
          <w:rFonts w:hint="eastAsia" w:ascii="方正黑体_GBK" w:eastAsia="方正黑体_GBK"/>
          <w:sz w:val="32"/>
          <w:szCs w:val="32"/>
          <w:lang w:eastAsia="zh-CN"/>
        </w:rPr>
        <w:t>一、部门</w:t>
      </w:r>
      <w:r>
        <w:rPr>
          <w:rFonts w:ascii="方正黑体_GBK" w:eastAsia="方正黑体_GBK"/>
          <w:sz w:val="32"/>
          <w:szCs w:val="32"/>
          <w:lang w:eastAsia="zh-CN"/>
        </w:rPr>
        <w:t>(</w:t>
      </w:r>
      <w:r>
        <w:rPr>
          <w:rFonts w:hint="eastAsia" w:ascii="方正黑体_GBK" w:eastAsia="方正黑体_GBK"/>
          <w:sz w:val="32"/>
          <w:szCs w:val="32"/>
          <w:lang w:eastAsia="zh-CN"/>
        </w:rPr>
        <w:t>单位</w:t>
      </w:r>
      <w:r>
        <w:rPr>
          <w:rFonts w:ascii="方正黑体_GBK" w:eastAsia="方正黑体_GBK"/>
          <w:sz w:val="32"/>
          <w:szCs w:val="32"/>
          <w:lang w:eastAsia="zh-CN"/>
        </w:rPr>
        <w:t>)</w:t>
      </w:r>
      <w:r>
        <w:rPr>
          <w:rFonts w:hint="eastAsia" w:ascii="方正黑体_GBK" w:eastAsia="方正黑体_GBK"/>
          <w:sz w:val="32"/>
          <w:szCs w:val="32"/>
          <w:lang w:eastAsia="zh-CN"/>
        </w:rPr>
        <w:t>基本情况</w:t>
      </w:r>
    </w:p>
    <w:p w14:paraId="59EFE0D0">
      <w:pPr>
        <w:pStyle w:val="23"/>
        <w:spacing w:line="600" w:lineRule="exact"/>
        <w:ind w:firstLine="31680"/>
        <w:jc w:val="both"/>
        <w:rPr>
          <w:rFonts w:ascii="Times New Roman" w:hAnsi="Times New Roman" w:eastAsia="仿宋_GB2312"/>
          <w:sz w:val="32"/>
          <w:szCs w:val="32"/>
          <w:lang w:eastAsia="zh-CN"/>
        </w:rPr>
      </w:pPr>
      <w:r>
        <w:rPr>
          <w:rFonts w:hint="eastAsia" w:ascii="Times New Roman" w:hAnsi="Times New Roman" w:eastAsia="仿宋_GB2312"/>
          <w:sz w:val="32"/>
          <w:szCs w:val="32"/>
          <w:lang w:eastAsia="zh-CN"/>
        </w:rPr>
        <w:t>县农村经营服务站为农业农村局所属副科级公益一类全额拨款事业单位，机关内设</w:t>
      </w:r>
      <w:r>
        <w:rPr>
          <w:rFonts w:ascii="Times New Roman" w:hAnsi="Times New Roman" w:eastAsia="仿宋_GB2312"/>
          <w:sz w:val="32"/>
          <w:szCs w:val="32"/>
          <w:lang w:eastAsia="zh-CN"/>
        </w:rPr>
        <w:t>5</w:t>
      </w:r>
      <w:r>
        <w:rPr>
          <w:rFonts w:hint="eastAsia" w:ascii="Times New Roman" w:hAnsi="Times New Roman" w:eastAsia="仿宋_GB2312"/>
          <w:sz w:val="32"/>
          <w:szCs w:val="32"/>
          <w:lang w:eastAsia="zh-CN"/>
        </w:rPr>
        <w:t>个股室，分别为：办公室、农业经营主体指导服务股、农村财务指导与审计服务股、农村土地承包与流转服务股（岳阳县农村土地承包经营权流转服务中心）、农民负担监督服务股。主要承担农村土地承包管理和改革、农村宅基地改革和指导、农村集体产权制度改革、农村集体</w:t>
      </w:r>
      <w:r>
        <w:rPr>
          <w:rFonts w:ascii="Times New Roman" w:hAnsi="Times New Roman" w:eastAsia="仿宋_GB2312"/>
          <w:sz w:val="32"/>
          <w:szCs w:val="32"/>
          <w:lang w:eastAsia="zh-CN"/>
        </w:rPr>
        <w:t>“</w:t>
      </w:r>
      <w:r>
        <w:rPr>
          <w:rFonts w:hint="eastAsia" w:ascii="Times New Roman" w:hAnsi="Times New Roman" w:eastAsia="仿宋_GB2312"/>
          <w:sz w:val="32"/>
          <w:szCs w:val="32"/>
          <w:lang w:eastAsia="zh-CN"/>
        </w:rPr>
        <w:t>三资</w:t>
      </w:r>
      <w:r>
        <w:rPr>
          <w:rFonts w:ascii="Times New Roman" w:hAnsi="Times New Roman" w:eastAsia="仿宋_GB2312"/>
          <w:sz w:val="32"/>
          <w:szCs w:val="32"/>
          <w:lang w:eastAsia="zh-CN"/>
        </w:rPr>
        <w:t>”</w:t>
      </w:r>
      <w:r>
        <w:rPr>
          <w:rFonts w:hint="eastAsia" w:ascii="Times New Roman" w:hAnsi="Times New Roman" w:eastAsia="仿宋_GB2312"/>
          <w:sz w:val="32"/>
          <w:szCs w:val="32"/>
          <w:lang w:eastAsia="zh-CN"/>
        </w:rPr>
        <w:t>监管、农村集体经济组织财务审计监督、指导农村集体经济组织建设与发展、指导新型农业经营主体培育与壮大、实施农业产业社会化服务体系建设、农民权益维护和农民负担监督管理等方面工作。</w:t>
      </w:r>
    </w:p>
    <w:p w14:paraId="354AE27A">
      <w:pPr>
        <w:spacing w:line="600" w:lineRule="exact"/>
        <w:ind w:firstLine="640" w:firstLineChars="200"/>
        <w:jc w:val="both"/>
        <w:rPr>
          <w:rFonts w:ascii="方正黑体_GBK" w:eastAsia="方正黑体_GBK"/>
          <w:sz w:val="32"/>
          <w:szCs w:val="32"/>
          <w:lang w:eastAsia="zh-CN"/>
        </w:rPr>
      </w:pPr>
      <w:r>
        <w:rPr>
          <w:rFonts w:hint="eastAsia" w:ascii="方正黑体_GBK" w:eastAsia="方正黑体_GBK"/>
          <w:sz w:val="32"/>
          <w:szCs w:val="32"/>
          <w:lang w:eastAsia="zh-CN"/>
        </w:rPr>
        <w:t>二、一般公共预算支出情况</w:t>
      </w:r>
    </w:p>
    <w:p w14:paraId="47ECDB18">
      <w:pPr>
        <w:pStyle w:val="23"/>
        <w:spacing w:line="600" w:lineRule="exact"/>
        <w:ind w:firstLine="31680"/>
        <w:jc w:val="both"/>
        <w:rPr>
          <w:rFonts w:ascii="Times New Roman" w:hAnsi="Times New Roman" w:eastAsia="仿宋_GB2312"/>
          <w:sz w:val="32"/>
          <w:szCs w:val="32"/>
          <w:lang w:eastAsia="zh-CN"/>
        </w:rPr>
      </w:pPr>
      <w:r>
        <w:rPr>
          <w:rFonts w:hint="eastAsia" w:ascii="Times New Roman" w:hAnsi="Times New Roman" w:eastAsia="楷体_GB2312"/>
          <w:b/>
          <w:sz w:val="32"/>
          <w:szCs w:val="32"/>
          <w:lang w:eastAsia="zh-CN"/>
        </w:rPr>
        <w:t>（一）</w:t>
      </w:r>
      <w:r>
        <w:rPr>
          <w:rFonts w:hint="eastAsia" w:ascii="Times New Roman" w:hAnsi="Times New Roman" w:eastAsia="仿宋_GB2312"/>
          <w:sz w:val="32"/>
          <w:szCs w:val="32"/>
          <w:lang w:eastAsia="zh-CN"/>
        </w:rPr>
        <w:t>基本支出情况</w:t>
      </w:r>
    </w:p>
    <w:p w14:paraId="2CB75DD2">
      <w:pPr>
        <w:pStyle w:val="23"/>
        <w:spacing w:line="600" w:lineRule="exact"/>
        <w:ind w:firstLine="31680"/>
        <w:jc w:val="both"/>
        <w:rPr>
          <w:rFonts w:ascii="Times New Roman" w:hAnsi="Times New Roman" w:eastAsia="仿宋_GB2312"/>
          <w:sz w:val="32"/>
          <w:szCs w:val="32"/>
          <w:lang w:eastAsia="zh-CN"/>
        </w:rPr>
      </w:pPr>
      <w:r>
        <w:rPr>
          <w:rFonts w:ascii="Times New Roman" w:hAnsi="Times New Roman" w:eastAsia="仿宋_GB2312"/>
          <w:sz w:val="32"/>
          <w:szCs w:val="32"/>
          <w:lang w:eastAsia="zh-CN"/>
        </w:rPr>
        <w:t>2023</w:t>
      </w:r>
      <w:r>
        <w:rPr>
          <w:rFonts w:hint="eastAsia" w:ascii="Times New Roman" w:hAnsi="Times New Roman" w:eastAsia="仿宋_GB2312"/>
          <w:sz w:val="32"/>
          <w:szCs w:val="32"/>
          <w:lang w:eastAsia="zh-CN"/>
        </w:rPr>
        <w:t>年度财政拨款基本支出</w:t>
      </w:r>
      <w:r>
        <w:rPr>
          <w:rFonts w:ascii="Times New Roman" w:hAnsi="Times New Roman" w:eastAsia="仿宋_GB2312"/>
          <w:sz w:val="32"/>
          <w:szCs w:val="32"/>
          <w:lang w:eastAsia="zh-CN"/>
        </w:rPr>
        <w:t>222.07</w:t>
      </w:r>
      <w:r>
        <w:rPr>
          <w:rFonts w:hint="eastAsia" w:ascii="Times New Roman" w:hAnsi="Times New Roman" w:eastAsia="仿宋_GB2312"/>
          <w:sz w:val="32"/>
          <w:szCs w:val="32"/>
          <w:lang w:eastAsia="zh-CN"/>
        </w:rPr>
        <w:t>万元，其中：</w:t>
      </w:r>
    </w:p>
    <w:p w14:paraId="1886987D">
      <w:pPr>
        <w:pStyle w:val="23"/>
        <w:spacing w:line="600" w:lineRule="exact"/>
        <w:ind w:firstLine="31680"/>
        <w:jc w:val="both"/>
        <w:rPr>
          <w:rFonts w:ascii="Times New Roman" w:hAnsi="Times New Roman" w:eastAsia="仿宋_GB2312"/>
          <w:sz w:val="32"/>
          <w:szCs w:val="32"/>
          <w:lang w:eastAsia="zh-CN"/>
        </w:rPr>
      </w:pPr>
      <w:r>
        <w:rPr>
          <w:rFonts w:hint="eastAsia" w:ascii="Times New Roman" w:hAnsi="Times New Roman" w:eastAsia="仿宋_GB2312"/>
          <w:sz w:val="32"/>
          <w:szCs w:val="32"/>
          <w:lang w:eastAsia="zh-CN"/>
        </w:rPr>
        <w:t>人员经费</w:t>
      </w:r>
      <w:r>
        <w:rPr>
          <w:rFonts w:ascii="Times New Roman" w:hAnsi="Times New Roman" w:eastAsia="仿宋_GB2312"/>
          <w:sz w:val="32"/>
          <w:szCs w:val="32"/>
          <w:lang w:eastAsia="zh-CN"/>
        </w:rPr>
        <w:t>187</w:t>
      </w:r>
      <w:r>
        <w:rPr>
          <w:rFonts w:hint="eastAsia" w:ascii="Times New Roman" w:hAnsi="Times New Roman" w:eastAsia="仿宋_GB2312"/>
          <w:sz w:val="32"/>
          <w:szCs w:val="32"/>
          <w:lang w:eastAsia="zh-CN"/>
        </w:rPr>
        <w:t>万元，占基本支出的</w:t>
      </w:r>
      <w:r>
        <w:rPr>
          <w:rFonts w:ascii="Times New Roman" w:hAnsi="Times New Roman" w:eastAsia="仿宋_GB2312"/>
          <w:sz w:val="32"/>
          <w:szCs w:val="32"/>
          <w:lang w:eastAsia="zh-CN"/>
        </w:rPr>
        <w:t>84.2%</w:t>
      </w:r>
      <w:r>
        <w:rPr>
          <w:rFonts w:hint="eastAsia" w:ascii="Times New Roman" w:hAnsi="Times New Roman" w:eastAsia="仿宋_GB2312"/>
          <w:sz w:val="32"/>
          <w:szCs w:val="32"/>
          <w:lang w:eastAsia="zh-CN"/>
        </w:rPr>
        <w:t>，主要包括基本工资、津贴补贴、绩效工资、社会保障缴费、抚恤金、退休人员生活补助等。</w:t>
      </w:r>
    </w:p>
    <w:p w14:paraId="043E3226">
      <w:pPr>
        <w:pStyle w:val="23"/>
        <w:spacing w:line="600" w:lineRule="exact"/>
        <w:ind w:firstLine="31680"/>
        <w:jc w:val="both"/>
        <w:rPr>
          <w:rFonts w:ascii="Times New Roman" w:hAnsi="Times New Roman" w:eastAsia="仿宋_GB2312"/>
          <w:sz w:val="32"/>
          <w:szCs w:val="32"/>
          <w:lang w:eastAsia="zh-CN"/>
        </w:rPr>
      </w:pPr>
      <w:r>
        <w:rPr>
          <w:rFonts w:hint="eastAsia" w:ascii="Times New Roman" w:hAnsi="Times New Roman" w:eastAsia="仿宋_GB2312"/>
          <w:sz w:val="32"/>
          <w:szCs w:val="32"/>
          <w:lang w:eastAsia="zh-CN"/>
        </w:rPr>
        <w:t>公用经费</w:t>
      </w:r>
      <w:r>
        <w:rPr>
          <w:rFonts w:ascii="Times New Roman" w:hAnsi="Times New Roman" w:eastAsia="仿宋_GB2312"/>
          <w:sz w:val="32"/>
          <w:szCs w:val="32"/>
          <w:lang w:eastAsia="zh-CN"/>
        </w:rPr>
        <w:t>35.07</w:t>
      </w:r>
      <w:r>
        <w:rPr>
          <w:rFonts w:hint="eastAsia" w:ascii="Times New Roman" w:hAnsi="Times New Roman" w:eastAsia="仿宋_GB2312"/>
          <w:sz w:val="32"/>
          <w:szCs w:val="32"/>
          <w:lang w:eastAsia="zh-CN"/>
        </w:rPr>
        <w:t>万元，占基本支出的</w:t>
      </w:r>
      <w:r>
        <w:rPr>
          <w:rFonts w:ascii="Times New Roman" w:hAnsi="Times New Roman" w:eastAsia="仿宋_GB2312"/>
          <w:sz w:val="32"/>
          <w:szCs w:val="32"/>
          <w:lang w:eastAsia="zh-CN"/>
        </w:rPr>
        <w:t>15.8%</w:t>
      </w:r>
      <w:r>
        <w:rPr>
          <w:rFonts w:hint="eastAsia" w:ascii="Times New Roman" w:hAnsi="Times New Roman" w:eastAsia="仿宋_GB2312"/>
          <w:sz w:val="32"/>
          <w:szCs w:val="32"/>
          <w:lang w:eastAsia="zh-CN"/>
        </w:rPr>
        <w:t>，主要包括办公费、印刷费、电费、邮电费、物业管理费、维修（护）费、公务接待费、劳务费、工会经费、其他交通费用和其他商品服务支出等。</w:t>
      </w:r>
    </w:p>
    <w:p w14:paraId="79276F85">
      <w:pPr>
        <w:pStyle w:val="23"/>
        <w:spacing w:line="600" w:lineRule="exact"/>
        <w:ind w:firstLine="31680"/>
        <w:jc w:val="both"/>
        <w:rPr>
          <w:rFonts w:ascii="Times New Roman" w:hAnsi="Times New Roman" w:eastAsia="仿宋_GB2312"/>
          <w:sz w:val="32"/>
          <w:szCs w:val="32"/>
          <w:lang w:eastAsia="zh-CN"/>
        </w:rPr>
      </w:pPr>
      <w:r>
        <w:rPr>
          <w:rFonts w:hint="eastAsia" w:ascii="Times New Roman" w:hAnsi="Times New Roman" w:eastAsia="楷体_GB2312"/>
          <w:b/>
          <w:sz w:val="32"/>
          <w:szCs w:val="32"/>
          <w:lang w:eastAsia="zh-CN"/>
        </w:rPr>
        <w:t>（二）</w:t>
      </w:r>
      <w:r>
        <w:rPr>
          <w:rFonts w:hint="eastAsia" w:ascii="Times New Roman" w:hAnsi="Times New Roman" w:eastAsia="仿宋_GB2312"/>
          <w:sz w:val="32"/>
          <w:szCs w:val="32"/>
          <w:lang w:eastAsia="zh-CN"/>
        </w:rPr>
        <w:t>项目支出情况</w:t>
      </w:r>
    </w:p>
    <w:p w14:paraId="4C7ED57A">
      <w:pPr>
        <w:spacing w:line="600" w:lineRule="exact"/>
        <w:ind w:firstLine="640" w:firstLineChars="200"/>
        <w:jc w:val="both"/>
        <w:rPr>
          <w:rFonts w:ascii="Times New Roman" w:hAnsi="Times New Roman" w:eastAsia="仿宋_GB2312"/>
          <w:sz w:val="32"/>
          <w:szCs w:val="32"/>
          <w:lang w:eastAsia="zh-CN"/>
        </w:rPr>
      </w:pPr>
      <w:r>
        <w:rPr>
          <w:rFonts w:ascii="Times New Roman" w:hAnsi="Times New Roman" w:eastAsia="仿宋_GB2312"/>
          <w:sz w:val="32"/>
          <w:szCs w:val="32"/>
          <w:lang w:eastAsia="zh-CN"/>
        </w:rPr>
        <w:t>2023</w:t>
      </w:r>
      <w:r>
        <w:rPr>
          <w:rFonts w:hint="eastAsia" w:ascii="Times New Roman" w:hAnsi="Times New Roman" w:eastAsia="仿宋_GB2312"/>
          <w:sz w:val="32"/>
          <w:szCs w:val="32"/>
          <w:lang w:eastAsia="zh-CN"/>
        </w:rPr>
        <w:t>年度项目支出</w:t>
      </w:r>
      <w:r>
        <w:rPr>
          <w:rFonts w:ascii="Times New Roman" w:hAnsi="Times New Roman" w:eastAsia="仿宋_GB2312"/>
          <w:sz w:val="32"/>
          <w:szCs w:val="32"/>
          <w:lang w:eastAsia="zh-CN"/>
        </w:rPr>
        <w:t>1442.5</w:t>
      </w:r>
      <w:r>
        <w:rPr>
          <w:rFonts w:hint="eastAsia" w:ascii="Times New Roman" w:hAnsi="Times New Roman" w:eastAsia="仿宋_GB2312"/>
          <w:sz w:val="32"/>
          <w:szCs w:val="32"/>
          <w:lang w:eastAsia="zh-CN"/>
        </w:rPr>
        <w:t>万元，其中：农业生产社会化服务创新试点项目支出</w:t>
      </w:r>
      <w:r>
        <w:rPr>
          <w:rFonts w:ascii="Times New Roman" w:hAnsi="Times New Roman" w:eastAsia="仿宋_GB2312"/>
          <w:sz w:val="32"/>
          <w:szCs w:val="32"/>
          <w:lang w:eastAsia="zh-CN"/>
        </w:rPr>
        <w:t>894</w:t>
      </w:r>
      <w:r>
        <w:rPr>
          <w:rFonts w:hint="eastAsia" w:ascii="Times New Roman" w:hAnsi="Times New Roman" w:eastAsia="仿宋_GB2312"/>
          <w:sz w:val="32"/>
          <w:szCs w:val="32"/>
          <w:lang w:eastAsia="zh-CN"/>
        </w:rPr>
        <w:t>万元、农民专业合作社发展支持项目支出</w:t>
      </w:r>
      <w:r>
        <w:rPr>
          <w:rFonts w:ascii="Times New Roman" w:hAnsi="Times New Roman" w:eastAsia="仿宋_GB2312"/>
          <w:sz w:val="32"/>
          <w:szCs w:val="32"/>
          <w:lang w:eastAsia="zh-CN"/>
        </w:rPr>
        <w:t>100</w:t>
      </w:r>
      <w:r>
        <w:rPr>
          <w:rFonts w:hint="eastAsia" w:ascii="Times New Roman" w:hAnsi="Times New Roman" w:eastAsia="仿宋_GB2312"/>
          <w:sz w:val="32"/>
          <w:szCs w:val="32"/>
          <w:lang w:eastAsia="zh-CN"/>
        </w:rPr>
        <w:t>万元、家庭农场发展支持项目支出</w:t>
      </w:r>
      <w:r>
        <w:rPr>
          <w:rFonts w:ascii="Times New Roman" w:hAnsi="Times New Roman" w:eastAsia="仿宋_GB2312"/>
          <w:sz w:val="32"/>
          <w:szCs w:val="32"/>
          <w:lang w:eastAsia="zh-CN"/>
        </w:rPr>
        <w:t>46</w:t>
      </w:r>
      <w:r>
        <w:rPr>
          <w:rFonts w:hint="eastAsia" w:ascii="Times New Roman" w:hAnsi="Times New Roman" w:eastAsia="仿宋_GB2312"/>
          <w:sz w:val="32"/>
          <w:szCs w:val="32"/>
          <w:lang w:eastAsia="zh-CN"/>
        </w:rPr>
        <w:t>万元，已于上</w:t>
      </w:r>
      <w:r>
        <w:rPr>
          <w:rFonts w:ascii="Times New Roman" w:hAnsi="Times New Roman" w:eastAsia="仿宋_GB2312"/>
          <w:sz w:val="32"/>
          <w:szCs w:val="32"/>
          <w:lang w:eastAsia="zh-CN"/>
        </w:rPr>
        <w:t>2022</w:t>
      </w:r>
      <w:r>
        <w:rPr>
          <w:rFonts w:hint="eastAsia" w:ascii="Times New Roman" w:hAnsi="Times New Roman" w:eastAsia="仿宋_GB2312"/>
          <w:sz w:val="32"/>
          <w:szCs w:val="32"/>
          <w:lang w:eastAsia="zh-CN"/>
        </w:rPr>
        <w:t>年度已进行项目支出绩效评价的项目支出</w:t>
      </w:r>
      <w:r>
        <w:rPr>
          <w:rFonts w:ascii="Times New Roman" w:hAnsi="Times New Roman" w:eastAsia="仿宋_GB2312"/>
          <w:sz w:val="32"/>
          <w:szCs w:val="32"/>
          <w:lang w:eastAsia="zh-CN"/>
        </w:rPr>
        <w:t>402.5</w:t>
      </w:r>
      <w:r>
        <w:rPr>
          <w:rFonts w:hint="eastAsia" w:ascii="Times New Roman" w:hAnsi="Times New Roman" w:eastAsia="仿宋_GB2312"/>
          <w:sz w:val="32"/>
          <w:szCs w:val="32"/>
          <w:lang w:eastAsia="zh-CN"/>
        </w:rPr>
        <w:t>万元。</w:t>
      </w:r>
    </w:p>
    <w:p w14:paraId="42118C94">
      <w:pPr>
        <w:spacing w:line="600" w:lineRule="exact"/>
        <w:ind w:firstLine="640" w:firstLineChars="200"/>
        <w:jc w:val="both"/>
        <w:rPr>
          <w:rFonts w:ascii="方正黑体_GBK" w:eastAsia="方正黑体_GBK"/>
          <w:sz w:val="32"/>
          <w:szCs w:val="32"/>
          <w:lang w:eastAsia="zh-CN"/>
        </w:rPr>
      </w:pPr>
      <w:r>
        <w:rPr>
          <w:rFonts w:hint="eastAsia" w:ascii="方正黑体_GBK" w:eastAsia="方正黑体_GBK"/>
          <w:sz w:val="32"/>
          <w:szCs w:val="32"/>
          <w:lang w:eastAsia="zh-CN"/>
        </w:rPr>
        <w:t>三、政府性基金预算支出情况</w:t>
      </w:r>
    </w:p>
    <w:p w14:paraId="77476D80">
      <w:pPr>
        <w:spacing w:line="600" w:lineRule="exact"/>
        <w:ind w:firstLine="640" w:firstLineChars="200"/>
        <w:jc w:val="both"/>
        <w:rPr>
          <w:rFonts w:eastAsia="仿宋_GB2312"/>
          <w:sz w:val="32"/>
          <w:szCs w:val="32"/>
          <w:lang w:eastAsia="zh-CN"/>
        </w:rPr>
      </w:pPr>
      <w:r>
        <w:rPr>
          <w:rFonts w:eastAsia="仿宋_GB2312"/>
          <w:sz w:val="32"/>
          <w:szCs w:val="32"/>
          <w:lang w:eastAsia="zh-CN"/>
        </w:rPr>
        <w:t>2023</w:t>
      </w:r>
      <w:r>
        <w:rPr>
          <w:rFonts w:hint="eastAsia" w:eastAsia="仿宋_GB2312"/>
          <w:sz w:val="32"/>
          <w:szCs w:val="32"/>
          <w:lang w:eastAsia="zh-CN"/>
        </w:rPr>
        <w:t>年度本单位无政府性基金预算财政拨款收入支出。</w:t>
      </w:r>
    </w:p>
    <w:p w14:paraId="390618EC">
      <w:pPr>
        <w:spacing w:line="600" w:lineRule="exact"/>
        <w:ind w:firstLine="640" w:firstLineChars="200"/>
        <w:jc w:val="both"/>
        <w:rPr>
          <w:rFonts w:ascii="方正黑体_GBK" w:eastAsia="方正黑体_GBK"/>
          <w:sz w:val="32"/>
          <w:szCs w:val="32"/>
          <w:lang w:eastAsia="zh-CN"/>
        </w:rPr>
      </w:pPr>
      <w:r>
        <w:rPr>
          <w:rFonts w:hint="eastAsia" w:ascii="方正黑体_GBK" w:eastAsia="方正黑体_GBK"/>
          <w:sz w:val="32"/>
          <w:szCs w:val="32"/>
          <w:lang w:eastAsia="zh-CN"/>
        </w:rPr>
        <w:t>四、国有资本经营预算支出情况</w:t>
      </w:r>
    </w:p>
    <w:p w14:paraId="5A40C9CB">
      <w:pPr>
        <w:spacing w:line="600" w:lineRule="exact"/>
        <w:ind w:firstLine="640" w:firstLineChars="200"/>
        <w:jc w:val="both"/>
        <w:rPr>
          <w:rFonts w:eastAsia="仿宋_GB2312"/>
          <w:sz w:val="32"/>
          <w:szCs w:val="32"/>
          <w:lang w:eastAsia="zh-CN"/>
        </w:rPr>
      </w:pPr>
      <w:r>
        <w:rPr>
          <w:rFonts w:eastAsia="仿宋_GB2312"/>
          <w:sz w:val="32"/>
          <w:szCs w:val="32"/>
          <w:lang w:eastAsia="zh-CN"/>
        </w:rPr>
        <w:t>2023</w:t>
      </w:r>
      <w:r>
        <w:rPr>
          <w:rFonts w:hint="eastAsia" w:eastAsia="仿宋_GB2312"/>
          <w:sz w:val="32"/>
          <w:szCs w:val="32"/>
          <w:lang w:eastAsia="zh-CN"/>
        </w:rPr>
        <w:t>年度本单位无国有资本经营预算财政拨款收入支出。</w:t>
      </w:r>
    </w:p>
    <w:p w14:paraId="1F7B0CFC">
      <w:pPr>
        <w:spacing w:line="600" w:lineRule="exact"/>
        <w:ind w:firstLine="640" w:firstLineChars="200"/>
        <w:jc w:val="both"/>
        <w:rPr>
          <w:rFonts w:ascii="方正黑体_GBK" w:eastAsia="方正黑体_GBK"/>
          <w:sz w:val="32"/>
          <w:szCs w:val="32"/>
          <w:lang w:eastAsia="zh-CN"/>
        </w:rPr>
      </w:pPr>
      <w:r>
        <w:rPr>
          <w:rFonts w:hint="eastAsia" w:ascii="方正黑体_GBK" w:eastAsia="方正黑体_GBK"/>
          <w:sz w:val="32"/>
          <w:szCs w:val="32"/>
          <w:lang w:eastAsia="zh-CN"/>
        </w:rPr>
        <w:t>五、社会保险基金预算支出情况</w:t>
      </w:r>
    </w:p>
    <w:p w14:paraId="6C6CBA82">
      <w:pPr>
        <w:spacing w:line="600" w:lineRule="exact"/>
        <w:ind w:firstLine="640" w:firstLineChars="200"/>
        <w:jc w:val="both"/>
        <w:rPr>
          <w:rFonts w:ascii="方正黑体_GBK" w:eastAsia="方正黑体_GBK"/>
          <w:sz w:val="32"/>
          <w:szCs w:val="32"/>
          <w:lang w:eastAsia="zh-CN"/>
        </w:rPr>
      </w:pPr>
      <w:r>
        <w:rPr>
          <w:rFonts w:eastAsia="仿宋_GB2312"/>
          <w:sz w:val="32"/>
          <w:szCs w:val="32"/>
          <w:lang w:eastAsia="zh-CN"/>
        </w:rPr>
        <w:t>2023</w:t>
      </w:r>
      <w:r>
        <w:rPr>
          <w:rFonts w:hint="eastAsia" w:eastAsia="仿宋_GB2312"/>
          <w:sz w:val="32"/>
          <w:szCs w:val="32"/>
          <w:lang w:eastAsia="zh-CN"/>
        </w:rPr>
        <w:t>年度本单位无社会保险基金预算财政拨款收入支出。</w:t>
      </w:r>
    </w:p>
    <w:p w14:paraId="1DD1D6E7">
      <w:pPr>
        <w:spacing w:line="600" w:lineRule="exact"/>
        <w:ind w:firstLine="640" w:firstLineChars="200"/>
        <w:jc w:val="both"/>
        <w:rPr>
          <w:rFonts w:ascii="方正黑体_GBK" w:eastAsia="方正黑体_GBK"/>
          <w:sz w:val="32"/>
          <w:szCs w:val="32"/>
          <w:lang w:eastAsia="zh-CN"/>
        </w:rPr>
      </w:pPr>
      <w:r>
        <w:rPr>
          <w:rFonts w:hint="eastAsia" w:ascii="方正黑体_GBK" w:eastAsia="方正黑体_GBK"/>
          <w:sz w:val="32"/>
          <w:szCs w:val="32"/>
          <w:lang w:eastAsia="zh-CN"/>
        </w:rPr>
        <w:t>六、部门整体支出绩效情况</w:t>
      </w:r>
    </w:p>
    <w:p w14:paraId="6BB51BE6">
      <w:pPr>
        <w:spacing w:line="600" w:lineRule="exact"/>
        <w:ind w:firstLine="640" w:firstLineChars="200"/>
        <w:jc w:val="both"/>
        <w:rPr>
          <w:rFonts w:hint="eastAsia" w:ascii="Arial" w:hAnsi="Arial" w:eastAsia="仿宋_GB2312" w:cs="Arial"/>
          <w:sz w:val="32"/>
          <w:szCs w:val="32"/>
          <w:lang w:val="en-US" w:eastAsia="zh-CN"/>
        </w:rPr>
      </w:pPr>
      <w:r>
        <w:rPr>
          <w:rFonts w:hint="eastAsia" w:ascii="仿宋_GB2312" w:hAnsi="Calibri" w:eastAsia="仿宋_GB2312" w:cs="Times New Roman"/>
          <w:kern w:val="2"/>
          <w:sz w:val="32"/>
          <w:szCs w:val="32"/>
          <w:lang w:val="en-US" w:eastAsia="zh-CN" w:bidi="ar"/>
        </w:rPr>
        <w:t>2023年，我站认真贯彻落实中央、省、市、县农村工作会议精神，真抓实干，取得了较好的成绩村集体发展、农村财务管理、农业社会化服务等工作获评全市先进，单位整体支出绩效良好。</w:t>
      </w:r>
    </w:p>
    <w:p w14:paraId="0C9B80D2">
      <w:pPr>
        <w:spacing w:line="600" w:lineRule="exact"/>
        <w:ind w:firstLine="640" w:firstLineChars="200"/>
        <w:jc w:val="both"/>
        <w:rPr>
          <w:rFonts w:hint="eastAsia" w:ascii="Arial" w:hAnsi="Arial" w:eastAsia="仿宋_GB2312" w:cs="Arial"/>
          <w:sz w:val="32"/>
          <w:szCs w:val="32"/>
          <w:lang w:val="en-US" w:eastAsia="zh-CN"/>
        </w:rPr>
      </w:pPr>
      <w:r>
        <w:rPr>
          <w:rFonts w:hint="eastAsia" w:ascii="Arial" w:hAnsi="Arial" w:eastAsia="仿宋_GB2312" w:cs="Arial"/>
          <w:sz w:val="32"/>
          <w:szCs w:val="32"/>
          <w:lang w:val="en-US" w:eastAsia="zh-CN"/>
        </w:rPr>
        <w:t>1.农村宅基地管理与改革工作全力推进。今年以来，全县共收到农村村民建房申请1785 宗，申请面积410亩，已审批1387宗，审批面积278.5亩。共收到省厅下发疑似农村乱占耕地建住宅图斑 131宗，截至目前，图斑整改工作已基本完成。</w:t>
      </w:r>
    </w:p>
    <w:p w14:paraId="25FC6637">
      <w:pPr>
        <w:spacing w:line="600" w:lineRule="exact"/>
        <w:ind w:firstLine="640" w:firstLineChars="200"/>
        <w:jc w:val="both"/>
        <w:rPr>
          <w:rFonts w:hint="eastAsia" w:ascii="Arial" w:hAnsi="Arial" w:eastAsia="仿宋_GB2312" w:cs="Arial"/>
          <w:sz w:val="32"/>
          <w:szCs w:val="32"/>
          <w:lang w:val="en-US" w:eastAsia="zh-CN"/>
        </w:rPr>
      </w:pPr>
      <w:r>
        <w:rPr>
          <w:rFonts w:hint="eastAsia" w:ascii="Arial" w:hAnsi="Arial" w:eastAsia="仿宋_GB2312" w:cs="Arial"/>
          <w:sz w:val="32"/>
          <w:szCs w:val="32"/>
          <w:lang w:val="en-US" w:eastAsia="zh-CN"/>
        </w:rPr>
        <w:t>2.农业社会化服务试点有序开展。出台了《岳阳县2023年农业社会化服务实施方案》，对项目实施原则、实施环节、补贴标准等作出了明确规定。组织服务主体及乡镇相关工作人员进行业务培训，学习了省市县2023年度农业社会化服务项目实施方案，并具体对项目服务标准、服务合同、服务价格以及安全生产等一些业务知识及项目实施要求进行了培训。制订了《岳阳县农业生产社会化服务项目试点资金管理办法》。《管理办法》就补助范围和标准、补助方式和流程、资金分配和拨付、资金管理和监督等方面作了详细的规定并接受社会的监督，确保了资金使用安全。截至目前，全县项目实施已完成水田深翻耕面积3.5万亩、绿色防控（飞防）面积6万亩，稻谷烘干服务12万吨，机插机抛服务3.8万亩，全程托管服务面积3.5万亩。共发项目补助资金894万元。</w:t>
      </w:r>
    </w:p>
    <w:p w14:paraId="7557D143">
      <w:pPr>
        <w:spacing w:line="600" w:lineRule="exact"/>
        <w:ind w:firstLine="640" w:firstLineChars="200"/>
        <w:jc w:val="both"/>
        <w:rPr>
          <w:rFonts w:hint="eastAsia" w:ascii="Arial" w:hAnsi="Arial" w:eastAsia="仿宋_GB2312" w:cs="Arial"/>
          <w:sz w:val="32"/>
          <w:szCs w:val="32"/>
          <w:lang w:val="en-US" w:eastAsia="zh-CN"/>
        </w:rPr>
      </w:pPr>
      <w:r>
        <w:rPr>
          <w:rFonts w:hint="eastAsia" w:ascii="Arial" w:hAnsi="Arial" w:eastAsia="仿宋_GB2312" w:cs="Arial"/>
          <w:sz w:val="32"/>
          <w:szCs w:val="32"/>
          <w:lang w:val="en-US" w:eastAsia="zh-CN"/>
        </w:rPr>
        <w:t>3.“三资”管理工</w:t>
      </w:r>
      <w:r>
        <w:rPr>
          <w:rFonts w:hint="eastAsia" w:eastAsia="仿宋_GB2312" w:cs="Arial"/>
          <w:sz w:val="32"/>
          <w:szCs w:val="32"/>
          <w:lang w:val="en-US" w:eastAsia="zh-CN"/>
        </w:rPr>
        <w:t>作取</w:t>
      </w:r>
      <w:r>
        <w:rPr>
          <w:rFonts w:hint="eastAsia" w:ascii="Arial" w:hAnsi="Arial" w:eastAsia="仿宋_GB2312" w:cs="Arial"/>
          <w:sz w:val="32"/>
          <w:szCs w:val="32"/>
          <w:lang w:val="en-US" w:eastAsia="zh-CN"/>
        </w:rPr>
        <w:t>得成效。按照中共湖南省委农村工作领导小组《关于印发湖南省农村集体“三资”管理突出问题专项治理工作方案的通知》文件要求，聚焦六大内容，以问题为导向，指导督促乡镇、村居全面开展自查自纠，收集问题线索，边查边改，扎实推进“三资”管理突出问题专项治理工作。7月底，我县184个村集体经济组织已全部完成三资专项治理</w:t>
      </w:r>
      <w:r>
        <w:rPr>
          <w:rFonts w:hint="eastAsia" w:eastAsia="仿宋_GB2312" w:cs="Arial"/>
          <w:sz w:val="32"/>
          <w:szCs w:val="32"/>
          <w:lang w:val="en-US" w:eastAsia="zh-CN"/>
        </w:rPr>
        <w:t>自查自纠</w:t>
      </w:r>
      <w:r>
        <w:rPr>
          <w:rFonts w:hint="eastAsia" w:ascii="Arial" w:hAnsi="Arial" w:eastAsia="仿宋_GB2312" w:cs="Arial"/>
          <w:sz w:val="32"/>
          <w:szCs w:val="32"/>
          <w:lang w:val="en-US" w:eastAsia="zh-CN"/>
        </w:rPr>
        <w:t>工作，共上报问题87个，涉及资金659.87万元，目前已全部完成问题整改工作，并建立了问题及整改工作台账。今年，我们完成了市局交办的重点问题线索整改共三批14个问题，下乡暗访3次，与县农业农村局、县财政局一起下乡联合督查2次，对村级财务及三资管理方面进行了全面的工作检查，就不规范、不到位的方面提出了问题整改要求。</w:t>
      </w:r>
    </w:p>
    <w:p w14:paraId="148A4EA7">
      <w:pPr>
        <w:spacing w:line="600" w:lineRule="exact"/>
        <w:ind w:firstLine="640" w:firstLineChars="200"/>
        <w:jc w:val="both"/>
        <w:rPr>
          <w:rFonts w:hint="eastAsia" w:ascii="Arial" w:hAnsi="Arial" w:eastAsia="仿宋_GB2312" w:cs="Arial"/>
          <w:sz w:val="32"/>
          <w:szCs w:val="32"/>
          <w:lang w:val="en-US" w:eastAsia="zh-CN"/>
        </w:rPr>
      </w:pPr>
      <w:r>
        <w:rPr>
          <w:rFonts w:hint="eastAsia" w:ascii="Arial" w:hAnsi="Arial" w:eastAsia="仿宋_GB2312" w:cs="Arial"/>
          <w:sz w:val="32"/>
          <w:szCs w:val="32"/>
          <w:lang w:val="en-US" w:eastAsia="zh-CN"/>
        </w:rPr>
        <w:t>4.农民专业合作社、家庭农场等新型主体快速发展。全县登记注册农民合作社1063家，今年成功创建省级示范社4家,申报重点支持示范社1家；开展了市级示范社的申报创建，创建市级示范合作社5家；顺利迎接了2021年省级合作社财政奖补资金绩效考评。全县累计录入农业农村部家庭农场名录管理系统家庭农场、种养大户5250家（其中在市场部门登记注册的135家），逐步完善名录</w:t>
      </w:r>
      <w:r>
        <w:rPr>
          <w:rFonts w:hint="eastAsia" w:eastAsia="仿宋_GB2312" w:cs="Arial"/>
          <w:sz w:val="32"/>
          <w:szCs w:val="32"/>
          <w:lang w:val="en-US" w:eastAsia="zh-CN"/>
        </w:rPr>
        <w:t>管理</w:t>
      </w:r>
      <w:r>
        <w:rPr>
          <w:rFonts w:hint="eastAsia" w:ascii="Arial" w:hAnsi="Arial" w:eastAsia="仿宋_GB2312" w:cs="Arial"/>
          <w:sz w:val="32"/>
          <w:szCs w:val="32"/>
          <w:lang w:val="en-US" w:eastAsia="zh-CN"/>
        </w:rPr>
        <w:t>制度，积极推广应用“随手记”实行农场收支核算，进行农场“一码通”赋码试点，开展省、市示范</w:t>
      </w:r>
      <w:r>
        <w:rPr>
          <w:rFonts w:hint="eastAsia" w:eastAsia="仿宋_GB2312" w:cs="Arial"/>
          <w:sz w:val="32"/>
          <w:szCs w:val="32"/>
          <w:lang w:val="en-US" w:eastAsia="zh-CN"/>
        </w:rPr>
        <w:t>家庭</w:t>
      </w:r>
      <w:r>
        <w:rPr>
          <w:rFonts w:hint="eastAsia" w:ascii="Arial" w:hAnsi="Arial" w:eastAsia="仿宋_GB2312" w:cs="Arial"/>
          <w:sz w:val="32"/>
          <w:szCs w:val="32"/>
          <w:lang w:val="en-US" w:eastAsia="zh-CN"/>
        </w:rPr>
        <w:t>农场创建活动，创建省级示范家庭农场6家，创建市级示范家庭农场8家。</w:t>
      </w:r>
    </w:p>
    <w:p w14:paraId="1A0150E1">
      <w:pPr>
        <w:spacing w:line="600" w:lineRule="exact"/>
        <w:ind w:firstLine="640" w:firstLineChars="200"/>
        <w:jc w:val="both"/>
        <w:rPr>
          <w:rFonts w:hint="eastAsia" w:ascii="Arial" w:hAnsi="Arial" w:eastAsia="仿宋_GB2312" w:cs="Arial"/>
          <w:sz w:val="32"/>
          <w:szCs w:val="32"/>
          <w:lang w:val="en-US" w:eastAsia="zh-CN"/>
        </w:rPr>
      </w:pPr>
      <w:r>
        <w:rPr>
          <w:rFonts w:hint="eastAsia" w:ascii="Arial" w:hAnsi="Arial" w:eastAsia="仿宋_GB2312" w:cs="Arial"/>
          <w:sz w:val="32"/>
          <w:szCs w:val="32"/>
          <w:lang w:val="en-US" w:eastAsia="zh-CN"/>
        </w:rPr>
        <w:t>5.农民权益维护和农民负担监管工作持续加强。配合县政府出台《岳阳县人民政府办公室关于明确岳阳县村民“一事一议”筹资筹劳标准上限的通知》;认真贯彻落实2023年中央一号文件关于农业农村工作的总体部署，进一步建立健全农民负担监管长效机制，突出抓好强农惠农政策落实情况的监督，制定工作方案，做好备案登记;对40多个涉农涉负部门采集惠农补贴基础数据，强化补贴资金监督，确保资金的安全规范运行，压实工作责任，推动惠农减负政策的落实;开展农民维权减负日常检查3次，二月份开展惠农补贴资金专项检查；7月份开展村级财务管理和“三资”突出问题整治检查；10月份开展了农村教育收费暗访检查。12月份开展农民维权减负年度综合检查。</w:t>
      </w:r>
    </w:p>
    <w:p w14:paraId="106B1A4B">
      <w:pPr>
        <w:spacing w:line="600" w:lineRule="exact"/>
        <w:ind w:firstLine="640" w:firstLineChars="200"/>
        <w:jc w:val="both"/>
        <w:rPr>
          <w:rFonts w:hint="eastAsia" w:ascii="Arial" w:hAnsi="Arial" w:eastAsia="仿宋_GB2312" w:cs="Arial"/>
          <w:sz w:val="32"/>
          <w:szCs w:val="32"/>
          <w:lang w:val="en-US" w:eastAsia="zh-CN"/>
        </w:rPr>
      </w:pPr>
      <w:r>
        <w:rPr>
          <w:rFonts w:hint="eastAsia" w:ascii="Arial" w:hAnsi="Arial" w:eastAsia="仿宋_GB2312" w:cs="Arial"/>
          <w:sz w:val="32"/>
          <w:szCs w:val="32"/>
          <w:lang w:val="en-US" w:eastAsia="zh-CN"/>
        </w:rPr>
        <w:t>6.村级财务监管制度进一步加强。督导所有村居开展集体三资管理突出问题专项整治清查，重点开展了麻塘办事处畔湖新村三资管理驻场式清查和荣家湾镇东方村易家组信访财务问题清查。9月份和11月份分两批次开展了村级财务和农村集体“三资”管理业务培训，培训面分别为乡镇财政所人员村财代理服务中心记账员112人和村居报账员217人。持续开展“三湘护农”农村集体“三资”管理突出问题整治，开展“三资”管理突出问题“驻场解剖麻雀式”清查，发现问题22个，移送问题线索5个。全县共计完成清查资金7828.46万元、资产6642.37万元、债权6052.17万元、债务11399.72万元；发现存在问题255个，涉及资金700多万元，建立了问题清单，20名相关责任人被追究了纪律责任。重点对荣家湾镇东方村易家组群众信访反馈的问题进行了核查，核查问题线索移送荣家湾镇人民政府处理，核查结果向信访群众进行了全面回复。梳理了村级“小微权力”清单。配合纪检加强对村级“小微权力”监督工作，初步梳理整理了村级“小微权力”清单，并向组织和纪检部门提供参考。</w:t>
      </w:r>
    </w:p>
    <w:p w14:paraId="40FBE342">
      <w:pPr>
        <w:spacing w:line="600" w:lineRule="exact"/>
        <w:ind w:firstLine="640" w:firstLineChars="200"/>
        <w:jc w:val="both"/>
        <w:rPr>
          <w:rFonts w:eastAsia="仿宋_GB2312"/>
          <w:sz w:val="32"/>
          <w:szCs w:val="32"/>
          <w:lang w:eastAsia="zh-CN"/>
        </w:rPr>
      </w:pPr>
      <w:r>
        <w:rPr>
          <w:rFonts w:hint="eastAsia" w:ascii="Arial" w:hAnsi="Arial" w:eastAsia="仿宋_GB2312" w:cs="Arial"/>
          <w:sz w:val="32"/>
          <w:szCs w:val="32"/>
          <w:lang w:val="en-US" w:eastAsia="zh-CN"/>
        </w:rPr>
        <w:t xml:space="preserve"> 7.健全土地承包经营权流转信息平台。深入推进农村土地承包数据平台互联互通，积极应用农村土地承包经营权信息应用平台与不动产登记系统对接的政策与技术标准，制定了实施方案。组织开展了农村土地承包经营纠纷调解仲裁工作的培训和学习交流，提升了乡村调解员化解矛盾的能力、仲裁员调处纠纷的能力和仲裁委员会指导服务的能力。</w:t>
      </w:r>
    </w:p>
    <w:p w14:paraId="48E61DBC">
      <w:pPr>
        <w:spacing w:line="600" w:lineRule="exact"/>
        <w:ind w:firstLine="640" w:firstLineChars="200"/>
        <w:jc w:val="both"/>
        <w:rPr>
          <w:rFonts w:ascii="方正黑体_GBK" w:eastAsia="方正黑体_GBK"/>
          <w:sz w:val="32"/>
          <w:szCs w:val="32"/>
          <w:lang w:eastAsia="zh-CN"/>
        </w:rPr>
      </w:pPr>
      <w:r>
        <w:rPr>
          <w:rFonts w:hint="eastAsia" w:ascii="方正黑体_GBK" w:eastAsia="方正黑体_GBK"/>
          <w:sz w:val="32"/>
          <w:szCs w:val="32"/>
          <w:lang w:eastAsia="zh-CN"/>
        </w:rPr>
        <w:t>七、存在的问题及原因分析</w:t>
      </w:r>
    </w:p>
    <w:p w14:paraId="3992A35A">
      <w:pPr>
        <w:spacing w:line="600" w:lineRule="exact"/>
        <w:ind w:firstLine="640" w:firstLineChars="200"/>
        <w:jc w:val="both"/>
        <w:rPr>
          <w:rFonts w:hint="eastAsia" w:ascii="Arial" w:hAnsi="Arial" w:eastAsia="仿宋_GB2312" w:cs="Arial"/>
          <w:sz w:val="32"/>
          <w:szCs w:val="32"/>
          <w:lang w:val="en-US" w:eastAsia="zh-CN"/>
        </w:rPr>
      </w:pPr>
      <w:r>
        <w:rPr>
          <w:rFonts w:hint="eastAsia" w:ascii="Arial" w:hAnsi="Arial" w:eastAsia="仿宋_GB2312" w:cs="Arial"/>
          <w:sz w:val="32"/>
          <w:szCs w:val="32"/>
          <w:lang w:val="en-US" w:eastAsia="zh-CN"/>
        </w:rPr>
        <w:t>1、资金跨年支付。主要是农业生产社会化服务项目支出因涉及需验收承担服务的主体提供服务情况后才能支付资金，导致已纳入上年度项目支出绩效的资金跨年支付。</w:t>
      </w:r>
    </w:p>
    <w:p w14:paraId="74DE5FBF">
      <w:pPr>
        <w:spacing w:line="600" w:lineRule="exact"/>
        <w:ind w:firstLine="640" w:firstLineChars="200"/>
        <w:jc w:val="both"/>
        <w:rPr>
          <w:rFonts w:hint="eastAsia" w:ascii="Arial" w:hAnsi="Arial" w:eastAsia="仿宋_GB2312" w:cs="Arial"/>
          <w:sz w:val="32"/>
          <w:szCs w:val="32"/>
          <w:lang w:val="en-US" w:eastAsia="zh-CN"/>
        </w:rPr>
      </w:pPr>
      <w:r>
        <w:rPr>
          <w:rFonts w:hint="eastAsia" w:ascii="Arial" w:hAnsi="Arial" w:eastAsia="仿宋_GB2312" w:cs="Arial"/>
          <w:sz w:val="32"/>
          <w:szCs w:val="32"/>
          <w:lang w:val="en-US" w:eastAsia="zh-CN"/>
        </w:rPr>
        <w:t>2、资金存在混用现象。虽然汇总各专项资金开支总额显示不存在违规情况，但是在开支过程中，受实际情况影响，有甲项资金用于乙项工作、甲项工作使用乙项资金的现象。</w:t>
      </w:r>
    </w:p>
    <w:p w14:paraId="49FF1E4F">
      <w:pPr>
        <w:spacing w:line="600" w:lineRule="exact"/>
        <w:ind w:firstLine="640" w:firstLineChars="200"/>
        <w:jc w:val="both"/>
        <w:rPr>
          <w:rFonts w:hint="eastAsia" w:ascii="Arial" w:hAnsi="Arial" w:eastAsia="仿宋_GB2312" w:cs="Arial"/>
          <w:sz w:val="32"/>
          <w:szCs w:val="32"/>
          <w:lang w:val="en-US" w:eastAsia="zh-CN"/>
        </w:rPr>
      </w:pPr>
      <w:r>
        <w:rPr>
          <w:rFonts w:hint="eastAsia" w:ascii="Arial" w:hAnsi="Arial" w:eastAsia="仿宋_GB2312" w:cs="Arial"/>
          <w:sz w:val="32"/>
          <w:szCs w:val="32"/>
          <w:lang w:val="en-US" w:eastAsia="zh-CN"/>
        </w:rPr>
        <w:t>3、财务基础工作需进一步完善。由于单位未单独设立财务室，报账员和会计均是兼职，有些财务基础工作，例如报送财务资料、与财政相关股室加强联系等方面有所欠缺。</w:t>
      </w:r>
    </w:p>
    <w:p w14:paraId="60F908D7">
      <w:pPr>
        <w:spacing w:line="600" w:lineRule="exact"/>
        <w:ind w:firstLine="640" w:firstLineChars="200"/>
        <w:jc w:val="both"/>
        <w:rPr>
          <w:rFonts w:hint="eastAsia" w:ascii="方正黑体_GBK" w:eastAsia="方正黑体_GBK"/>
          <w:sz w:val="32"/>
          <w:szCs w:val="32"/>
          <w:lang w:eastAsia="zh-CN"/>
        </w:rPr>
      </w:pPr>
      <w:r>
        <w:rPr>
          <w:rFonts w:hint="eastAsia" w:ascii="方正黑体_GBK" w:eastAsia="方正黑体_GBK"/>
          <w:sz w:val="32"/>
          <w:szCs w:val="32"/>
          <w:lang w:eastAsia="zh-CN"/>
        </w:rPr>
        <w:t>八、下一步改进措施</w:t>
      </w:r>
    </w:p>
    <w:p w14:paraId="47FF9443">
      <w:pPr>
        <w:spacing w:line="600" w:lineRule="exact"/>
        <w:ind w:firstLine="640" w:firstLineChars="200"/>
        <w:jc w:val="both"/>
        <w:rPr>
          <w:rFonts w:hint="eastAsia" w:ascii="Arial" w:hAnsi="Arial" w:eastAsia="仿宋_GB2312" w:cs="Arial"/>
          <w:sz w:val="32"/>
          <w:szCs w:val="32"/>
          <w:lang w:val="en-US" w:eastAsia="zh-CN"/>
        </w:rPr>
      </w:pPr>
      <w:r>
        <w:rPr>
          <w:rFonts w:hint="eastAsia" w:ascii="Arial" w:hAnsi="Arial" w:eastAsia="仿宋_GB2312" w:cs="Arial"/>
          <w:sz w:val="32"/>
          <w:szCs w:val="32"/>
          <w:lang w:val="en-US" w:eastAsia="zh-CN"/>
        </w:rPr>
        <w:t>1、加强与财政的相关业务联系，及时提供各项资金拨付的有关手续，尽可能争取各项资金及时到账，以便能</w:t>
      </w:r>
      <w:bookmarkStart w:id="0" w:name="_GoBack"/>
      <w:bookmarkEnd w:id="0"/>
      <w:r>
        <w:rPr>
          <w:rFonts w:hint="eastAsia" w:ascii="Arial" w:hAnsi="Arial" w:eastAsia="仿宋_GB2312" w:cs="Arial"/>
          <w:sz w:val="32"/>
          <w:szCs w:val="32"/>
          <w:lang w:val="en-US" w:eastAsia="zh-CN"/>
        </w:rPr>
        <w:t>及时结算开支费用。</w:t>
      </w:r>
    </w:p>
    <w:p w14:paraId="2B363CBF">
      <w:pPr>
        <w:spacing w:line="600" w:lineRule="exact"/>
        <w:ind w:firstLine="640" w:firstLineChars="200"/>
        <w:jc w:val="both"/>
        <w:rPr>
          <w:rFonts w:hint="eastAsia" w:ascii="Arial" w:hAnsi="Arial" w:eastAsia="仿宋_GB2312" w:cs="Arial"/>
          <w:sz w:val="32"/>
          <w:szCs w:val="32"/>
          <w:lang w:val="en-US" w:eastAsia="zh-CN"/>
        </w:rPr>
      </w:pPr>
      <w:r>
        <w:rPr>
          <w:rFonts w:hint="eastAsia" w:ascii="Arial" w:hAnsi="Arial" w:eastAsia="仿宋_GB2312" w:cs="Arial"/>
          <w:sz w:val="32"/>
          <w:szCs w:val="32"/>
          <w:lang w:val="en-US" w:eastAsia="zh-CN"/>
        </w:rPr>
        <w:t>2、进一步完善专项资金管理制度，严格监管专项资金的使用，坚决杜绝资金混用现象。</w:t>
      </w:r>
    </w:p>
    <w:p w14:paraId="6DFA346B">
      <w:pPr>
        <w:spacing w:line="600" w:lineRule="exact"/>
        <w:ind w:firstLine="640" w:firstLineChars="200"/>
        <w:jc w:val="both"/>
        <w:rPr>
          <w:rFonts w:hint="eastAsia" w:ascii="方正黑体_GBK" w:eastAsia="方正黑体_GBK"/>
          <w:sz w:val="32"/>
          <w:szCs w:val="32"/>
          <w:lang w:eastAsia="zh-CN"/>
        </w:rPr>
      </w:pPr>
      <w:r>
        <w:rPr>
          <w:rFonts w:hint="eastAsia" w:ascii="Arial" w:hAnsi="Arial" w:eastAsia="仿宋_GB2312" w:cs="Arial"/>
          <w:sz w:val="32"/>
          <w:szCs w:val="32"/>
          <w:lang w:val="en-US" w:eastAsia="zh-CN"/>
        </w:rPr>
        <w:t>3、进一步加强机关财务管理工作，财务管理人员要充分保障处理机关财务业务的工作时间，不断加强学习，与时俱进。</w:t>
      </w:r>
    </w:p>
    <w:p w14:paraId="714C7377">
      <w:pPr>
        <w:spacing w:line="600" w:lineRule="exact"/>
        <w:ind w:firstLine="640" w:firstLineChars="200"/>
        <w:jc w:val="both"/>
        <w:rPr>
          <w:rFonts w:hint="eastAsia" w:ascii="方正黑体_GBK" w:eastAsia="方正黑体_GBK"/>
          <w:sz w:val="32"/>
          <w:szCs w:val="32"/>
          <w:lang w:eastAsia="zh-CN"/>
        </w:rPr>
      </w:pPr>
      <w:r>
        <w:rPr>
          <w:rFonts w:hint="eastAsia" w:ascii="方正黑体_GBK" w:eastAsia="方正黑体_GBK"/>
          <w:sz w:val="32"/>
          <w:szCs w:val="32"/>
          <w:lang w:eastAsia="zh-CN"/>
        </w:rPr>
        <w:t>九、部门整体支出绩效自评结果拟应用和公开情况</w:t>
      </w:r>
    </w:p>
    <w:p w14:paraId="7022C755">
      <w:pPr>
        <w:spacing w:line="600" w:lineRule="exact"/>
        <w:ind w:firstLine="640" w:firstLineChars="200"/>
        <w:jc w:val="both"/>
        <w:rPr>
          <w:rFonts w:hint="eastAsia" w:ascii="Arial" w:hAnsi="Arial" w:eastAsia="仿宋_GB2312" w:cs="Arial"/>
          <w:sz w:val="32"/>
          <w:szCs w:val="32"/>
          <w:lang w:val="en-US" w:eastAsia="zh-CN"/>
        </w:rPr>
      </w:pPr>
      <w:r>
        <w:rPr>
          <w:rFonts w:hint="eastAsia" w:ascii="Arial" w:hAnsi="Arial" w:eastAsia="仿宋_GB2312" w:cs="Arial"/>
          <w:sz w:val="32"/>
          <w:szCs w:val="32"/>
          <w:lang w:val="en-US" w:eastAsia="zh-CN"/>
        </w:rPr>
        <w:t>本单位绩效自评结果已经应用于考核个股室和工作人员个人评先评优。自评结果将按照要求在县财政局指定的政府网站进行公开公示。</w:t>
      </w:r>
    </w:p>
    <w:p w14:paraId="17DB78B7">
      <w:pPr>
        <w:numPr>
          <w:ilvl w:val="0"/>
          <w:numId w:val="1"/>
        </w:numPr>
        <w:spacing w:line="600" w:lineRule="exact"/>
        <w:ind w:firstLine="640" w:firstLineChars="200"/>
        <w:jc w:val="both"/>
        <w:rPr>
          <w:rFonts w:hint="eastAsia" w:eastAsia="黑体"/>
          <w:sz w:val="32"/>
          <w:szCs w:val="32"/>
          <w:lang w:eastAsia="zh-CN"/>
        </w:rPr>
      </w:pPr>
      <w:r>
        <w:rPr>
          <w:rFonts w:hint="eastAsia" w:eastAsia="黑体"/>
          <w:sz w:val="32"/>
          <w:szCs w:val="32"/>
          <w:lang w:eastAsia="zh-CN"/>
        </w:rPr>
        <w:t>其他需要说明的情况</w:t>
      </w:r>
    </w:p>
    <w:p w14:paraId="1A452203">
      <w:pPr>
        <w:spacing w:line="600" w:lineRule="exact"/>
        <w:ind w:firstLine="640" w:firstLineChars="200"/>
        <w:jc w:val="both"/>
        <w:rPr>
          <w:rFonts w:hint="eastAsia" w:ascii="Arial" w:hAnsi="Arial" w:eastAsia="仿宋_GB2312" w:cs="Arial"/>
          <w:sz w:val="32"/>
          <w:szCs w:val="32"/>
          <w:lang w:val="en-US" w:eastAsia="zh-CN"/>
        </w:rPr>
      </w:pPr>
      <w:r>
        <w:rPr>
          <w:rFonts w:hint="eastAsia" w:ascii="Arial" w:hAnsi="Arial" w:eastAsia="仿宋_GB2312" w:cs="Arial"/>
          <w:sz w:val="32"/>
          <w:szCs w:val="32"/>
          <w:lang w:val="en-US" w:eastAsia="zh-CN"/>
        </w:rPr>
        <w:t>无</w:t>
      </w:r>
    </w:p>
    <w:sectPr>
      <w:footerReference r:id="rId3" w:type="default"/>
      <w:pgSz w:w="11907" w:h="16839"/>
      <w:pgMar w:top="2098" w:right="1474" w:bottom="1985" w:left="1588" w:header="0" w:footer="1588" w:gutter="0"/>
      <w:pgNumType w:fmt="numberInDash"/>
      <w:cols w:space="720" w:num="1"/>
      <w:titlePg/>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Courier New"/>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Consolas">
    <w:panose1 w:val="020B0609020204030204"/>
    <w:charset w:val="00"/>
    <w:family w:val="auto"/>
    <w:pitch w:val="default"/>
    <w:sig w:usb0="E10002FF" w:usb1="4000FCFF" w:usb2="00000009" w:usb3="00000000" w:csb0="6000019F" w:csb1="DFD7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黑体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CAA0D5">
    <w:pPr>
      <w:pStyle w:val="4"/>
      <w:ind w:firstLine="360"/>
      <w:jc w:val="right"/>
      <w:rPr>
        <w:rFonts w:ascii="仿宋_GB2312" w:eastAsia="仿宋_GB2312"/>
        <w:sz w:val="28"/>
        <w:szCs w:val="28"/>
        <w:lang w:eastAsia="zh-CN"/>
      </w:rPr>
    </w:pPr>
  </w:p>
  <w:p w14:paraId="06DB3A51">
    <w:pPr>
      <w:ind w:firstLine="420"/>
    </w:pPr>
  </w:p>
  <w:p w14:paraId="23DECE94"/>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9AA4E6"/>
    <w:multiLevelType w:val="singleLevel"/>
    <w:tmpl w:val="199AA4E6"/>
    <w:lvl w:ilvl="0" w:tentative="0">
      <w:start w:val="10"/>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420"/>
  <w:evenAndOddHeaders w:val="1"/>
  <w:drawingGridHorizontalSpacing w:val="105"/>
  <w:displayHorizontalDrawingGridEvery w:val="1"/>
  <w:displayVerticalDrawingGridEvery w:val="1"/>
  <w:noPunctuationKerning w:val="1"/>
  <w:characterSpacingControl w:val="doNotCompress"/>
  <w:noLineBreaksAfter w:lang="zh-CN" w:val="$([{£¥·‘“〈《「『【〔〖〝﹙﹛﹝＄（．［｛￡￥"/>
  <w:noLineBreaksBefore w:lang="zh-CN" w:val="!%),.:;&gt;?]}¢¨°·ˇˉ―‖’”…‰′″›℃∶、。〃〉》」』】〕〗〞︶︺︾﹀﹄﹚﹜﹞！＂％＇），．：；？］｀｜｝～￠"/>
  <w:compat>
    <w:spaceForUL/>
    <w:balanceSingleByteDoubleByteWidth/>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GJhNDUwNzRkNjE1MmRjZmExZGY2MWIyMWNkMWI1ZWIifQ=="/>
  </w:docVars>
  <w:rsids>
    <w:rsidRoot w:val="000F2365"/>
    <w:rsid w:val="000012B6"/>
    <w:rsid w:val="00071B35"/>
    <w:rsid w:val="000727C6"/>
    <w:rsid w:val="000C6CFE"/>
    <w:rsid w:val="000F2365"/>
    <w:rsid w:val="000F4247"/>
    <w:rsid w:val="00101210"/>
    <w:rsid w:val="0011599C"/>
    <w:rsid w:val="0017207F"/>
    <w:rsid w:val="001B36C3"/>
    <w:rsid w:val="002246E5"/>
    <w:rsid w:val="00225925"/>
    <w:rsid w:val="002535F3"/>
    <w:rsid w:val="00294388"/>
    <w:rsid w:val="0032277A"/>
    <w:rsid w:val="00332410"/>
    <w:rsid w:val="00354747"/>
    <w:rsid w:val="004A12A3"/>
    <w:rsid w:val="004C430B"/>
    <w:rsid w:val="004D6192"/>
    <w:rsid w:val="0050589B"/>
    <w:rsid w:val="00546F67"/>
    <w:rsid w:val="005B3427"/>
    <w:rsid w:val="005E1591"/>
    <w:rsid w:val="005E4D38"/>
    <w:rsid w:val="006116BA"/>
    <w:rsid w:val="006569FD"/>
    <w:rsid w:val="00706114"/>
    <w:rsid w:val="00727C98"/>
    <w:rsid w:val="007570FF"/>
    <w:rsid w:val="007B2398"/>
    <w:rsid w:val="007D4CFD"/>
    <w:rsid w:val="007D7028"/>
    <w:rsid w:val="007F6DFF"/>
    <w:rsid w:val="00842D81"/>
    <w:rsid w:val="008721A1"/>
    <w:rsid w:val="00890C0E"/>
    <w:rsid w:val="008918F6"/>
    <w:rsid w:val="008E128E"/>
    <w:rsid w:val="008E657E"/>
    <w:rsid w:val="00912D49"/>
    <w:rsid w:val="0097670A"/>
    <w:rsid w:val="00A00A84"/>
    <w:rsid w:val="00A13F9A"/>
    <w:rsid w:val="00A22183"/>
    <w:rsid w:val="00AB359B"/>
    <w:rsid w:val="00B86844"/>
    <w:rsid w:val="00C12207"/>
    <w:rsid w:val="00C46948"/>
    <w:rsid w:val="00D70A3F"/>
    <w:rsid w:val="00E15438"/>
    <w:rsid w:val="00E17218"/>
    <w:rsid w:val="00E64C95"/>
    <w:rsid w:val="00F22085"/>
    <w:rsid w:val="00F32DF4"/>
    <w:rsid w:val="00F72F69"/>
    <w:rsid w:val="00FA78BC"/>
    <w:rsid w:val="00FE5EBB"/>
    <w:rsid w:val="07AC683C"/>
    <w:rsid w:val="08C45C6C"/>
    <w:rsid w:val="0AD02409"/>
    <w:rsid w:val="0DAD4E1B"/>
    <w:rsid w:val="0E8D075B"/>
    <w:rsid w:val="104D2390"/>
    <w:rsid w:val="1198193E"/>
    <w:rsid w:val="12F901BB"/>
    <w:rsid w:val="15412B90"/>
    <w:rsid w:val="157B7247"/>
    <w:rsid w:val="171E35E1"/>
    <w:rsid w:val="189A5894"/>
    <w:rsid w:val="19456BC6"/>
    <w:rsid w:val="1AF514C4"/>
    <w:rsid w:val="1D352737"/>
    <w:rsid w:val="1E661C05"/>
    <w:rsid w:val="1F153328"/>
    <w:rsid w:val="1F2A6363"/>
    <w:rsid w:val="20713A86"/>
    <w:rsid w:val="20C31E08"/>
    <w:rsid w:val="23D62B00"/>
    <w:rsid w:val="25493054"/>
    <w:rsid w:val="27EC2CAD"/>
    <w:rsid w:val="281D65AA"/>
    <w:rsid w:val="285B228C"/>
    <w:rsid w:val="2BA427C8"/>
    <w:rsid w:val="2BCA2BAA"/>
    <w:rsid w:val="2C3829EF"/>
    <w:rsid w:val="2E082A3D"/>
    <w:rsid w:val="303E2FDA"/>
    <w:rsid w:val="33EC7B9C"/>
    <w:rsid w:val="35134303"/>
    <w:rsid w:val="36EF4A75"/>
    <w:rsid w:val="37375A74"/>
    <w:rsid w:val="37E1553E"/>
    <w:rsid w:val="37F952C0"/>
    <w:rsid w:val="385A6222"/>
    <w:rsid w:val="38F31085"/>
    <w:rsid w:val="39B85DFB"/>
    <w:rsid w:val="3AB91E81"/>
    <w:rsid w:val="3AE076BC"/>
    <w:rsid w:val="3D037D04"/>
    <w:rsid w:val="3D8C1766"/>
    <w:rsid w:val="3DD455A6"/>
    <w:rsid w:val="3FD50795"/>
    <w:rsid w:val="4347756E"/>
    <w:rsid w:val="46861041"/>
    <w:rsid w:val="479B74B7"/>
    <w:rsid w:val="47F0411D"/>
    <w:rsid w:val="48C434ED"/>
    <w:rsid w:val="494D3F91"/>
    <w:rsid w:val="4B1C16A7"/>
    <w:rsid w:val="4BC919E8"/>
    <w:rsid w:val="4E970C2B"/>
    <w:rsid w:val="50795403"/>
    <w:rsid w:val="57495CFA"/>
    <w:rsid w:val="58006EC2"/>
    <w:rsid w:val="585D7279"/>
    <w:rsid w:val="5DAF5613"/>
    <w:rsid w:val="5DB42C29"/>
    <w:rsid w:val="5F5720F9"/>
    <w:rsid w:val="5FAB594D"/>
    <w:rsid w:val="61681796"/>
    <w:rsid w:val="62FB6C04"/>
    <w:rsid w:val="65AF0D1D"/>
    <w:rsid w:val="668D2269"/>
    <w:rsid w:val="67404FA6"/>
    <w:rsid w:val="68B8009F"/>
    <w:rsid w:val="6A745C1A"/>
    <w:rsid w:val="6D7E6628"/>
    <w:rsid w:val="70AF75DD"/>
    <w:rsid w:val="720F5C1E"/>
    <w:rsid w:val="72F75AA7"/>
    <w:rsid w:val="74CA6436"/>
    <w:rsid w:val="75FC7E24"/>
    <w:rsid w:val="765775DC"/>
    <w:rsid w:val="77D45F4A"/>
    <w:rsid w:val="7A772BBC"/>
    <w:rsid w:val="7AC072CB"/>
    <w:rsid w:val="7E2A12B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qFormat="1" w:unhideWhenUsed="0"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uiPriority="99" w:name="HTML Definition"/>
    <w:lsdException w:qFormat="1" w:uiPriority="99" w:name="HTML Keyboard"/>
    <w:lsdException w:uiPriority="99" w:name="HTML Preformatted"/>
    <w:lsdException w:qFormat="1"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textAlignment w:val="baseline"/>
    </w:pPr>
    <w:rPr>
      <w:rFonts w:ascii="Arial" w:hAnsi="Arial" w:eastAsia="宋体" w:cs="Arial"/>
      <w:color w:val="000000"/>
      <w:kern w:val="0"/>
      <w:sz w:val="21"/>
      <w:szCs w:val="21"/>
      <w:lang w:val="en-US" w:eastAsia="en-US" w:bidi="ar-SA"/>
    </w:rPr>
  </w:style>
  <w:style w:type="character" w:default="1" w:styleId="9">
    <w:name w:val="Default Paragraph Font"/>
    <w:semiHidden/>
    <w:uiPriority w:val="99"/>
  </w:style>
  <w:style w:type="table" w:default="1" w:styleId="8">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Calibri"/>
      <w:sz w:val="20"/>
      <w:szCs w:val="20"/>
    </w:rPr>
    <w:tblPr>
      <w:tblCellMar>
        <w:top w:w="0" w:type="dxa"/>
        <w:left w:w="108" w:type="dxa"/>
        <w:bottom w:w="0" w:type="dxa"/>
        <w:right w:w="108" w:type="dxa"/>
      </w:tblCellMar>
    </w:tblPr>
  </w:style>
  <w:style w:type="paragraph" w:styleId="2">
    <w:name w:val="Body Text"/>
    <w:basedOn w:val="1"/>
    <w:link w:val="27"/>
    <w:autoRedefine/>
    <w:semiHidden/>
    <w:qFormat/>
    <w:uiPriority w:val="99"/>
    <w:pPr>
      <w:spacing w:before="20" w:line="222" w:lineRule="auto"/>
    </w:pPr>
    <w:rPr>
      <w:rFonts w:ascii="仿宋" w:hAnsi="仿宋" w:eastAsia="仿宋" w:cs="仿宋"/>
      <w:sz w:val="35"/>
      <w:szCs w:val="35"/>
    </w:rPr>
  </w:style>
  <w:style w:type="paragraph" w:styleId="3">
    <w:name w:val="Balloon Text"/>
    <w:basedOn w:val="1"/>
    <w:link w:val="18"/>
    <w:autoRedefine/>
    <w:qFormat/>
    <w:uiPriority w:val="99"/>
    <w:rPr>
      <w:sz w:val="18"/>
      <w:szCs w:val="18"/>
    </w:rPr>
  </w:style>
  <w:style w:type="paragraph" w:styleId="4">
    <w:name w:val="footer"/>
    <w:basedOn w:val="1"/>
    <w:link w:val="19"/>
    <w:autoRedefine/>
    <w:qFormat/>
    <w:uiPriority w:val="99"/>
    <w:pPr>
      <w:tabs>
        <w:tab w:val="center" w:pos="4153"/>
        <w:tab w:val="right" w:pos="8306"/>
      </w:tabs>
      <w:spacing w:line="560" w:lineRule="exact"/>
    </w:pPr>
    <w:rPr>
      <w:sz w:val="18"/>
      <w:szCs w:val="18"/>
    </w:rPr>
  </w:style>
  <w:style w:type="paragraph" w:styleId="5">
    <w:name w:val="header"/>
    <w:basedOn w:val="1"/>
    <w:link w:val="20"/>
    <w:autoRedefine/>
    <w:qFormat/>
    <w:uiPriority w:val="99"/>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6">
    <w:name w:val="Normal (Web)"/>
    <w:basedOn w:val="1"/>
    <w:semiHidden/>
    <w:unhideWhenUsed/>
    <w:qFormat/>
    <w:uiPriority w:val="99"/>
    <w:pPr>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Pr>
      <w:kern w:val="0"/>
      <w:sz w:val="24"/>
      <w:lang w:val="en-US" w:eastAsia="zh-CN" w:bidi="ar"/>
    </w:rPr>
  </w:style>
  <w:style w:type="paragraph" w:styleId="7">
    <w:name w:val="Body Text First Indent"/>
    <w:basedOn w:val="2"/>
    <w:link w:val="26"/>
    <w:semiHidden/>
    <w:unhideWhenUsed/>
    <w:qFormat/>
    <w:uiPriority w:val="99"/>
    <w:pPr>
      <w:ind w:firstLine="420" w:firstLineChars="100"/>
    </w:pPr>
  </w:style>
  <w:style w:type="character" w:styleId="10">
    <w:name w:val="Strong"/>
    <w:basedOn w:val="9"/>
    <w:qFormat/>
    <w:locked/>
    <w:uiPriority w:val="0"/>
    <w:rPr>
      <w:b/>
      <w:bCs/>
    </w:rPr>
  </w:style>
  <w:style w:type="character" w:styleId="11">
    <w:name w:val="FollowedHyperlink"/>
    <w:basedOn w:val="9"/>
    <w:semiHidden/>
    <w:unhideWhenUsed/>
    <w:qFormat/>
    <w:uiPriority w:val="99"/>
    <w:rPr>
      <w:color w:val="333333"/>
      <w:u w:val="none"/>
    </w:rPr>
  </w:style>
  <w:style w:type="character" w:styleId="12">
    <w:name w:val="Emphasis"/>
    <w:basedOn w:val="9"/>
    <w:qFormat/>
    <w:locked/>
    <w:uiPriority w:val="0"/>
  </w:style>
  <w:style w:type="character" w:styleId="13">
    <w:name w:val="Hyperlink"/>
    <w:basedOn w:val="9"/>
    <w:semiHidden/>
    <w:unhideWhenUsed/>
    <w:qFormat/>
    <w:uiPriority w:val="99"/>
    <w:rPr>
      <w:color w:val="333333"/>
      <w:u w:val="none"/>
    </w:rPr>
  </w:style>
  <w:style w:type="character" w:styleId="14">
    <w:name w:val="HTML Code"/>
    <w:basedOn w:val="9"/>
    <w:semiHidden/>
    <w:unhideWhenUsed/>
    <w:qFormat/>
    <w:uiPriority w:val="99"/>
    <w:rPr>
      <w:rFonts w:ascii="Consolas" w:hAnsi="Consolas" w:eastAsia="Consolas" w:cs="Consolas"/>
      <w:color w:val="E83E8C"/>
      <w:sz w:val="21"/>
      <w:szCs w:val="21"/>
    </w:rPr>
  </w:style>
  <w:style w:type="character" w:styleId="15">
    <w:name w:val="HTML Keyboard"/>
    <w:basedOn w:val="9"/>
    <w:semiHidden/>
    <w:unhideWhenUsed/>
    <w:qFormat/>
    <w:uiPriority w:val="99"/>
    <w:rPr>
      <w:rFonts w:hint="default" w:ascii="Consolas" w:hAnsi="Consolas" w:eastAsia="Consolas" w:cs="Consolas"/>
      <w:color w:val="FFFFFF"/>
      <w:sz w:val="21"/>
      <w:szCs w:val="21"/>
      <w:shd w:val="clear" w:fill="212529"/>
    </w:rPr>
  </w:style>
  <w:style w:type="character" w:styleId="16">
    <w:name w:val="HTML Sample"/>
    <w:basedOn w:val="9"/>
    <w:semiHidden/>
    <w:unhideWhenUsed/>
    <w:qFormat/>
    <w:uiPriority w:val="99"/>
    <w:rPr>
      <w:rFonts w:hint="default" w:ascii="Consolas" w:hAnsi="Consolas" w:eastAsia="Consolas" w:cs="Consolas"/>
      <w:sz w:val="21"/>
      <w:szCs w:val="21"/>
    </w:rPr>
  </w:style>
  <w:style w:type="character" w:customStyle="1" w:styleId="17">
    <w:name w:val="Body Text Char"/>
    <w:basedOn w:val="9"/>
    <w:link w:val="2"/>
    <w:semiHidden/>
    <w:qFormat/>
    <w:locked/>
    <w:uiPriority w:val="99"/>
    <w:rPr>
      <w:rFonts w:cs="Times New Roman"/>
      <w:color w:val="000000"/>
      <w:kern w:val="0"/>
      <w:sz w:val="21"/>
      <w:szCs w:val="21"/>
      <w:lang w:eastAsia="en-US"/>
    </w:rPr>
  </w:style>
  <w:style w:type="character" w:customStyle="1" w:styleId="18">
    <w:name w:val="Balloon Text Char"/>
    <w:basedOn w:val="9"/>
    <w:link w:val="3"/>
    <w:qFormat/>
    <w:locked/>
    <w:uiPriority w:val="99"/>
    <w:rPr>
      <w:rFonts w:eastAsia="Times New Roman" w:cs="Times New Roman"/>
      <w:snapToGrid w:val="0"/>
      <w:color w:val="000000"/>
      <w:sz w:val="18"/>
      <w:szCs w:val="18"/>
      <w:lang w:eastAsia="en-US"/>
    </w:rPr>
  </w:style>
  <w:style w:type="character" w:customStyle="1" w:styleId="19">
    <w:name w:val="Footer Char"/>
    <w:basedOn w:val="9"/>
    <w:link w:val="4"/>
    <w:qFormat/>
    <w:locked/>
    <w:uiPriority w:val="99"/>
    <w:rPr>
      <w:rFonts w:eastAsia="Times New Roman" w:cs="Times New Roman"/>
      <w:snapToGrid w:val="0"/>
      <w:color w:val="000000"/>
      <w:sz w:val="18"/>
      <w:szCs w:val="18"/>
      <w:lang w:eastAsia="en-US"/>
    </w:rPr>
  </w:style>
  <w:style w:type="character" w:customStyle="1" w:styleId="20">
    <w:name w:val="Header Char"/>
    <w:basedOn w:val="9"/>
    <w:link w:val="5"/>
    <w:semiHidden/>
    <w:qFormat/>
    <w:locked/>
    <w:uiPriority w:val="99"/>
    <w:rPr>
      <w:rFonts w:cs="Times New Roman"/>
      <w:color w:val="000000"/>
      <w:kern w:val="0"/>
      <w:sz w:val="18"/>
      <w:szCs w:val="18"/>
      <w:lang w:eastAsia="en-US"/>
    </w:rPr>
  </w:style>
  <w:style w:type="table" w:customStyle="1" w:styleId="21">
    <w:name w:val="Table Normal1"/>
    <w:semiHidden/>
    <w:qFormat/>
    <w:uiPriority w:val="99"/>
    <w:rPr>
      <w:kern w:val="0"/>
      <w:sz w:val="20"/>
      <w:szCs w:val="20"/>
    </w:rPr>
    <w:tblPr>
      <w:tblCellMar>
        <w:top w:w="0" w:type="dxa"/>
        <w:left w:w="0" w:type="dxa"/>
        <w:bottom w:w="0" w:type="dxa"/>
        <w:right w:w="0" w:type="dxa"/>
      </w:tblCellMar>
    </w:tblPr>
  </w:style>
  <w:style w:type="paragraph" w:customStyle="1" w:styleId="22">
    <w:name w:val="Table Text"/>
    <w:basedOn w:val="1"/>
    <w:autoRedefine/>
    <w:semiHidden/>
    <w:qFormat/>
    <w:uiPriority w:val="99"/>
  </w:style>
  <w:style w:type="paragraph" w:styleId="23">
    <w:name w:val="List Paragraph"/>
    <w:basedOn w:val="1"/>
    <w:qFormat/>
    <w:uiPriority w:val="99"/>
    <w:pPr>
      <w:ind w:firstLine="420" w:firstLineChars="200"/>
    </w:pPr>
  </w:style>
  <w:style w:type="paragraph" w:customStyle="1" w:styleId="24">
    <w:name w:val="Default"/>
    <w:qFormat/>
    <w:uiPriority w:val="99"/>
    <w:pPr>
      <w:widowControl w:val="0"/>
      <w:autoSpaceDE w:val="0"/>
      <w:autoSpaceDN w:val="0"/>
      <w:adjustRightInd w:val="0"/>
    </w:pPr>
    <w:rPr>
      <w:rFonts w:ascii="黑体" w:hAnsi="Calibri" w:eastAsia="黑体" w:cs="黑体"/>
      <w:color w:val="000000"/>
      <w:kern w:val="0"/>
      <w:sz w:val="24"/>
      <w:szCs w:val="24"/>
      <w:lang w:val="en-US" w:eastAsia="zh-CN" w:bidi="ar-SA"/>
    </w:rPr>
  </w:style>
  <w:style w:type="character" w:customStyle="1" w:styleId="25">
    <w:name w:val="font11"/>
    <w:basedOn w:val="9"/>
    <w:qFormat/>
    <w:uiPriority w:val="99"/>
    <w:rPr>
      <w:rFonts w:ascii="宋体" w:hAnsi="宋体" w:eastAsia="宋体" w:cs="宋体"/>
      <w:color w:val="000000"/>
      <w:sz w:val="24"/>
      <w:szCs w:val="24"/>
      <w:u w:val="none"/>
    </w:rPr>
  </w:style>
  <w:style w:type="character" w:customStyle="1" w:styleId="26">
    <w:name w:val="正文首行缩进 Char"/>
    <w:basedOn w:val="27"/>
    <w:link w:val="7"/>
    <w:qFormat/>
    <w:uiPriority w:val="0"/>
    <w:rPr>
      <w:kern w:val="2"/>
      <w:sz w:val="21"/>
      <w:szCs w:val="24"/>
    </w:rPr>
  </w:style>
  <w:style w:type="character" w:customStyle="1" w:styleId="27">
    <w:name w:val="正文文本 Char"/>
    <w:basedOn w:val="9"/>
    <w:link w:val="2"/>
    <w:qFormat/>
    <w:uiPriority w:val="0"/>
    <w:rPr>
      <w:kern w:val="2"/>
      <w:sz w:val="21"/>
      <w:szCs w:val="24"/>
    </w:rPr>
  </w:style>
  <w:style w:type="character" w:customStyle="1" w:styleId="28">
    <w:name w:val="wx-space"/>
    <w:basedOn w:val="9"/>
    <w:qFormat/>
    <w:uiPriority w:val="0"/>
  </w:style>
  <w:style w:type="character" w:customStyle="1" w:styleId="29">
    <w:name w:val="wx-space1"/>
    <w:basedOn w:val="9"/>
    <w:qFormat/>
    <w:uiPriority w:val="0"/>
  </w:style>
  <w:style w:type="character" w:customStyle="1" w:styleId="30">
    <w:name w:val="hover3"/>
    <w:basedOn w:val="9"/>
    <w:qFormat/>
    <w:uiPriority w:val="0"/>
    <w:rPr>
      <w:color w:val="000000"/>
      <w:shd w:val="clear" w:fill="FFFFFF"/>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Microsoft</Company>
  <Pages>8</Pages>
  <Words>3153</Words>
  <Characters>3312</Characters>
  <Lines>0</Lines>
  <Paragraphs>0</Paragraphs>
  <TotalTime>14</TotalTime>
  <ScaleCrop>false</ScaleCrop>
  <LinksUpToDate>false</LinksUpToDate>
  <CharactersWithSpaces>3315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2024-03-25T08:56:00Z</dcterms:created>
  <dc:creator>Administrator</dc:creator>
  <cp:lastModifiedBy>红梅</cp:lastModifiedBy>
  <cp:lastPrinted>2024-04-02T01:43:00Z</cp:lastPrinted>
  <dcterms:modified xsi:type="dcterms:W3CDTF">2024-10-11T02:18:24Z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UsrData">
    <vt:lpwstr>65fbe1d271bc50001f716906wl</vt:lpwstr>
  </property>
  <property fmtid="{D5CDD505-2E9C-101B-9397-08002B2CF9AE}" pid="4" name="KSOProductBuildVer">
    <vt:lpwstr>2052-12.1.0.18276</vt:lpwstr>
  </property>
  <property fmtid="{D5CDD505-2E9C-101B-9397-08002B2CF9AE}" pid="5" name="ICV">
    <vt:lpwstr>7863570836064237B5B0EE3419BAB8E8_13</vt:lpwstr>
  </property>
</Properties>
</file>