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0"/>
        <w:keepNext w:val="0"/>
        <w:keepLines w:val="0"/>
        <w:pageBreakBefore w:val="0"/>
        <w:widowControl/>
        <w:kinsoku/>
        <w:wordWrap/>
        <w:overflowPunct/>
        <w:topLinePunct/>
        <w:autoSpaceDN/>
        <w:bidi w:val="0"/>
        <w:ind w:firstLine="0" w:firstLineChars="0"/>
        <w:jc w:val="center"/>
        <w:rPr>
          <w:b/>
          <w:bCs/>
          <w:sz w:val="32"/>
          <w:szCs w:val="32"/>
        </w:rPr>
      </w:pPr>
    </w:p>
    <w:p w14:paraId="44EB5EED">
      <w:pPr>
        <w:pStyle w:val="30"/>
        <w:keepNext w:val="0"/>
        <w:keepLines w:val="0"/>
        <w:pageBreakBefore w:val="0"/>
        <w:widowControl/>
        <w:kinsoku/>
        <w:wordWrap/>
        <w:overflowPunct/>
        <w:topLinePunct/>
        <w:autoSpaceDN/>
        <w:bidi w:val="0"/>
        <w:ind w:firstLine="0" w:firstLineChars="0"/>
        <w:jc w:val="center"/>
        <w:rPr>
          <w:b/>
          <w:bCs/>
          <w:sz w:val="32"/>
          <w:szCs w:val="32"/>
        </w:rPr>
      </w:pPr>
    </w:p>
    <w:p w14:paraId="459BC6A4">
      <w:pPr>
        <w:pStyle w:val="30"/>
        <w:keepNext w:val="0"/>
        <w:keepLines w:val="0"/>
        <w:pageBreakBefore w:val="0"/>
        <w:widowControl/>
        <w:kinsoku/>
        <w:wordWrap/>
        <w:overflowPunct/>
        <w:topLinePunct/>
        <w:autoSpaceDN/>
        <w:bidi w:val="0"/>
        <w:ind w:firstLine="0" w:firstLineChars="0"/>
        <w:rPr>
          <w:b/>
          <w:bCs/>
          <w:sz w:val="32"/>
          <w:szCs w:val="32"/>
        </w:rPr>
      </w:pPr>
    </w:p>
    <w:p w14:paraId="2D9A268A">
      <w:pPr>
        <w:pStyle w:val="30"/>
        <w:keepNext w:val="0"/>
        <w:keepLines w:val="0"/>
        <w:pageBreakBefore w:val="0"/>
        <w:widowControl/>
        <w:kinsoku/>
        <w:wordWrap/>
        <w:overflowPunct/>
        <w:topLinePunct/>
        <w:autoSpaceDE/>
        <w:autoSpaceDN/>
        <w:bidi w:val="0"/>
        <w:adjustRightInd w:val="0"/>
        <w:snapToGrid w:val="0"/>
        <w:spacing w:before="157" w:beforeLines="50" w:after="157" w:afterLines="50" w:line="536" w:lineRule="exact"/>
        <w:ind w:firstLine="0" w:firstLineChars="0"/>
        <w:jc w:val="right"/>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岳县环评﹝2024﹞36号</w:t>
      </w:r>
    </w:p>
    <w:p w14:paraId="4FEF6043">
      <w:pPr>
        <w:keepNext w:val="0"/>
        <w:keepLines w:val="0"/>
        <w:pageBreakBefore w:val="0"/>
        <w:widowControl w:val="0"/>
        <w:kinsoku/>
        <w:wordWrap/>
        <w:overflowPunct/>
        <w:topLinePunct/>
        <w:autoSpaceDE w:val="0"/>
        <w:autoSpaceDN/>
        <w:bidi w:val="0"/>
        <w:adjustRightInd/>
        <w:snapToGrid/>
        <w:spacing w:after="0" w:line="576" w:lineRule="exact"/>
        <w:ind w:firstLine="0" w:firstLineChars="0"/>
        <w:jc w:val="center"/>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方正小标宋简体" w:hAnsi="方正小标宋简体" w:eastAsia="方正小标宋简体" w:cs="宋体"/>
          <w:b w:val="0"/>
          <w:bCs w:val="0"/>
          <w:spacing w:val="0"/>
          <w:kern w:val="2"/>
          <w:sz w:val="44"/>
          <w:szCs w:val="44"/>
          <w:lang w:eastAsia="zh-CN"/>
        </w:rPr>
        <w:t>关于</w:t>
      </w:r>
      <w:r>
        <w:rPr>
          <w:rFonts w:hint="default" w:ascii="方正小标宋简体" w:hAnsi="方正小标宋简体" w:eastAsia="方正小标宋简体" w:cs="方正小标宋简体"/>
          <w:b w:val="0"/>
          <w:bCs w:val="0"/>
          <w:spacing w:val="-20"/>
          <w:sz w:val="44"/>
          <w:szCs w:val="44"/>
          <w:lang w:val="en-US" w:eastAsia="zh-CN"/>
        </w:rPr>
        <w:t>新型墙材隧道窑综合利用一般固废项目</w:t>
      </w:r>
      <w:r>
        <w:rPr>
          <w:rFonts w:hint="eastAsia" w:ascii="方正小标宋简体" w:hAnsi="方正小标宋简体" w:eastAsia="方正小标宋简体" w:cs="方正小标宋简体"/>
          <w:b w:val="0"/>
          <w:bCs w:val="0"/>
          <w:spacing w:val="0"/>
          <w:kern w:val="2"/>
          <w:sz w:val="44"/>
          <w:szCs w:val="44"/>
          <w:lang w:eastAsia="zh-CN"/>
        </w:rPr>
        <w:t>环境影响报告表的批复</w:t>
      </w:r>
    </w:p>
    <w:p w14:paraId="3CE5FBF4">
      <w:pPr>
        <w:keepNext w:val="0"/>
        <w:keepLines w:val="0"/>
        <w:pageBreakBefore w:val="0"/>
        <w:widowControl w:val="0"/>
        <w:kinsoku/>
        <w:wordWrap/>
        <w:overflowPunct/>
        <w:topLinePunct/>
        <w:autoSpaceDE w:val="0"/>
        <w:autoSpaceDN/>
        <w:bidi w:val="0"/>
        <w:adjustRightInd/>
        <w:snapToGrid/>
        <w:spacing w:after="0" w:line="480"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default" w:ascii="仿宋_GB2312" w:hAnsi="仿宋_GB2312" w:eastAsia="仿宋_GB2312" w:cs="仿宋_GB2312"/>
          <w:sz w:val="32"/>
          <w:szCs w:val="32"/>
          <w:lang w:val="en-US" w:eastAsia="zh-CN"/>
        </w:rPr>
        <w:t>岳阳飞安环保科技有限公司</w:t>
      </w:r>
      <w:r>
        <w:rPr>
          <w:rFonts w:hint="eastAsia" w:ascii="仿宋_GB2312" w:hAnsi="仿宋_GB2312" w:eastAsia="仿宋_GB2312" w:cs="仿宋_GB2312"/>
          <w:color w:val="auto"/>
          <w:kern w:val="2"/>
          <w:sz w:val="32"/>
          <w:szCs w:val="32"/>
          <w:u w:val="none" w:color="auto"/>
          <w:lang w:eastAsia="zh-CN"/>
        </w:rPr>
        <w:t>：</w:t>
      </w:r>
    </w:p>
    <w:p w14:paraId="1DD0D521">
      <w:pPr>
        <w:keepNext w:val="0"/>
        <w:keepLines w:val="0"/>
        <w:pageBreakBefore w:val="0"/>
        <w:widowControl w:val="0"/>
        <w:kinsoku/>
        <w:wordWrap/>
        <w:overflowPunct/>
        <w:topLinePunct/>
        <w:autoSpaceDE w:val="0"/>
        <w:autoSpaceDN/>
        <w:bidi w:val="0"/>
        <w:adjustRightInd/>
        <w:snapToGrid/>
        <w:spacing w:after="0" w:line="48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你公司（法人代表：姚宇，统一社会信用代码：91430621MA4QGLY927）于</w:t>
      </w:r>
      <w:r>
        <w:rPr>
          <w:rFonts w:hint="eastAsia" w:ascii="仿宋_GB2312" w:hAnsi="仿宋_GB2312" w:eastAsia="仿宋_GB2312" w:cs="仿宋_GB2312"/>
          <w:color w:val="auto"/>
          <w:kern w:val="2"/>
          <w:sz w:val="32"/>
          <w:szCs w:val="32"/>
          <w:u w:val="none" w:color="auto"/>
          <w:lang w:val="en-US" w:eastAsia="zh-CN"/>
        </w:rPr>
        <w:t>2024年12月12日提出建设项目环境影响评价审批报告表（普通类）行政许可申请，根据</w:t>
      </w:r>
      <w:r>
        <w:rPr>
          <w:rFonts w:hint="eastAsia" w:ascii="仿宋_GB2312" w:hAnsi="仿宋_GB2312" w:eastAsia="仿宋_GB2312" w:cs="仿宋_GB2312"/>
          <w:color w:val="auto"/>
          <w:kern w:val="2"/>
          <w:sz w:val="32"/>
          <w:szCs w:val="32"/>
          <w:u w:val="none" w:color="auto"/>
          <w:lang w:eastAsia="zh-CN"/>
        </w:rPr>
        <w:t>你单位报批的《</w:t>
      </w:r>
      <w:r>
        <w:rPr>
          <w:rFonts w:hint="default" w:ascii="仿宋_GB2312" w:hAnsi="仿宋_GB2312" w:eastAsia="仿宋_GB2312" w:cs="仿宋_GB2312"/>
          <w:sz w:val="32"/>
          <w:szCs w:val="32"/>
          <w:lang w:val="en-US" w:eastAsia="zh-CN"/>
        </w:rPr>
        <w:t>新型墙材隧道窑综合利用一般固废项目</w:t>
      </w:r>
      <w:r>
        <w:rPr>
          <w:rFonts w:hint="eastAsia" w:ascii="仿宋_GB2312" w:hAnsi="仿宋_GB2312" w:eastAsia="仿宋_GB2312" w:cs="仿宋_GB2312"/>
          <w:color w:val="auto"/>
          <w:kern w:val="2"/>
          <w:sz w:val="32"/>
          <w:szCs w:val="32"/>
          <w:u w:val="none" w:color="auto"/>
          <w:lang w:eastAsia="zh-CN"/>
        </w:rPr>
        <w:t>环境影响报告表》（以下简称：报告表）</w:t>
      </w:r>
      <w:r>
        <w:rPr>
          <w:rFonts w:hint="eastAsia" w:ascii="仿宋_GB2312" w:hAnsi="仿宋_GB2312" w:eastAsia="仿宋_GB2312" w:cs="仿宋_GB2312"/>
          <w:color w:val="auto"/>
          <w:kern w:val="2"/>
          <w:sz w:val="32"/>
          <w:szCs w:val="32"/>
          <w:u w:val="none" w:color="auto"/>
          <w:lang w:val="en-US" w:eastAsia="zh-CN"/>
        </w:rPr>
        <w:t>和岳阳市岳阳县生态环境事务中心《</w:t>
      </w:r>
      <w:r>
        <w:rPr>
          <w:rFonts w:hint="default" w:ascii="仿宋_GB2312" w:hAnsi="仿宋_GB2312" w:eastAsia="仿宋_GB2312" w:cs="仿宋_GB2312"/>
          <w:sz w:val="32"/>
          <w:szCs w:val="32"/>
          <w:lang w:val="en-US" w:eastAsia="zh-CN"/>
        </w:rPr>
        <w:t>岳阳飞安环保科技有限公司新型墙材隧道窑综合利用一般固废项目</w:t>
      </w:r>
      <w:r>
        <w:rPr>
          <w:rFonts w:hint="eastAsia" w:ascii="仿宋_GB2312" w:hAnsi="仿宋_GB2312" w:eastAsia="仿宋_GB2312" w:cs="仿宋_GB2312"/>
          <w:color w:val="auto"/>
          <w:kern w:val="2"/>
          <w:sz w:val="32"/>
          <w:szCs w:val="32"/>
          <w:u w:val="none" w:color="auto"/>
          <w:lang w:val="en-US" w:eastAsia="zh-CN"/>
        </w:rPr>
        <w:t>环境影响报告表技术评估报告》（岳县环事评估〔2024〕</w:t>
      </w:r>
      <w:r>
        <w:rPr>
          <w:rFonts w:hint="eastAsia" w:ascii="仿宋_GB2312" w:hAnsi="仿宋_GB2312" w:eastAsia="仿宋_GB2312" w:cs="仿宋_GB2312"/>
          <w:b w:val="0"/>
          <w:bCs w:val="0"/>
          <w:color w:val="auto"/>
          <w:kern w:val="2"/>
          <w:sz w:val="32"/>
          <w:szCs w:val="32"/>
          <w:highlight w:val="none"/>
          <w:u w:val="none" w:color="auto"/>
          <w:lang w:val="en-US" w:eastAsia="zh-CN"/>
        </w:rPr>
        <w:t>33</w:t>
      </w:r>
      <w:r>
        <w:rPr>
          <w:rFonts w:hint="eastAsia" w:ascii="仿宋_GB2312" w:hAnsi="仿宋_GB2312" w:eastAsia="仿宋_GB2312" w:cs="仿宋_GB2312"/>
          <w:color w:val="auto"/>
          <w:kern w:val="2"/>
          <w:sz w:val="32"/>
          <w:szCs w:val="32"/>
          <w:u w:val="none" w:color="auto"/>
          <w:lang w:val="en-US" w:eastAsia="zh-CN"/>
        </w:rPr>
        <w:t>号）及专家评审意见，</w:t>
      </w:r>
      <w:r>
        <w:rPr>
          <w:rFonts w:hint="eastAsia" w:ascii="仿宋_GB2312" w:hAnsi="仿宋_GB2312" w:eastAsia="仿宋_GB2312" w:cs="仿宋_GB2312"/>
          <w:color w:val="auto"/>
          <w:kern w:val="2"/>
          <w:sz w:val="32"/>
          <w:szCs w:val="32"/>
          <w:u w:val="none" w:color="auto"/>
          <w:lang w:eastAsia="zh-CN"/>
        </w:rPr>
        <w:t>经研究，批复如下：</w:t>
      </w:r>
    </w:p>
    <w:p w14:paraId="434E1F6D">
      <w:pPr>
        <w:keepNext w:val="0"/>
        <w:keepLines w:val="0"/>
        <w:pageBreakBefore w:val="0"/>
        <w:widowControl w:val="0"/>
        <w:kinsoku/>
        <w:wordWrap/>
        <w:overflowPunct/>
        <w:topLinePunct/>
        <w:autoSpaceDE w:val="0"/>
        <w:autoSpaceDN/>
        <w:bidi w:val="0"/>
        <w:adjustRightInd/>
        <w:snapToGrid/>
        <w:spacing w:after="0" w:line="48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一、你公司拟投资3000万元，</w:t>
      </w:r>
      <w:r>
        <w:rPr>
          <w:rFonts w:hint="eastAsia" w:ascii="仿宋_GB2312" w:hAnsi="仿宋_GB2312" w:eastAsia="仿宋_GB2312" w:cs="仿宋_GB2312"/>
          <w:bCs/>
          <w:color w:val="auto"/>
          <w:kern w:val="2"/>
          <w:sz w:val="32"/>
          <w:szCs w:val="32"/>
          <w:u w:val="none" w:color="auto"/>
          <w:lang w:val="en-US" w:eastAsia="zh-CN" w:bidi="ar-SA"/>
        </w:rPr>
        <w:t>对现有工程原燃料利用方案进行增减，拟增加粉煤灰、燃煤炉渣、滤渣等一般固体废物作为制砖主要原燃料，减少燃煤用量，生产工艺、生产设备均不发生变化，延长生产时间，使生产规模由1.2亿标砖/年提高至1.8亿标砖/年。本次改造升级建设均在厂区内，增加滤渣、粉煤灰、燃煤炉渣的贮存场，拟对双碱法烟气处理系统改造成石灰石-石膏法湿式烟气处理系统，其他设施、设备均依托现有工程，不新增用地。项目以页岩、城市渣土、城镇生活污泥和煤变为页岩、城市渣土、城镇污泥、煤矸石、粉煤灰、燃煤炉渣、滤渣等为原料，经预处理</w:t>
      </w:r>
      <w:r>
        <w:rPr>
          <w:rFonts w:hint="default" w:ascii="仿宋_GB2312" w:hAnsi="仿宋_GB2312" w:eastAsia="仿宋_GB2312" w:cs="仿宋_GB2312"/>
          <w:bCs/>
          <w:color w:val="auto"/>
          <w:kern w:val="2"/>
          <w:sz w:val="32"/>
          <w:szCs w:val="32"/>
          <w:u w:val="none" w:color="auto"/>
          <w:lang w:val="en-US" w:eastAsia="zh-CN" w:bidi="ar-SA"/>
        </w:rPr>
        <w:t>、</w:t>
      </w:r>
      <w:r>
        <w:rPr>
          <w:rFonts w:hint="eastAsia" w:ascii="仿宋_GB2312" w:hAnsi="仿宋_GB2312" w:eastAsia="仿宋_GB2312" w:cs="仿宋_GB2312"/>
          <w:bCs/>
          <w:color w:val="auto"/>
          <w:kern w:val="2"/>
          <w:sz w:val="32"/>
          <w:szCs w:val="32"/>
          <w:u w:val="none" w:color="auto"/>
          <w:lang w:val="en-US" w:eastAsia="zh-CN" w:bidi="ar-SA"/>
        </w:rPr>
        <w:t>破碎、筛分、搅拌、陈化、成型、干燥与焙烧等工序生产烧结砖。</w:t>
      </w:r>
      <w:r>
        <w:rPr>
          <w:rFonts w:hint="eastAsia" w:ascii="仿宋_GB2312" w:hAnsi="仿宋_GB2312" w:eastAsia="仿宋_GB2312" w:cs="仿宋_GB2312"/>
          <w:color w:val="auto"/>
          <w:kern w:val="2"/>
          <w:sz w:val="32"/>
          <w:szCs w:val="32"/>
          <w:u w:val="none" w:color="auto"/>
          <w:lang w:val="en-US" w:eastAsia="zh-CN"/>
        </w:rPr>
        <w:t>该项目在落实报告表和本批复提出的各项生态环境保护措施，并确保各类污染物稳定达标排放的前提下，项目对环境的不利影响能够得到缓解和控制，我局原则同意该项目建设。</w:t>
      </w:r>
    </w:p>
    <w:p w14:paraId="3BE02115">
      <w:pPr>
        <w:keepNext w:val="0"/>
        <w:keepLines w:val="0"/>
        <w:pageBreakBefore w:val="0"/>
        <w:widowControl w:val="0"/>
        <w:kinsoku/>
        <w:wordWrap/>
        <w:overflowPunct/>
        <w:topLinePunct/>
        <w:autoSpaceDE w:val="0"/>
        <w:autoSpaceDN/>
        <w:bidi w:val="0"/>
        <w:adjustRightInd/>
        <w:snapToGrid/>
        <w:spacing w:after="0" w:line="48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val="en-US" w:eastAsia="zh-CN"/>
        </w:rPr>
        <w:t>二、</w:t>
      </w:r>
      <w:r>
        <w:rPr>
          <w:rFonts w:hint="eastAsia" w:ascii="仿宋_GB2312" w:hAnsi="仿宋_GB2312" w:eastAsia="仿宋_GB2312" w:cs="仿宋_GB2312"/>
          <w:color w:val="auto"/>
          <w:kern w:val="2"/>
          <w:sz w:val="32"/>
          <w:szCs w:val="32"/>
          <w:u w:val="none" w:color="auto"/>
          <w:lang w:eastAsia="zh-CN"/>
        </w:rPr>
        <w:t>你公司在项目设计、建设和环境管理中，须全面落实《报告表》提出的各项生态环境保护措施，并在项目建设及运营中着重做好以下环保工作：</w:t>
      </w:r>
    </w:p>
    <w:p w14:paraId="65941599">
      <w:pPr>
        <w:keepNext w:val="0"/>
        <w:keepLines w:val="0"/>
        <w:pageBreakBefore w:val="0"/>
        <w:widowControl w:val="0"/>
        <w:kinsoku/>
        <w:wordWrap/>
        <w:overflowPunct/>
        <w:topLinePunct/>
        <w:autoSpaceDE w:val="0"/>
        <w:autoSpaceDN/>
        <w:bidi w:val="0"/>
        <w:adjustRightInd/>
        <w:snapToGrid/>
        <w:spacing w:after="0" w:line="480" w:lineRule="exact"/>
        <w:ind w:firstLine="643"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
          <w:bCs/>
          <w:color w:val="auto"/>
          <w:kern w:val="2"/>
          <w:sz w:val="32"/>
          <w:szCs w:val="32"/>
          <w:u w:val="none" w:color="auto"/>
          <w:lang w:val="en-US" w:eastAsia="zh-CN"/>
        </w:rPr>
        <w:t>1.严格控制原燃料入厂要求。</w:t>
      </w:r>
      <w:r>
        <w:rPr>
          <w:rFonts w:hint="eastAsia" w:ascii="仿宋_GB2312" w:hAnsi="仿宋_GB2312" w:eastAsia="仿宋_GB2312" w:cs="仿宋_GB2312"/>
          <w:bCs/>
          <w:color w:val="auto"/>
          <w:kern w:val="2"/>
          <w:sz w:val="32"/>
          <w:szCs w:val="32"/>
          <w:u w:val="none" w:color="auto"/>
          <w:lang w:val="en-US" w:eastAsia="zh-CN" w:bidi="ar-SA"/>
        </w:rPr>
        <w:t>燃料煤含硫量控制在0.35%以下。使用长岭公司污水处理站滤渣，入厂前必须经有资质单位做相关成分分析检测，确保使用的滤渣为一般工业固体废物，禁止使用危险废物、放射性废物、爆炸物、未知特性和未经鉴定的废物作为制砖原燃料。禁止使用外单位产生的脱硫石膏用于厂区制砖原料。</w:t>
      </w:r>
    </w:p>
    <w:p w14:paraId="6F36FE3D">
      <w:pPr>
        <w:keepNext w:val="0"/>
        <w:keepLines w:val="0"/>
        <w:pageBreakBefore w:val="0"/>
        <w:widowControl w:val="0"/>
        <w:kinsoku/>
        <w:wordWrap/>
        <w:overflowPunct/>
        <w:topLinePunct/>
        <w:autoSpaceDE w:val="0"/>
        <w:autoSpaceDN/>
        <w:bidi w:val="0"/>
        <w:adjustRightInd/>
        <w:snapToGrid/>
        <w:spacing w:after="0" w:line="480" w:lineRule="exact"/>
        <w:ind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val="0"/>
          <w:color w:val="auto"/>
          <w:kern w:val="2"/>
          <w:sz w:val="32"/>
          <w:szCs w:val="32"/>
          <w:u w:val="none" w:color="auto"/>
          <w:lang w:val="en-US" w:eastAsia="zh-CN" w:bidi="ar-SA"/>
        </w:rPr>
        <w:t>2.</w:t>
      </w:r>
      <w:r>
        <w:rPr>
          <w:rFonts w:hint="eastAsia" w:ascii="仿宋_GB2312" w:hAnsi="仿宋_GB2312" w:eastAsia="仿宋_GB2312" w:cs="仿宋_GB2312"/>
          <w:b/>
          <w:bCs/>
          <w:color w:val="auto"/>
          <w:kern w:val="2"/>
          <w:sz w:val="32"/>
          <w:szCs w:val="32"/>
          <w:u w:val="none" w:color="auto"/>
          <w:lang w:eastAsia="zh-CN"/>
        </w:rPr>
        <w:t>落实</w:t>
      </w:r>
      <w:r>
        <w:rPr>
          <w:rFonts w:hint="eastAsia" w:ascii="仿宋_GB2312" w:hAnsi="仿宋_GB2312" w:eastAsia="仿宋_GB2312" w:cs="仿宋_GB2312"/>
          <w:b/>
          <w:bCs/>
          <w:color w:val="auto"/>
          <w:kern w:val="2"/>
          <w:sz w:val="32"/>
          <w:szCs w:val="32"/>
          <w:u w:val="none" w:color="auto"/>
          <w:lang w:val="en-US" w:eastAsia="zh-CN"/>
        </w:rPr>
        <w:t>大气</w:t>
      </w:r>
      <w:r>
        <w:rPr>
          <w:rFonts w:hint="eastAsia" w:ascii="仿宋_GB2312" w:hAnsi="仿宋_GB2312" w:eastAsia="仿宋_GB2312" w:cs="仿宋_GB2312"/>
          <w:b/>
          <w:bCs/>
          <w:color w:val="auto"/>
          <w:kern w:val="2"/>
          <w:sz w:val="32"/>
          <w:szCs w:val="32"/>
          <w:u w:val="none" w:color="auto"/>
          <w:lang w:eastAsia="zh-CN"/>
        </w:rPr>
        <w:t>污染防治措施。</w:t>
      </w:r>
      <w:r>
        <w:rPr>
          <w:rFonts w:hint="eastAsia" w:ascii="仿宋_GB2312" w:hAnsi="仿宋_GB2312" w:eastAsia="仿宋_GB2312" w:cs="仿宋_GB2312"/>
          <w:color w:val="auto"/>
          <w:sz w:val="32"/>
          <w:szCs w:val="32"/>
          <w:u w:val="none" w:color="auto"/>
          <w:lang w:val="en-US" w:eastAsia="zh-CN"/>
        </w:rPr>
        <w:t>原料制备车间破碎、搅拌、筛分工序废气经集气系统</w:t>
      </w:r>
      <w:bookmarkStart w:id="0" w:name="_GoBack"/>
      <w:bookmarkEnd w:id="0"/>
      <w:r>
        <w:rPr>
          <w:rFonts w:hint="eastAsia" w:ascii="仿宋_GB2312" w:hAnsi="仿宋_GB2312" w:eastAsia="仿宋_GB2312" w:cs="仿宋_GB2312"/>
          <w:color w:val="auto"/>
          <w:sz w:val="32"/>
          <w:szCs w:val="32"/>
          <w:u w:val="none" w:color="auto"/>
          <w:lang w:val="en-US" w:eastAsia="zh-CN"/>
        </w:rPr>
        <w:t>送布袋除尘系统处理后，通过1根15m高排气筒（DA002）排放，颗粒物执行《砖瓦工业大气污染物排放标准》（GB29620-2013）及其修改单中排放限值表2大气污染物排放限值要求；污泥干化炭化系统蒸发产生的尾气（恶臭气体）送入隧道窑中焚烧处理，隧道窑烧结干燥烟气经石灰/石膏法湿式烟气处理系统处理后通过1根40m高排气筒（DA001）排放，颗粒物、二氧化硫、氮氧化物执行《工业炉窑主要大气污染物排放标准》（DB43/3082-2024）中表4砖瓦工业标准限值、氟化物执行《砖瓦工业大气污染物排放标准》（GB29620-2013）中表2大气污染物排放限值（颗粒物20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、二氧化硫50mg/m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、氮氧化物100mg/m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、氟化物3mg/m</w:t>
      </w:r>
      <w:r>
        <w:rPr>
          <w:rFonts w:hint="eastAsia" w:ascii="仿宋_GB2312" w:hAnsi="仿宋_GB2312" w:eastAsia="仿宋_GB2312" w:cs="仿宋_GB2312"/>
          <w:color w:val="auto"/>
          <w:sz w:val="32"/>
          <w:szCs w:val="32"/>
          <w:u w:val="none" w:color="auto"/>
          <w:vertAlign w:val="superscript"/>
          <w:lang w:val="en-US" w:eastAsia="zh-CN"/>
        </w:rPr>
        <w:t>3</w:t>
      </w:r>
      <w:r>
        <w:rPr>
          <w:rFonts w:hint="eastAsia" w:ascii="仿宋_GB2312" w:hAnsi="仿宋_GB2312" w:eastAsia="仿宋_GB2312" w:cs="仿宋_GB2312"/>
          <w:color w:val="auto"/>
          <w:sz w:val="32"/>
          <w:szCs w:val="32"/>
          <w:u w:val="none" w:color="auto"/>
          <w:lang w:val="en-US" w:eastAsia="zh-CN"/>
        </w:rPr>
        <w:t>），臭气浓度执行《恶臭污染物排放标准》（GB14554-93）中表2</w:t>
      </w:r>
      <w:r>
        <w:rPr>
          <w:rFonts w:hint="eastAsia" w:ascii="仿宋_GB2312" w:hAnsi="仿宋_GB2312" w:eastAsia="仿宋_GB2312" w:cs="仿宋_GB2312"/>
          <w:color w:val="auto"/>
          <w:kern w:val="2"/>
          <w:sz w:val="32"/>
          <w:szCs w:val="32"/>
          <w:u w:val="none" w:color="auto"/>
          <w:lang w:val="en-US" w:eastAsia="zh-CN"/>
        </w:rPr>
        <w:t>标准，氯化氢、二噁英参照执行《水泥窑协同处置固体废物污染控制标准》（GB30485-2013）中表1标准限值要求。</w:t>
      </w:r>
      <w:r>
        <w:rPr>
          <w:rFonts w:hint="eastAsia" w:ascii="仿宋_GB2312" w:hAnsi="仿宋_GB2312" w:eastAsia="仿宋_GB2312" w:cs="仿宋_GB2312"/>
          <w:color w:val="auto"/>
          <w:sz w:val="32"/>
          <w:szCs w:val="32"/>
          <w:u w:val="none" w:color="auto"/>
          <w:lang w:val="en-US" w:eastAsia="zh-CN"/>
        </w:rPr>
        <w:t>采取封闭或半封闭式贮存场，及时清扫、洒水抑尘，减少无组织排放的颗粒物对周边环境影响。污泥在暂存、装卸和污泥干化等加工过程采用密闭式污泥储存仓，污泥储存区域、低温干化处理设施区域定时喷洒除臭剂，尽量降低恶臭气体的产生。厂界无组织排放的颗粒物、二氧化硫、氟化物执行《砖瓦工业大气污染物排放标准》（GB29620-2013）中表3有关标准限值，恶臭气体执行《恶臭污染物排放标准》（GB14554-93）中表1有关标准限值。</w:t>
      </w:r>
    </w:p>
    <w:p w14:paraId="2E02B349">
      <w:pPr>
        <w:keepNext w:val="0"/>
        <w:keepLines w:val="0"/>
        <w:pageBreakBefore w:val="0"/>
        <w:widowControl w:val="0"/>
        <w:kinsoku/>
        <w:wordWrap/>
        <w:overflowPunct/>
        <w:topLinePunct/>
        <w:autoSpaceDE w:val="0"/>
        <w:autoSpaceDN/>
        <w:bidi w:val="0"/>
        <w:adjustRightInd/>
        <w:snapToGrid/>
        <w:spacing w:after="0" w:line="480" w:lineRule="exact"/>
        <w:ind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kern w:val="2"/>
          <w:sz w:val="32"/>
          <w:szCs w:val="32"/>
          <w:u w:val="none" w:color="auto"/>
          <w:lang w:val="en-US" w:eastAsia="zh-CN"/>
        </w:rPr>
        <w:t>3.落实废水污染防治措施。</w:t>
      </w:r>
      <w:r>
        <w:rPr>
          <w:rFonts w:hint="eastAsia" w:ascii="仿宋_GB2312" w:hAnsi="仿宋_GB2312" w:eastAsia="仿宋_GB2312" w:cs="仿宋_GB2312"/>
          <w:color w:val="auto"/>
          <w:kern w:val="2"/>
          <w:sz w:val="32"/>
          <w:szCs w:val="32"/>
          <w:u w:val="none" w:color="auto"/>
          <w:lang w:val="en-US" w:eastAsia="zh-CN"/>
        </w:rPr>
        <w:t>按照“清污分流、雨污分流”原则，完善厂区给排水系统。</w:t>
      </w:r>
      <w:r>
        <w:rPr>
          <w:rFonts w:hint="eastAsia" w:ascii="仿宋_GB2312" w:hAnsi="仿宋_GB2312" w:eastAsia="仿宋_GB2312" w:cs="仿宋_GB2312"/>
          <w:color w:val="auto"/>
          <w:sz w:val="32"/>
          <w:szCs w:val="32"/>
          <w:u w:val="none" w:color="auto"/>
          <w:lang w:eastAsia="zh-CN"/>
        </w:rPr>
        <w:t>烟气废水经系统内部处理后，回用于配置钠碱液再次喷淋处理烟气，不外排</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污泥预处理系统产生的冷凝废水进入系统配套建设的一体化污水处理系统处理，经过厌氧、好氧、沉淀组合工艺处理后，回用于烟气处理系统</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运输</w:t>
      </w:r>
      <w:r>
        <w:rPr>
          <w:rFonts w:hint="default" w:ascii="仿宋_GB2312" w:hAnsi="仿宋_GB2312" w:eastAsia="仿宋_GB2312" w:cs="仿宋_GB2312"/>
          <w:color w:val="auto"/>
          <w:sz w:val="32"/>
          <w:szCs w:val="32"/>
          <w:u w:val="none" w:color="auto"/>
          <w:lang w:eastAsia="zh-CN"/>
        </w:rPr>
        <w:t>车辆</w:t>
      </w:r>
      <w:r>
        <w:rPr>
          <w:rFonts w:hint="eastAsia" w:ascii="仿宋_GB2312" w:hAnsi="仿宋_GB2312" w:eastAsia="仿宋_GB2312" w:cs="仿宋_GB2312"/>
          <w:color w:val="auto"/>
          <w:sz w:val="32"/>
          <w:szCs w:val="32"/>
          <w:u w:val="none" w:color="auto"/>
          <w:lang w:eastAsia="zh-CN"/>
        </w:rPr>
        <w:t>进出</w:t>
      </w:r>
      <w:r>
        <w:rPr>
          <w:rFonts w:hint="default" w:ascii="仿宋_GB2312" w:hAnsi="仿宋_GB2312" w:eastAsia="仿宋_GB2312" w:cs="仿宋_GB2312"/>
          <w:color w:val="auto"/>
          <w:sz w:val="32"/>
          <w:szCs w:val="32"/>
          <w:u w:val="none" w:color="auto"/>
          <w:lang w:eastAsia="zh-CN"/>
        </w:rPr>
        <w:t>冲洗废水</w:t>
      </w:r>
      <w:r>
        <w:rPr>
          <w:rFonts w:hint="eastAsia" w:ascii="仿宋_GB2312" w:hAnsi="仿宋_GB2312" w:eastAsia="仿宋_GB2312" w:cs="仿宋_GB2312"/>
          <w:color w:val="auto"/>
          <w:sz w:val="32"/>
          <w:szCs w:val="32"/>
          <w:u w:val="none" w:color="auto"/>
          <w:lang w:eastAsia="zh-CN"/>
        </w:rPr>
        <w:t>经沉淀后回用于汽车冲洗用水</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厂区内初期雨水全部经雨水收集沟汇入雨水沉淀收集池内，作为生产补充用水</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后期洁净雨水通过厂区雨水排放口外排</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生活污水经化粪池处理后，由周边农户运走用于农田山林浇灌使用，不外排。</w:t>
      </w:r>
    </w:p>
    <w:p w14:paraId="6DABA7CF">
      <w:pPr>
        <w:keepNext w:val="0"/>
        <w:keepLines w:val="0"/>
        <w:pageBreakBefore w:val="0"/>
        <w:widowControl w:val="0"/>
        <w:kinsoku/>
        <w:wordWrap/>
        <w:overflowPunct/>
        <w:topLinePunct/>
        <w:autoSpaceDE w:val="0"/>
        <w:autoSpaceDN/>
        <w:bidi w:val="0"/>
        <w:adjustRightInd/>
        <w:snapToGrid/>
        <w:spacing w:after="0" w:line="480" w:lineRule="exact"/>
        <w:ind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w:t>
      </w:r>
      <w:r>
        <w:rPr>
          <w:rFonts w:hint="eastAsia" w:ascii="仿宋_GB2312" w:hAnsi="仿宋_GB2312" w:eastAsia="仿宋_GB2312" w:cs="仿宋_GB2312"/>
          <w:b/>
          <w:bCs/>
          <w:color w:val="auto"/>
          <w:kern w:val="2"/>
          <w:sz w:val="32"/>
          <w:szCs w:val="32"/>
          <w:u w:val="none" w:color="auto"/>
          <w:lang w:eastAsia="zh-CN"/>
        </w:rPr>
        <w:t>落实噪声污染防治措施。</w:t>
      </w:r>
      <w:r>
        <w:rPr>
          <w:rFonts w:hint="eastAsia" w:ascii="仿宋_GB2312" w:hAnsi="仿宋_GB2312" w:eastAsia="仿宋_GB2312" w:cs="仿宋_GB2312"/>
          <w:color w:val="auto"/>
          <w:kern w:val="2"/>
          <w:sz w:val="32"/>
          <w:szCs w:val="32"/>
          <w:u w:val="none" w:color="auto"/>
          <w:lang w:eastAsia="zh-CN"/>
        </w:rPr>
        <w:t>优先选择低噪声设备和工艺，采取减振、隔声、消声等措施有效控制噪声污染，加强厂区内固定设备、运输工具、货物装卸等噪声源管理，同时避免突发噪声扰民。厂界噪声应满</w:t>
      </w:r>
      <w:r>
        <w:rPr>
          <w:rFonts w:hint="eastAsia" w:ascii="仿宋_GB2312" w:hAnsi="仿宋_GB2312" w:eastAsia="仿宋_GB2312" w:cs="仿宋_GB2312"/>
          <w:color w:val="auto"/>
          <w:sz w:val="32"/>
          <w:szCs w:val="32"/>
          <w:u w:val="none" w:color="auto"/>
          <w:lang w:val="en-US" w:eastAsia="zh-CN"/>
        </w:rPr>
        <w:t>足《工业企业厂界环境噪声排放标准》（GB12348-2008）2类标准。</w:t>
      </w:r>
    </w:p>
    <w:p w14:paraId="4E0FC253">
      <w:pPr>
        <w:keepNext w:val="0"/>
        <w:keepLines w:val="0"/>
        <w:pageBreakBefore w:val="0"/>
        <w:widowControl w:val="0"/>
        <w:kinsoku/>
        <w:wordWrap/>
        <w:overflowPunct/>
        <w:topLinePunct/>
        <w:autoSpaceDE w:val="0"/>
        <w:autoSpaceDN/>
        <w:bidi w:val="0"/>
        <w:adjustRightInd/>
        <w:snapToGrid/>
        <w:spacing w:after="0" w:line="480" w:lineRule="exact"/>
        <w:ind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sz w:val="32"/>
          <w:szCs w:val="32"/>
          <w:u w:val="none" w:color="auto"/>
          <w:lang w:val="en-US" w:eastAsia="zh-CN"/>
        </w:rPr>
        <w:t>5.落实固体废物管理措施。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w:t>
      </w:r>
      <w:r>
        <w:rPr>
          <w:rFonts w:hint="eastAsia" w:ascii="仿宋_GB2312" w:hAnsi="仿宋_GB2312" w:eastAsia="仿宋_GB2312" w:cs="仿宋_GB2312"/>
          <w:color w:val="auto"/>
          <w:kern w:val="2"/>
          <w:sz w:val="32"/>
          <w:szCs w:val="32"/>
          <w:u w:val="none" w:color="auto"/>
          <w:lang w:eastAsia="zh-CN"/>
        </w:rPr>
        <w:t>分类收集、处理和处置，并建立健全固体废物管理台账。</w:t>
      </w:r>
      <w:r>
        <w:rPr>
          <w:rFonts w:hint="eastAsia" w:ascii="仿宋_GB2312" w:hAnsi="仿宋_GB2312" w:eastAsia="仿宋_GB2312" w:cs="仿宋_GB2312"/>
          <w:color w:val="auto"/>
          <w:sz w:val="32"/>
          <w:szCs w:val="32"/>
          <w:u w:val="none" w:color="auto"/>
          <w:lang w:val="en-US" w:eastAsia="zh-CN"/>
        </w:rPr>
        <w:t>生活垃圾交由环卫部门处理；不合格残次品返回破碎工序重新再利用；废泥头和砖坯</w:t>
      </w:r>
      <w:r>
        <w:rPr>
          <w:rFonts w:hint="default"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val="en-US" w:eastAsia="zh-CN"/>
        </w:rPr>
        <w:t>雨水沉淀池池底沉渣、车间清扫和除尘器收集的粉尘等返回搅拌工序重新再利用；烟气脱硫系统产生的固废经压滤后混同原料一同作为制砖原料再利用；磁选废铁收集外售物资回收单位进行综合利用；废矿物油、废钠碱原料包装袋、废油桶为危险废物，收集暂存于危</w:t>
      </w:r>
      <w:r>
        <w:rPr>
          <w:rFonts w:hint="eastAsia" w:ascii="仿宋_GB2312" w:hAnsi="仿宋_GB2312" w:eastAsia="仿宋_GB2312" w:cs="仿宋_GB2312"/>
          <w:color w:val="auto"/>
          <w:kern w:val="2"/>
          <w:sz w:val="32"/>
          <w:szCs w:val="32"/>
          <w:u w:val="none" w:color="auto"/>
          <w:lang w:val="en-US" w:eastAsia="zh-CN"/>
        </w:rPr>
        <w:t>险废物暂存间，废矿物油用作车间内窑车润滑油再利用，废钠碱原料包装袋、废油桶交由有资质的单位进行处理。</w:t>
      </w:r>
    </w:p>
    <w:p w14:paraId="230DC9E4">
      <w:pPr>
        <w:keepNext w:val="0"/>
        <w:keepLines w:val="0"/>
        <w:pageBreakBefore w:val="0"/>
        <w:widowControl w:val="0"/>
        <w:kinsoku/>
        <w:wordWrap/>
        <w:overflowPunct/>
        <w:topLinePunct/>
        <w:autoSpaceDE w:val="0"/>
        <w:autoSpaceDN/>
        <w:bidi w:val="0"/>
        <w:adjustRightInd/>
        <w:snapToGrid/>
        <w:spacing w:after="0" w:line="480" w:lineRule="exact"/>
        <w:ind w:firstLine="643"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val="en-US" w:eastAsia="zh-CN"/>
        </w:rPr>
        <w:t>6.</w:t>
      </w:r>
      <w:r>
        <w:rPr>
          <w:rFonts w:hint="eastAsia" w:ascii="仿宋_GB2312" w:hAnsi="仿宋_GB2312" w:eastAsia="仿宋_GB2312" w:cs="仿宋_GB2312"/>
          <w:b/>
          <w:bCs/>
          <w:color w:val="auto"/>
          <w:kern w:val="2"/>
          <w:sz w:val="32"/>
          <w:szCs w:val="32"/>
          <w:u w:val="none" w:color="auto"/>
          <w:lang w:eastAsia="zh-CN"/>
        </w:rPr>
        <w:t>强化风险防范措施。</w:t>
      </w:r>
      <w:r>
        <w:rPr>
          <w:rFonts w:hint="eastAsia" w:ascii="仿宋_GB2312" w:hAnsi="仿宋_GB2312" w:eastAsia="仿宋_GB2312" w:cs="仿宋_GB2312"/>
          <w:color w:val="auto"/>
          <w:kern w:val="2"/>
          <w:sz w:val="32"/>
          <w:szCs w:val="32"/>
          <w:u w:val="none" w:color="auto"/>
          <w:lang w:eastAsia="zh-CN"/>
        </w:rPr>
        <w:t>严格落实事故防范和应急措施并加强管理，加强各类生产设备的检修、保养及人员培训，储备相关应急物资并组织应急演练，确保环境安全。</w:t>
      </w:r>
    </w:p>
    <w:p w14:paraId="3CC9AD71">
      <w:pPr>
        <w:keepNext w:val="0"/>
        <w:keepLines w:val="0"/>
        <w:pageBreakBefore w:val="0"/>
        <w:widowControl w:val="0"/>
        <w:numPr>
          <w:ilvl w:val="0"/>
          <w:numId w:val="0"/>
        </w:numPr>
        <w:kinsoku/>
        <w:wordWrap/>
        <w:overflowPunct/>
        <w:topLinePunct/>
        <w:autoSpaceDE w:val="0"/>
        <w:autoSpaceDN/>
        <w:bidi w:val="0"/>
        <w:adjustRightInd/>
        <w:snapToGrid/>
        <w:spacing w:after="0" w:line="480"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三、</w:t>
      </w:r>
      <w:r>
        <w:rPr>
          <w:rFonts w:hint="eastAsia" w:ascii="仿宋_GB2312" w:hAnsi="仿宋_GB2312" w:eastAsia="仿宋_GB2312" w:cs="仿宋_GB2312"/>
          <w:b w:val="0"/>
          <w:bCs w:val="0"/>
          <w:color w:val="auto"/>
          <w:kern w:val="2"/>
          <w:sz w:val="32"/>
          <w:szCs w:val="32"/>
          <w:u w:val="none" w:color="auto"/>
          <w:lang w:val="en-US" w:eastAsia="zh-CN"/>
        </w:rPr>
        <w:t>本项目实施后，污染物年排放总量核定为：</w:t>
      </w:r>
      <w:r>
        <w:rPr>
          <w:rFonts w:hint="eastAsia" w:ascii="仿宋_GB2312" w:hAnsi="仿宋_GB2312" w:eastAsia="仿宋_GB2312" w:cs="仿宋_GB2312"/>
          <w:color w:val="auto"/>
          <w:kern w:val="2"/>
          <w:sz w:val="32"/>
          <w:szCs w:val="32"/>
          <w:u w:val="none" w:color="auto"/>
          <w:lang w:val="en-US" w:eastAsia="zh-CN"/>
        </w:rPr>
        <w:t>二氧化硫≤26.7吨、氮氧化物≤15吨。</w:t>
      </w:r>
    </w:p>
    <w:p w14:paraId="18419F0A">
      <w:pPr>
        <w:keepNext w:val="0"/>
        <w:keepLines w:val="0"/>
        <w:pageBreakBefore w:val="0"/>
        <w:widowControl w:val="0"/>
        <w:numPr>
          <w:ilvl w:val="0"/>
          <w:numId w:val="0"/>
        </w:numPr>
        <w:kinsoku/>
        <w:wordWrap/>
        <w:overflowPunct/>
        <w:topLinePunct/>
        <w:autoSpaceDE w:val="0"/>
        <w:autoSpaceDN/>
        <w:bidi w:val="0"/>
        <w:adjustRightInd/>
        <w:snapToGrid/>
        <w:spacing w:after="0" w:line="48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四、按照《排污许可管理条例》《排污许可管理办法》等相关要求重新申请排污许可证，</w:t>
      </w:r>
      <w:r>
        <w:rPr>
          <w:rFonts w:hint="eastAsia" w:ascii="仿宋_GB2312" w:hAnsi="仿宋_GB2312" w:eastAsia="仿宋_GB2312" w:cs="仿宋_GB2312"/>
          <w:b w:val="0"/>
          <w:bCs w:val="0"/>
          <w:color w:val="auto"/>
          <w:kern w:val="2"/>
          <w:sz w:val="32"/>
          <w:szCs w:val="32"/>
          <w:u w:val="none" w:color="auto"/>
          <w:lang w:val="en-US" w:eastAsia="zh-CN"/>
        </w:rPr>
        <w:t>规范设置各类排污口和标志，完善包括责任制度在内的各项</w:t>
      </w:r>
      <w:r>
        <w:rPr>
          <w:rFonts w:hint="eastAsia" w:ascii="仿宋_GB2312" w:hAnsi="仿宋_GB2312" w:eastAsia="仿宋_GB2312" w:cs="仿宋_GB2312"/>
          <w:b w:val="0"/>
          <w:bCs w:val="0"/>
          <w:color w:val="auto"/>
          <w:kern w:val="2"/>
          <w:sz w:val="32"/>
          <w:szCs w:val="32"/>
          <w:highlight w:val="none"/>
          <w:u w:val="none" w:color="auto"/>
          <w:lang w:val="en-US" w:eastAsia="zh-CN"/>
        </w:rPr>
        <w:t>环境管理制度，</w:t>
      </w:r>
      <w:r>
        <w:rPr>
          <w:rFonts w:hint="eastAsia" w:ascii="仿宋_GB2312" w:hAnsi="仿宋_GB2312" w:eastAsia="仿宋_GB2312" w:cs="仿宋_GB2312"/>
          <w:b w:val="0"/>
          <w:bCs w:val="0"/>
          <w:color w:val="auto"/>
          <w:kern w:val="2"/>
          <w:sz w:val="32"/>
          <w:szCs w:val="32"/>
          <w:u w:val="none" w:color="auto"/>
          <w:lang w:val="en-US" w:eastAsia="zh-CN"/>
        </w:rPr>
        <w:t>加强</w:t>
      </w:r>
      <w:r>
        <w:rPr>
          <w:rFonts w:hint="eastAsia" w:ascii="仿宋_GB2312" w:hAnsi="仿宋_GB2312" w:eastAsia="仿宋_GB2312" w:cs="仿宋_GB2312"/>
          <w:color w:val="auto"/>
          <w:kern w:val="2"/>
          <w:sz w:val="32"/>
          <w:szCs w:val="32"/>
          <w:u w:val="none" w:color="auto"/>
          <w:lang w:eastAsia="zh-CN"/>
        </w:rPr>
        <w:t>营运期</w:t>
      </w:r>
      <w:r>
        <w:rPr>
          <w:rFonts w:hint="eastAsia" w:ascii="仿宋_GB2312" w:hAnsi="仿宋_GB2312" w:eastAsia="仿宋_GB2312" w:cs="仿宋_GB2312"/>
          <w:b w:val="0"/>
          <w:bCs w:val="0"/>
          <w:color w:val="auto"/>
          <w:kern w:val="2"/>
          <w:sz w:val="32"/>
          <w:szCs w:val="32"/>
          <w:u w:val="none" w:color="auto"/>
          <w:lang w:val="en-US" w:eastAsia="zh-CN"/>
        </w:rPr>
        <w:t>日常环境管理与监测</w:t>
      </w:r>
      <w:r>
        <w:rPr>
          <w:rFonts w:hint="eastAsia" w:ascii="仿宋_GB2312" w:hAnsi="仿宋_GB2312" w:eastAsia="仿宋_GB2312" w:cs="仿宋_GB2312"/>
          <w:b w:val="0"/>
          <w:bCs w:val="0"/>
          <w:color w:val="auto"/>
          <w:kern w:val="2"/>
          <w:sz w:val="32"/>
          <w:szCs w:val="32"/>
          <w:highlight w:val="none"/>
          <w:u w:val="none" w:color="auto"/>
          <w:lang w:val="en-US" w:eastAsia="zh-CN"/>
        </w:rPr>
        <w:t>，</w:t>
      </w:r>
      <w:r>
        <w:rPr>
          <w:rFonts w:hint="eastAsia" w:ascii="仿宋_GB2312" w:hAnsi="仿宋_GB2312" w:eastAsia="仿宋_GB2312" w:cs="仿宋_GB2312"/>
          <w:color w:val="auto"/>
          <w:kern w:val="2"/>
          <w:sz w:val="32"/>
          <w:szCs w:val="32"/>
          <w:u w:val="none" w:color="auto"/>
          <w:lang w:eastAsia="zh-CN"/>
        </w:rPr>
        <w:t>严格依法按证排污，并依法依规公开相关信息。</w:t>
      </w:r>
    </w:p>
    <w:p w14:paraId="40EC0A6D">
      <w:pPr>
        <w:keepNext w:val="0"/>
        <w:keepLines w:val="0"/>
        <w:pageBreakBefore w:val="0"/>
        <w:widowControl w:val="0"/>
        <w:numPr>
          <w:ilvl w:val="0"/>
          <w:numId w:val="0"/>
        </w:numPr>
        <w:kinsoku/>
        <w:wordWrap/>
        <w:overflowPunct/>
        <w:topLinePunct/>
        <w:autoSpaceDE w:val="0"/>
        <w:autoSpaceDN/>
        <w:bidi w:val="0"/>
        <w:adjustRightInd/>
        <w:snapToGrid/>
        <w:spacing w:after="0" w:line="48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五、报告表经批准后，建设项目的性质、规模、地点、采用的生产工艺或者防治污染措施发生重大变动的，建设单位应当重新报批建设项目的环境影响评价文件。</w:t>
      </w:r>
    </w:p>
    <w:p w14:paraId="331EF83A">
      <w:pPr>
        <w:keepNext w:val="0"/>
        <w:keepLines w:val="0"/>
        <w:pageBreakBefore w:val="0"/>
        <w:widowControl w:val="0"/>
        <w:numPr>
          <w:ilvl w:val="0"/>
          <w:numId w:val="0"/>
        </w:numPr>
        <w:kinsoku/>
        <w:wordWrap/>
        <w:overflowPunct/>
        <w:topLinePunct/>
        <w:autoSpaceDE w:val="0"/>
        <w:autoSpaceDN/>
        <w:bidi w:val="0"/>
        <w:adjustRightInd/>
        <w:snapToGrid/>
        <w:spacing w:after="0" w:line="480" w:lineRule="exact"/>
        <w:ind w:left="0" w:leftChars="0"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六、项目竣工后，须按要求执行竣工环境保护设施自主验收。</w:t>
      </w:r>
    </w:p>
    <w:p w14:paraId="725D2722">
      <w:pPr>
        <w:keepNext w:val="0"/>
        <w:keepLines w:val="0"/>
        <w:pageBreakBefore w:val="0"/>
        <w:widowControl w:val="0"/>
        <w:numPr>
          <w:ilvl w:val="0"/>
          <w:numId w:val="0"/>
        </w:numPr>
        <w:kinsoku/>
        <w:wordWrap/>
        <w:overflowPunct/>
        <w:topLinePunct/>
        <w:autoSpaceDE w:val="0"/>
        <w:autoSpaceDN/>
        <w:bidi w:val="0"/>
        <w:adjustRightInd/>
        <w:snapToGrid/>
        <w:spacing w:after="0" w:line="49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p>
    <w:p w14:paraId="06573242">
      <w:pPr>
        <w:keepNext w:val="0"/>
        <w:keepLines w:val="0"/>
        <w:pageBreakBefore w:val="0"/>
        <w:widowControl w:val="0"/>
        <w:kinsoku/>
        <w:wordWrap/>
        <w:overflowPunct/>
        <w:topLinePunct/>
        <w:autoSpaceDE w:val="0"/>
        <w:autoSpaceDN/>
        <w:bidi w:val="0"/>
        <w:adjustRightInd/>
        <w:snapToGrid/>
        <w:spacing w:after="0" w:line="496" w:lineRule="exact"/>
        <w:ind w:firstLine="640" w:firstLineChars="200"/>
        <w:jc w:val="both"/>
        <w:textAlignment w:val="auto"/>
        <w:outlineLvl w:val="9"/>
        <w:rPr>
          <w:rFonts w:hint="eastAsia" w:ascii="仿宋_GB2312" w:hAnsi="仿宋_GB2312" w:eastAsia="仿宋_GB2312" w:cs="仿宋_GB2312"/>
          <w:color w:val="auto"/>
          <w:kern w:val="2"/>
          <w:sz w:val="32"/>
          <w:szCs w:val="32"/>
          <w:u w:val="none" w:color="auto"/>
          <w:lang w:eastAsia="zh-CN"/>
        </w:rPr>
      </w:pPr>
    </w:p>
    <w:tbl>
      <w:tblPr>
        <w:tblStyle w:val="17"/>
        <w:tblpPr w:leftFromText="180" w:rightFromText="180" w:vertAnchor="text" w:horzAnchor="page" w:tblpX="1838" w:tblpY="2921"/>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EBBD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14:paraId="3ADB3768">
            <w:pPr>
              <w:keepNext w:val="0"/>
              <w:keepLines w:val="0"/>
              <w:pageBreakBefore w:val="0"/>
              <w:widowControl w:val="0"/>
              <w:kinsoku/>
              <w:wordWrap/>
              <w:overflowPunct/>
              <w:topLinePunct/>
              <w:autoSpaceDE w:val="0"/>
              <w:autoSpaceDN/>
              <w:bidi w:val="0"/>
              <w:adjustRightInd/>
              <w:snapToGrid/>
              <w:spacing w:after="0" w:line="496" w:lineRule="exact"/>
              <w:jc w:val="both"/>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b/>
                <w:bCs/>
                <w:color w:val="auto"/>
                <w:kern w:val="2"/>
                <w:sz w:val="32"/>
                <w:szCs w:val="32"/>
                <w:u w:val="none" w:color="auto"/>
                <w:lang w:eastAsia="zh-CN"/>
              </w:rPr>
              <w:t>抄送：</w:t>
            </w:r>
            <w:r>
              <w:rPr>
                <w:rFonts w:hint="eastAsia" w:ascii="仿宋_GB2312" w:hAnsi="仿宋_GB2312" w:eastAsia="仿宋_GB2312" w:cs="仿宋_GB2312"/>
                <w:color w:val="auto"/>
                <w:kern w:val="2"/>
                <w:sz w:val="32"/>
                <w:szCs w:val="32"/>
                <w:u w:val="none" w:color="auto"/>
                <w:lang w:eastAsia="zh-CN"/>
              </w:rPr>
              <w:t>新开镇人民政府，</w:t>
            </w:r>
            <w:r>
              <w:rPr>
                <w:rFonts w:hint="eastAsia" w:ascii="仿宋_GB2312" w:hAnsi="仿宋_GB2312" w:eastAsia="仿宋_GB2312" w:cs="仿宋_GB2312"/>
                <w:sz w:val="32"/>
                <w:szCs w:val="32"/>
              </w:rPr>
              <w:t>岳阳达峰环保</w:t>
            </w:r>
            <w:r>
              <w:rPr>
                <w:rFonts w:hint="eastAsia" w:ascii="仿宋_GB2312" w:hAnsi="仿宋_GB2312" w:eastAsia="仿宋_GB2312" w:cs="仿宋_GB2312"/>
                <w:color w:val="auto"/>
                <w:kern w:val="2"/>
                <w:sz w:val="32"/>
                <w:szCs w:val="32"/>
                <w:u w:val="none" w:color="auto"/>
                <w:lang w:eastAsia="zh-CN"/>
              </w:rPr>
              <w:t>科技有限公司</w:t>
            </w:r>
          </w:p>
        </w:tc>
      </w:tr>
    </w:tbl>
    <w:p w14:paraId="6796DD13">
      <w:pPr>
        <w:keepNext w:val="0"/>
        <w:keepLines w:val="0"/>
        <w:pageBreakBefore w:val="0"/>
        <w:widowControl w:val="0"/>
        <w:kinsoku/>
        <w:wordWrap/>
        <w:overflowPunct/>
        <w:topLinePunct/>
        <w:autoSpaceDE w:val="0"/>
        <w:autoSpaceDN/>
        <w:bidi w:val="0"/>
        <w:adjustRightInd/>
        <w:snapToGrid/>
        <w:spacing w:after="0" w:line="496" w:lineRule="exact"/>
        <w:ind w:firstLine="320" w:firstLineChars="100"/>
        <w:jc w:val="left"/>
        <w:textAlignment w:val="auto"/>
        <w:outlineLvl w:val="9"/>
        <w:rPr>
          <w:rFonts w:hint="eastAsia" w:ascii="仿宋_GB2312" w:hAnsi="仿宋_GB2312" w:eastAsia="仿宋_GB2312" w:cs="仿宋_GB2312"/>
          <w:color w:val="auto"/>
          <w:kern w:val="2"/>
          <w:sz w:val="32"/>
          <w:szCs w:val="32"/>
          <w:u w:val="none" w:color="auto"/>
          <w:lang w:eastAsia="zh-CN"/>
        </w:rPr>
      </w:pPr>
      <w:r>
        <w:rPr>
          <w:rFonts w:hint="eastAsia" w:ascii="仿宋_GB2312" w:hAnsi="仿宋_GB2312" w:eastAsia="仿宋_GB2312" w:cs="仿宋_GB2312"/>
          <w:color w:val="auto"/>
          <w:kern w:val="2"/>
          <w:sz w:val="32"/>
          <w:szCs w:val="32"/>
          <w:u w:val="none" w:color="auto"/>
          <w:lang w:eastAsia="zh-CN"/>
        </w:rPr>
        <w:t xml:space="preserve">经办人：许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 xml:space="preserve">峰                </w:t>
      </w:r>
      <w:r>
        <w:rPr>
          <w:rFonts w:hint="eastAsia" w:ascii="仿宋_GB2312" w:hAnsi="仿宋_GB2312" w:eastAsia="仿宋_GB2312" w:cs="仿宋_GB2312"/>
          <w:color w:val="auto"/>
          <w:kern w:val="2"/>
          <w:sz w:val="32"/>
          <w:szCs w:val="32"/>
          <w:u w:val="none" w:color="auto"/>
          <w:lang w:val="en-US" w:eastAsia="zh-CN"/>
        </w:rPr>
        <w:t xml:space="preserve">   </w:t>
      </w:r>
      <w:r>
        <w:rPr>
          <w:rFonts w:hint="eastAsia" w:ascii="仿宋_GB2312" w:hAnsi="仿宋_GB2312" w:eastAsia="仿宋_GB2312" w:cs="仿宋_GB2312"/>
          <w:color w:val="auto"/>
          <w:kern w:val="2"/>
          <w:sz w:val="32"/>
          <w:szCs w:val="32"/>
          <w:u w:val="none" w:color="auto"/>
          <w:lang w:eastAsia="zh-CN"/>
        </w:rPr>
        <w:t>202</w:t>
      </w:r>
      <w:r>
        <w:rPr>
          <w:rFonts w:hint="eastAsia" w:ascii="仿宋_GB2312" w:hAnsi="仿宋_GB2312" w:eastAsia="仿宋_GB2312" w:cs="仿宋_GB2312"/>
          <w:color w:val="auto"/>
          <w:kern w:val="2"/>
          <w:sz w:val="32"/>
          <w:szCs w:val="32"/>
          <w:u w:val="none" w:color="auto"/>
          <w:lang w:val="en-US" w:eastAsia="zh-CN"/>
        </w:rPr>
        <w:t>4</w:t>
      </w:r>
      <w:r>
        <w:rPr>
          <w:rFonts w:hint="eastAsia" w:ascii="仿宋_GB2312" w:hAnsi="仿宋_GB2312" w:eastAsia="仿宋_GB2312" w:cs="仿宋_GB2312"/>
          <w:color w:val="auto"/>
          <w:kern w:val="2"/>
          <w:sz w:val="32"/>
          <w:szCs w:val="32"/>
          <w:u w:val="none" w:color="auto"/>
          <w:lang w:eastAsia="zh-CN"/>
        </w:rPr>
        <w:t>年</w:t>
      </w:r>
      <w:r>
        <w:rPr>
          <w:rFonts w:hint="eastAsia" w:ascii="仿宋_GB2312" w:hAnsi="仿宋_GB2312" w:eastAsia="仿宋_GB2312" w:cs="仿宋_GB2312"/>
          <w:color w:val="auto"/>
          <w:kern w:val="2"/>
          <w:sz w:val="32"/>
          <w:szCs w:val="32"/>
          <w:u w:val="none" w:color="auto"/>
          <w:lang w:val="en-US" w:eastAsia="zh-CN"/>
        </w:rPr>
        <w:t>12</w:t>
      </w:r>
      <w:r>
        <w:rPr>
          <w:rFonts w:hint="eastAsia" w:ascii="仿宋_GB2312" w:hAnsi="仿宋_GB2312" w:eastAsia="仿宋_GB2312" w:cs="仿宋_GB2312"/>
          <w:color w:val="auto"/>
          <w:kern w:val="2"/>
          <w:sz w:val="32"/>
          <w:szCs w:val="32"/>
          <w:u w:val="none" w:color="auto"/>
          <w:lang w:eastAsia="zh-CN"/>
        </w:rPr>
        <w:t>月</w:t>
      </w:r>
      <w:r>
        <w:rPr>
          <w:rFonts w:hint="eastAsia" w:ascii="仿宋_GB2312" w:hAnsi="仿宋_GB2312" w:eastAsia="仿宋_GB2312" w:cs="仿宋_GB2312"/>
          <w:color w:val="auto"/>
          <w:kern w:val="2"/>
          <w:sz w:val="32"/>
          <w:szCs w:val="32"/>
          <w:u w:val="none" w:color="auto"/>
          <w:lang w:val="en-US" w:eastAsia="zh-CN"/>
        </w:rPr>
        <w:t>26</w:t>
      </w:r>
      <w:r>
        <w:rPr>
          <w:rFonts w:hint="eastAsia" w:ascii="仿宋_GB2312" w:hAnsi="仿宋_GB2312" w:eastAsia="仿宋_GB2312" w:cs="仿宋_GB2312"/>
          <w:color w:val="auto"/>
          <w:kern w:val="2"/>
          <w:sz w:val="32"/>
          <w:szCs w:val="32"/>
          <w:u w:val="none" w:color="auto"/>
          <w:lang w:eastAsia="zh-CN"/>
        </w:rPr>
        <w:t>日</w:t>
      </w:r>
    </w:p>
    <w:sectPr>
      <w:headerReference r:id="rId4" w:type="default"/>
      <w:footerReference r:id="rId5" w:type="default"/>
      <w:pgSz w:w="11906" w:h="16838"/>
      <w:pgMar w:top="1440" w:right="1800" w:bottom="1440" w:left="1800"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BEFA921-3C89-4395-8946-7FD8B6F980A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2" w:fontKey="{5A3BE3EA-2093-4467-9924-58BBEDC37021}"/>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E5D470BE-FEC3-4F93-BAFE-0C2CB06A63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3"/>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3"/>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6"/>
      <w:lvlText w:val="%3."/>
      <w:lvlJc w:val="right"/>
      <w:pPr>
        <w:tabs>
          <w:tab w:val="left" w:pos="1260"/>
        </w:tabs>
        <w:ind w:left="1260" w:hanging="420"/>
      </w:pPr>
    </w:lvl>
    <w:lvl w:ilvl="3" w:tentative="0">
      <w:start w:val="1"/>
      <w:numFmt w:val="decimal"/>
      <w:pStyle w:val="2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NGJhNWNkZjQzODlhZTM4NWJmMGRkYjg0YjgzNmMifQ=="/>
  </w:docVars>
  <w:rsids>
    <w:rsidRoot w:val="00D31D50"/>
    <w:rsid w:val="00000CBF"/>
    <w:rsid w:val="00003B0B"/>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5483"/>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AC6DF5"/>
    <w:rsid w:val="01BE3166"/>
    <w:rsid w:val="01CD7817"/>
    <w:rsid w:val="0213068F"/>
    <w:rsid w:val="025A79EB"/>
    <w:rsid w:val="025F4662"/>
    <w:rsid w:val="026F1557"/>
    <w:rsid w:val="02842376"/>
    <w:rsid w:val="02CB619B"/>
    <w:rsid w:val="02DF57A3"/>
    <w:rsid w:val="03127926"/>
    <w:rsid w:val="031D766C"/>
    <w:rsid w:val="035F24F7"/>
    <w:rsid w:val="03CB65F1"/>
    <w:rsid w:val="03CC6E75"/>
    <w:rsid w:val="03EE0393"/>
    <w:rsid w:val="0413326D"/>
    <w:rsid w:val="043E1FEF"/>
    <w:rsid w:val="044612E1"/>
    <w:rsid w:val="049700B1"/>
    <w:rsid w:val="050A007D"/>
    <w:rsid w:val="057E0254"/>
    <w:rsid w:val="057E74F5"/>
    <w:rsid w:val="058663AA"/>
    <w:rsid w:val="05A351AD"/>
    <w:rsid w:val="05C515E8"/>
    <w:rsid w:val="0656788B"/>
    <w:rsid w:val="06A65CED"/>
    <w:rsid w:val="06E320FF"/>
    <w:rsid w:val="071F58FD"/>
    <w:rsid w:val="074A1D85"/>
    <w:rsid w:val="07506C6F"/>
    <w:rsid w:val="077C3DB2"/>
    <w:rsid w:val="079C288F"/>
    <w:rsid w:val="07B0406E"/>
    <w:rsid w:val="07D57174"/>
    <w:rsid w:val="07DD536D"/>
    <w:rsid w:val="07F9103A"/>
    <w:rsid w:val="08034185"/>
    <w:rsid w:val="0869348D"/>
    <w:rsid w:val="089112ED"/>
    <w:rsid w:val="0899026A"/>
    <w:rsid w:val="08DD43F8"/>
    <w:rsid w:val="08E03040"/>
    <w:rsid w:val="08FD5135"/>
    <w:rsid w:val="096802A0"/>
    <w:rsid w:val="097C485E"/>
    <w:rsid w:val="0985037D"/>
    <w:rsid w:val="098A45D8"/>
    <w:rsid w:val="0998157E"/>
    <w:rsid w:val="09A31262"/>
    <w:rsid w:val="09A35A12"/>
    <w:rsid w:val="0A2D14EA"/>
    <w:rsid w:val="0A5C568E"/>
    <w:rsid w:val="0A6A05DC"/>
    <w:rsid w:val="0AB96B2B"/>
    <w:rsid w:val="0AC70E39"/>
    <w:rsid w:val="0AD100C7"/>
    <w:rsid w:val="0B381467"/>
    <w:rsid w:val="0B6E3B68"/>
    <w:rsid w:val="0B76450E"/>
    <w:rsid w:val="0C1F08F2"/>
    <w:rsid w:val="0C4F3999"/>
    <w:rsid w:val="0C963102"/>
    <w:rsid w:val="0CED3C33"/>
    <w:rsid w:val="0D040924"/>
    <w:rsid w:val="0D621D65"/>
    <w:rsid w:val="0DA11135"/>
    <w:rsid w:val="0DBB4191"/>
    <w:rsid w:val="0E803C6F"/>
    <w:rsid w:val="0EDF4D64"/>
    <w:rsid w:val="0F4E1CE6"/>
    <w:rsid w:val="0FF7347F"/>
    <w:rsid w:val="1051635E"/>
    <w:rsid w:val="10541406"/>
    <w:rsid w:val="105B6114"/>
    <w:rsid w:val="10857989"/>
    <w:rsid w:val="10926AB7"/>
    <w:rsid w:val="10CA1840"/>
    <w:rsid w:val="11365CF6"/>
    <w:rsid w:val="11627BB4"/>
    <w:rsid w:val="116E526D"/>
    <w:rsid w:val="117B39D6"/>
    <w:rsid w:val="11FC5AF2"/>
    <w:rsid w:val="124D4C3E"/>
    <w:rsid w:val="126104A5"/>
    <w:rsid w:val="13A9082F"/>
    <w:rsid w:val="140A109B"/>
    <w:rsid w:val="140C087D"/>
    <w:rsid w:val="147F6DE6"/>
    <w:rsid w:val="148D505F"/>
    <w:rsid w:val="14AC5ECA"/>
    <w:rsid w:val="14CA4CFE"/>
    <w:rsid w:val="15820C4A"/>
    <w:rsid w:val="15C404EB"/>
    <w:rsid w:val="15C97C77"/>
    <w:rsid w:val="162D761F"/>
    <w:rsid w:val="16B849F9"/>
    <w:rsid w:val="16E318AE"/>
    <w:rsid w:val="16EB25B6"/>
    <w:rsid w:val="171B41FF"/>
    <w:rsid w:val="176E0569"/>
    <w:rsid w:val="18182FAD"/>
    <w:rsid w:val="188A0E26"/>
    <w:rsid w:val="18C24ABD"/>
    <w:rsid w:val="18C55E0A"/>
    <w:rsid w:val="18F558C8"/>
    <w:rsid w:val="18FE27B3"/>
    <w:rsid w:val="1925210B"/>
    <w:rsid w:val="19263CD4"/>
    <w:rsid w:val="19792055"/>
    <w:rsid w:val="19BA441C"/>
    <w:rsid w:val="19F33BB6"/>
    <w:rsid w:val="1A113951"/>
    <w:rsid w:val="1A22040D"/>
    <w:rsid w:val="1A4C760D"/>
    <w:rsid w:val="1A6E25BB"/>
    <w:rsid w:val="1A96359E"/>
    <w:rsid w:val="1ACC28AA"/>
    <w:rsid w:val="1B462E07"/>
    <w:rsid w:val="1B9F76DE"/>
    <w:rsid w:val="1BA70798"/>
    <w:rsid w:val="1C295FB5"/>
    <w:rsid w:val="1C4A6D5F"/>
    <w:rsid w:val="1C8956D6"/>
    <w:rsid w:val="1CA64B79"/>
    <w:rsid w:val="1CC76CDE"/>
    <w:rsid w:val="1CDF74BF"/>
    <w:rsid w:val="1D235D75"/>
    <w:rsid w:val="1D24052A"/>
    <w:rsid w:val="1D2422D8"/>
    <w:rsid w:val="1D4C1EFC"/>
    <w:rsid w:val="1D60599D"/>
    <w:rsid w:val="1D684B88"/>
    <w:rsid w:val="1D9F120E"/>
    <w:rsid w:val="1DAA7455"/>
    <w:rsid w:val="1DB16262"/>
    <w:rsid w:val="1DC55976"/>
    <w:rsid w:val="1DF62001"/>
    <w:rsid w:val="1E1037B0"/>
    <w:rsid w:val="1E5D127C"/>
    <w:rsid w:val="1EE461C3"/>
    <w:rsid w:val="1EE63371"/>
    <w:rsid w:val="1FBD236A"/>
    <w:rsid w:val="1FDD6B7C"/>
    <w:rsid w:val="206F42A1"/>
    <w:rsid w:val="20D703A1"/>
    <w:rsid w:val="213A47C0"/>
    <w:rsid w:val="214B72CD"/>
    <w:rsid w:val="21682E44"/>
    <w:rsid w:val="216E6218"/>
    <w:rsid w:val="217A696B"/>
    <w:rsid w:val="218C7786"/>
    <w:rsid w:val="21E95DFE"/>
    <w:rsid w:val="21F52EEB"/>
    <w:rsid w:val="220646A2"/>
    <w:rsid w:val="22093F2A"/>
    <w:rsid w:val="221479D2"/>
    <w:rsid w:val="222D2239"/>
    <w:rsid w:val="223C6316"/>
    <w:rsid w:val="227F192E"/>
    <w:rsid w:val="22AD2D70"/>
    <w:rsid w:val="22B71C07"/>
    <w:rsid w:val="22DE7DFC"/>
    <w:rsid w:val="23105FF1"/>
    <w:rsid w:val="233D3D5B"/>
    <w:rsid w:val="24376D95"/>
    <w:rsid w:val="2504136D"/>
    <w:rsid w:val="25513251"/>
    <w:rsid w:val="25864737"/>
    <w:rsid w:val="25982BAC"/>
    <w:rsid w:val="25C26D29"/>
    <w:rsid w:val="262B521C"/>
    <w:rsid w:val="266C291D"/>
    <w:rsid w:val="26B7248D"/>
    <w:rsid w:val="26EF057C"/>
    <w:rsid w:val="274C0DA9"/>
    <w:rsid w:val="27684CB5"/>
    <w:rsid w:val="27786E27"/>
    <w:rsid w:val="278D305D"/>
    <w:rsid w:val="27C941A8"/>
    <w:rsid w:val="28164F13"/>
    <w:rsid w:val="282910EA"/>
    <w:rsid w:val="28303C1A"/>
    <w:rsid w:val="28E24AE8"/>
    <w:rsid w:val="291475E8"/>
    <w:rsid w:val="296631C1"/>
    <w:rsid w:val="296D0128"/>
    <w:rsid w:val="29B474E1"/>
    <w:rsid w:val="29B9024C"/>
    <w:rsid w:val="2A1132FB"/>
    <w:rsid w:val="2A187669"/>
    <w:rsid w:val="2A280EB2"/>
    <w:rsid w:val="2A377AEF"/>
    <w:rsid w:val="2A7A2A81"/>
    <w:rsid w:val="2A7B71E2"/>
    <w:rsid w:val="2A875A05"/>
    <w:rsid w:val="2B0674C1"/>
    <w:rsid w:val="2B4C75CA"/>
    <w:rsid w:val="2B710C95"/>
    <w:rsid w:val="2B902987"/>
    <w:rsid w:val="2C2C73FB"/>
    <w:rsid w:val="2C301C58"/>
    <w:rsid w:val="2CD755B9"/>
    <w:rsid w:val="2CDC2BCF"/>
    <w:rsid w:val="2DB023AA"/>
    <w:rsid w:val="2DEA745F"/>
    <w:rsid w:val="2E3F61C3"/>
    <w:rsid w:val="2EED2E72"/>
    <w:rsid w:val="2F096E91"/>
    <w:rsid w:val="2F633134"/>
    <w:rsid w:val="2F75482D"/>
    <w:rsid w:val="2FCE6157"/>
    <w:rsid w:val="2FD63906"/>
    <w:rsid w:val="300613AC"/>
    <w:rsid w:val="3034062C"/>
    <w:rsid w:val="30442F65"/>
    <w:rsid w:val="30666177"/>
    <w:rsid w:val="306F2997"/>
    <w:rsid w:val="311D0F11"/>
    <w:rsid w:val="3196159F"/>
    <w:rsid w:val="324D7348"/>
    <w:rsid w:val="32A54152"/>
    <w:rsid w:val="32AB72CC"/>
    <w:rsid w:val="32CC4B75"/>
    <w:rsid w:val="331B3C61"/>
    <w:rsid w:val="33477044"/>
    <w:rsid w:val="3364747B"/>
    <w:rsid w:val="33A94237"/>
    <w:rsid w:val="33D509D3"/>
    <w:rsid w:val="34067C98"/>
    <w:rsid w:val="342F7A89"/>
    <w:rsid w:val="34310CEE"/>
    <w:rsid w:val="34682E77"/>
    <w:rsid w:val="350C3735"/>
    <w:rsid w:val="35327830"/>
    <w:rsid w:val="35436ABE"/>
    <w:rsid w:val="35B44695"/>
    <w:rsid w:val="36050F29"/>
    <w:rsid w:val="361C52BB"/>
    <w:rsid w:val="36A164EA"/>
    <w:rsid w:val="36AE703A"/>
    <w:rsid w:val="3715740A"/>
    <w:rsid w:val="377E47D8"/>
    <w:rsid w:val="3780008B"/>
    <w:rsid w:val="37A662B4"/>
    <w:rsid w:val="37C73FBC"/>
    <w:rsid w:val="382C4A15"/>
    <w:rsid w:val="38865529"/>
    <w:rsid w:val="391E1E7A"/>
    <w:rsid w:val="39513B3A"/>
    <w:rsid w:val="39B47A40"/>
    <w:rsid w:val="39F218E4"/>
    <w:rsid w:val="39FA0B89"/>
    <w:rsid w:val="3A2E433E"/>
    <w:rsid w:val="3A4E0551"/>
    <w:rsid w:val="3A920D71"/>
    <w:rsid w:val="3AB72586"/>
    <w:rsid w:val="3BCA0854"/>
    <w:rsid w:val="3BF84CC8"/>
    <w:rsid w:val="3C32609B"/>
    <w:rsid w:val="3C8A3B4D"/>
    <w:rsid w:val="3C922B13"/>
    <w:rsid w:val="3C9B2663"/>
    <w:rsid w:val="3CBC6CA3"/>
    <w:rsid w:val="3CCD2793"/>
    <w:rsid w:val="3D8726E3"/>
    <w:rsid w:val="3DB07127"/>
    <w:rsid w:val="3DFF7EA5"/>
    <w:rsid w:val="3E487D2A"/>
    <w:rsid w:val="3EAE3C1F"/>
    <w:rsid w:val="3EF913BF"/>
    <w:rsid w:val="3F1B145E"/>
    <w:rsid w:val="3F2F7F48"/>
    <w:rsid w:val="3F477BF1"/>
    <w:rsid w:val="3F6472E0"/>
    <w:rsid w:val="3F6B44E7"/>
    <w:rsid w:val="3FA23805"/>
    <w:rsid w:val="3FB6105E"/>
    <w:rsid w:val="40515C61"/>
    <w:rsid w:val="40673BF4"/>
    <w:rsid w:val="408A49C4"/>
    <w:rsid w:val="409D3379"/>
    <w:rsid w:val="40EA7BCC"/>
    <w:rsid w:val="40F55BB6"/>
    <w:rsid w:val="40F736DC"/>
    <w:rsid w:val="40F82764"/>
    <w:rsid w:val="41092C89"/>
    <w:rsid w:val="41156A5C"/>
    <w:rsid w:val="41E45F48"/>
    <w:rsid w:val="41F35D8B"/>
    <w:rsid w:val="41F91AF3"/>
    <w:rsid w:val="42500DFE"/>
    <w:rsid w:val="42682AE5"/>
    <w:rsid w:val="426C4BF7"/>
    <w:rsid w:val="42BA2048"/>
    <w:rsid w:val="43EE04C7"/>
    <w:rsid w:val="44140FAD"/>
    <w:rsid w:val="442440CF"/>
    <w:rsid w:val="445175A7"/>
    <w:rsid w:val="44D2693A"/>
    <w:rsid w:val="450B1E4C"/>
    <w:rsid w:val="45451E45"/>
    <w:rsid w:val="459D62AC"/>
    <w:rsid w:val="45F44CA7"/>
    <w:rsid w:val="45FE4627"/>
    <w:rsid w:val="466104CC"/>
    <w:rsid w:val="467A2DE5"/>
    <w:rsid w:val="46DF6675"/>
    <w:rsid w:val="46F26E20"/>
    <w:rsid w:val="46FF32EA"/>
    <w:rsid w:val="472052AE"/>
    <w:rsid w:val="47392CA0"/>
    <w:rsid w:val="473F57F2"/>
    <w:rsid w:val="47574ED5"/>
    <w:rsid w:val="475F23DC"/>
    <w:rsid w:val="47615D53"/>
    <w:rsid w:val="478A23A7"/>
    <w:rsid w:val="47D3043F"/>
    <w:rsid w:val="481E1E96"/>
    <w:rsid w:val="483B06FE"/>
    <w:rsid w:val="48825CA5"/>
    <w:rsid w:val="49043360"/>
    <w:rsid w:val="49132400"/>
    <w:rsid w:val="49204116"/>
    <w:rsid w:val="4924528A"/>
    <w:rsid w:val="4961203A"/>
    <w:rsid w:val="49755955"/>
    <w:rsid w:val="4A0C644A"/>
    <w:rsid w:val="4A2D43AB"/>
    <w:rsid w:val="4A841F0D"/>
    <w:rsid w:val="4AE747C1"/>
    <w:rsid w:val="4B611D5C"/>
    <w:rsid w:val="4B8704D6"/>
    <w:rsid w:val="4BCE14DD"/>
    <w:rsid w:val="4BEA71A4"/>
    <w:rsid w:val="4BEC5B04"/>
    <w:rsid w:val="4BF0608A"/>
    <w:rsid w:val="4C4C343B"/>
    <w:rsid w:val="4CD40EDA"/>
    <w:rsid w:val="4CD6689C"/>
    <w:rsid w:val="4CDE39A2"/>
    <w:rsid w:val="4D1D44CA"/>
    <w:rsid w:val="4D795F1D"/>
    <w:rsid w:val="4E760336"/>
    <w:rsid w:val="4E771E1B"/>
    <w:rsid w:val="4E813215"/>
    <w:rsid w:val="4F433012"/>
    <w:rsid w:val="4F8A23F4"/>
    <w:rsid w:val="502E2D98"/>
    <w:rsid w:val="503E21BB"/>
    <w:rsid w:val="50B72EA8"/>
    <w:rsid w:val="512A18AC"/>
    <w:rsid w:val="513C0D41"/>
    <w:rsid w:val="51453FF0"/>
    <w:rsid w:val="5147159C"/>
    <w:rsid w:val="51C66F43"/>
    <w:rsid w:val="51CD6957"/>
    <w:rsid w:val="51DC0DF8"/>
    <w:rsid w:val="526B5CD8"/>
    <w:rsid w:val="52902274"/>
    <w:rsid w:val="52A54B35"/>
    <w:rsid w:val="52EC1163"/>
    <w:rsid w:val="52F757BE"/>
    <w:rsid w:val="53303F2B"/>
    <w:rsid w:val="53B37937"/>
    <w:rsid w:val="548B2661"/>
    <w:rsid w:val="54C74C42"/>
    <w:rsid w:val="54CA0F52"/>
    <w:rsid w:val="54DB18B7"/>
    <w:rsid w:val="550D6174"/>
    <w:rsid w:val="551045DB"/>
    <w:rsid w:val="552661B5"/>
    <w:rsid w:val="556A6D47"/>
    <w:rsid w:val="5596306C"/>
    <w:rsid w:val="55B313A7"/>
    <w:rsid w:val="55FA2AB8"/>
    <w:rsid w:val="56114DE8"/>
    <w:rsid w:val="561A06CC"/>
    <w:rsid w:val="56AD263F"/>
    <w:rsid w:val="56C06025"/>
    <w:rsid w:val="56CB143B"/>
    <w:rsid w:val="57131579"/>
    <w:rsid w:val="57735E1A"/>
    <w:rsid w:val="57846136"/>
    <w:rsid w:val="579D6934"/>
    <w:rsid w:val="57AD7A56"/>
    <w:rsid w:val="57C14700"/>
    <w:rsid w:val="57C63C03"/>
    <w:rsid w:val="57C7431A"/>
    <w:rsid w:val="57CF4718"/>
    <w:rsid w:val="58942BC6"/>
    <w:rsid w:val="58D26971"/>
    <w:rsid w:val="58E31E69"/>
    <w:rsid w:val="58E34A11"/>
    <w:rsid w:val="58FE6FEB"/>
    <w:rsid w:val="590E26DD"/>
    <w:rsid w:val="59BE0066"/>
    <w:rsid w:val="59FD7B5D"/>
    <w:rsid w:val="5A822260"/>
    <w:rsid w:val="5A843DDB"/>
    <w:rsid w:val="5A9A1850"/>
    <w:rsid w:val="5ABC3575"/>
    <w:rsid w:val="5ABF6AC1"/>
    <w:rsid w:val="5B0959EC"/>
    <w:rsid w:val="5B783826"/>
    <w:rsid w:val="5B8D7196"/>
    <w:rsid w:val="5BF24488"/>
    <w:rsid w:val="5CD8488B"/>
    <w:rsid w:val="5CFF71A8"/>
    <w:rsid w:val="5D9F112C"/>
    <w:rsid w:val="5DB80F79"/>
    <w:rsid w:val="5DC95E46"/>
    <w:rsid w:val="5DD24E5D"/>
    <w:rsid w:val="5E544E6C"/>
    <w:rsid w:val="5EF24640"/>
    <w:rsid w:val="5F062399"/>
    <w:rsid w:val="5F4D77BA"/>
    <w:rsid w:val="5F701A99"/>
    <w:rsid w:val="5FC1162D"/>
    <w:rsid w:val="5FCE22FE"/>
    <w:rsid w:val="60E31383"/>
    <w:rsid w:val="61190980"/>
    <w:rsid w:val="61B74A96"/>
    <w:rsid w:val="61D56762"/>
    <w:rsid w:val="61DA6504"/>
    <w:rsid w:val="623A31B8"/>
    <w:rsid w:val="62BC40DA"/>
    <w:rsid w:val="634A2F00"/>
    <w:rsid w:val="636724EC"/>
    <w:rsid w:val="63835861"/>
    <w:rsid w:val="63902557"/>
    <w:rsid w:val="63E3341E"/>
    <w:rsid w:val="64B14D8B"/>
    <w:rsid w:val="64CB4AEA"/>
    <w:rsid w:val="64D96C0F"/>
    <w:rsid w:val="651E4E2C"/>
    <w:rsid w:val="6524775C"/>
    <w:rsid w:val="655C477C"/>
    <w:rsid w:val="6562264B"/>
    <w:rsid w:val="661F067B"/>
    <w:rsid w:val="66482160"/>
    <w:rsid w:val="66611A7D"/>
    <w:rsid w:val="66B912B0"/>
    <w:rsid w:val="66C7577B"/>
    <w:rsid w:val="66CE5F5E"/>
    <w:rsid w:val="6759214B"/>
    <w:rsid w:val="67795BE8"/>
    <w:rsid w:val="677D6D06"/>
    <w:rsid w:val="681F6013"/>
    <w:rsid w:val="68212C69"/>
    <w:rsid w:val="68214A21"/>
    <w:rsid w:val="68AF4354"/>
    <w:rsid w:val="68B74DF5"/>
    <w:rsid w:val="68E1064A"/>
    <w:rsid w:val="69771F9B"/>
    <w:rsid w:val="69D012B2"/>
    <w:rsid w:val="69F108B1"/>
    <w:rsid w:val="6A726EEE"/>
    <w:rsid w:val="6A73045B"/>
    <w:rsid w:val="6A8A28EE"/>
    <w:rsid w:val="6A9E17D6"/>
    <w:rsid w:val="6B0B530E"/>
    <w:rsid w:val="6B277C9A"/>
    <w:rsid w:val="6B2A452A"/>
    <w:rsid w:val="6B3F0222"/>
    <w:rsid w:val="6B485F70"/>
    <w:rsid w:val="6B9C2FB2"/>
    <w:rsid w:val="6BC4672D"/>
    <w:rsid w:val="6BCC687C"/>
    <w:rsid w:val="6C410383"/>
    <w:rsid w:val="6C4F5478"/>
    <w:rsid w:val="6C5F0404"/>
    <w:rsid w:val="6C781BC4"/>
    <w:rsid w:val="6C89351E"/>
    <w:rsid w:val="6C8E0AE9"/>
    <w:rsid w:val="6CB93DB8"/>
    <w:rsid w:val="6CDC5203"/>
    <w:rsid w:val="6CE13944"/>
    <w:rsid w:val="6D0A227B"/>
    <w:rsid w:val="6DCA0612"/>
    <w:rsid w:val="6DD46DD3"/>
    <w:rsid w:val="6DFD1A54"/>
    <w:rsid w:val="6E235D5F"/>
    <w:rsid w:val="6E2420BF"/>
    <w:rsid w:val="6E59029D"/>
    <w:rsid w:val="6E6111A1"/>
    <w:rsid w:val="6E704B85"/>
    <w:rsid w:val="6E93207D"/>
    <w:rsid w:val="6F0C55B6"/>
    <w:rsid w:val="6F2F6BE9"/>
    <w:rsid w:val="6F5C26EC"/>
    <w:rsid w:val="6F8B7FB3"/>
    <w:rsid w:val="7048104D"/>
    <w:rsid w:val="710D7763"/>
    <w:rsid w:val="71AA7506"/>
    <w:rsid w:val="71DC2574"/>
    <w:rsid w:val="71FB4625"/>
    <w:rsid w:val="72083B4D"/>
    <w:rsid w:val="72975003"/>
    <w:rsid w:val="72C65703"/>
    <w:rsid w:val="72D86BD3"/>
    <w:rsid w:val="737A29C8"/>
    <w:rsid w:val="73A63C37"/>
    <w:rsid w:val="73B779D8"/>
    <w:rsid w:val="73F676A0"/>
    <w:rsid w:val="743027C5"/>
    <w:rsid w:val="746266C3"/>
    <w:rsid w:val="74696091"/>
    <w:rsid w:val="747A72CF"/>
    <w:rsid w:val="748E5B2A"/>
    <w:rsid w:val="74B6359C"/>
    <w:rsid w:val="74DB2A67"/>
    <w:rsid w:val="74E41BEE"/>
    <w:rsid w:val="750D549E"/>
    <w:rsid w:val="75216649"/>
    <w:rsid w:val="75DF6321"/>
    <w:rsid w:val="75F8738A"/>
    <w:rsid w:val="76571277"/>
    <w:rsid w:val="76725133"/>
    <w:rsid w:val="76F45E0A"/>
    <w:rsid w:val="77115F1A"/>
    <w:rsid w:val="7781145A"/>
    <w:rsid w:val="77B01CE7"/>
    <w:rsid w:val="77B92B54"/>
    <w:rsid w:val="77E233DF"/>
    <w:rsid w:val="78107B3D"/>
    <w:rsid w:val="784D6F97"/>
    <w:rsid w:val="78B805E8"/>
    <w:rsid w:val="78C0202A"/>
    <w:rsid w:val="79163300"/>
    <w:rsid w:val="79297BE8"/>
    <w:rsid w:val="793D367B"/>
    <w:rsid w:val="796230E1"/>
    <w:rsid w:val="797E0817"/>
    <w:rsid w:val="79C50972"/>
    <w:rsid w:val="79FC7092"/>
    <w:rsid w:val="7A6F538E"/>
    <w:rsid w:val="7AE80322"/>
    <w:rsid w:val="7B174F7C"/>
    <w:rsid w:val="7B1B0A5C"/>
    <w:rsid w:val="7B2E1334"/>
    <w:rsid w:val="7BB069D7"/>
    <w:rsid w:val="7BD55DED"/>
    <w:rsid w:val="7BD9150F"/>
    <w:rsid w:val="7BDD1298"/>
    <w:rsid w:val="7C0148BF"/>
    <w:rsid w:val="7C773348"/>
    <w:rsid w:val="7CA1134A"/>
    <w:rsid w:val="7D2E31E0"/>
    <w:rsid w:val="7D977508"/>
    <w:rsid w:val="7DA617D2"/>
    <w:rsid w:val="7DF7383C"/>
    <w:rsid w:val="7E1370A0"/>
    <w:rsid w:val="7EB77A2B"/>
    <w:rsid w:val="7ECF2FC7"/>
    <w:rsid w:val="7F1B620C"/>
    <w:rsid w:val="7F653C25"/>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2"/>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4"/>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1"/>
    <w:autoRedefine/>
    <w:qFormat/>
    <w:uiPriority w:val="0"/>
    <w:pPr>
      <w:spacing w:before="60" w:after="160" w:line="259" w:lineRule="auto"/>
      <w:ind w:right="113"/>
    </w:pPr>
    <w:rPr>
      <w:sz w:val="18"/>
      <w:szCs w:val="20"/>
    </w:rPr>
  </w:style>
  <w:style w:type="paragraph" w:styleId="9">
    <w:name w:val="Body Text Indent"/>
    <w:basedOn w:val="1"/>
    <w:next w:val="10"/>
    <w:autoRedefine/>
    <w:qFormat/>
    <w:uiPriority w:val="0"/>
    <w:pPr>
      <w:spacing w:after="120"/>
      <w:ind w:left="420" w:leftChars="200"/>
    </w:pPr>
    <w:rPr>
      <w:sz w:val="24"/>
      <w:szCs w:val="20"/>
    </w:rPr>
  </w:style>
  <w:style w:type="paragraph" w:styleId="10">
    <w:name w:val="Body Text First Indent 2"/>
    <w:basedOn w:val="9"/>
    <w:next w:val="1"/>
    <w:autoRedefine/>
    <w:qFormat/>
    <w:uiPriority w:val="0"/>
    <w:pPr>
      <w:tabs>
        <w:tab w:val="left" w:pos="540"/>
      </w:tabs>
      <w:ind w:firstLine="420" w:firstLineChars="200"/>
    </w:pPr>
    <w:rPr>
      <w:sz w:val="21"/>
    </w:rPr>
  </w:style>
  <w:style w:type="paragraph" w:styleId="11">
    <w:name w:val="Body Text Indent 2"/>
    <w:basedOn w:val="1"/>
    <w:next w:val="1"/>
    <w:autoRedefine/>
    <w:qFormat/>
    <w:uiPriority w:val="0"/>
    <w:pPr>
      <w:spacing w:after="120" w:line="480" w:lineRule="auto"/>
      <w:ind w:left="420" w:leftChars="200"/>
    </w:pPr>
  </w:style>
  <w:style w:type="paragraph" w:styleId="12">
    <w:name w:val="Balloon Text"/>
    <w:basedOn w:val="1"/>
    <w:link w:val="39"/>
    <w:autoRedefine/>
    <w:semiHidden/>
    <w:unhideWhenUsed/>
    <w:qFormat/>
    <w:uiPriority w:val="99"/>
    <w:pPr>
      <w:spacing w:after="0"/>
    </w:pPr>
    <w:rPr>
      <w:sz w:val="18"/>
      <w:szCs w:val="18"/>
    </w:rPr>
  </w:style>
  <w:style w:type="paragraph" w:styleId="13">
    <w:name w:val="footer"/>
    <w:basedOn w:val="1"/>
    <w:link w:val="31"/>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4">
    <w:name w:val="header"/>
    <w:basedOn w:val="1"/>
    <w:link w:val="33"/>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5">
    <w:name w:val="Normal (Web)"/>
    <w:basedOn w:val="1"/>
    <w:autoRedefine/>
    <w:qFormat/>
    <w:uiPriority w:val="0"/>
    <w:pPr>
      <w:spacing w:before="100" w:beforeAutospacing="1" w:after="100" w:afterAutospacing="1"/>
    </w:pPr>
    <w:rPr>
      <w:rFonts w:ascii="宋体" w:hAnsi="宋体" w:cs="宋体"/>
      <w:sz w:val="24"/>
      <w:szCs w:val="24"/>
    </w:rPr>
  </w:style>
  <w:style w:type="paragraph" w:styleId="16">
    <w:name w:val="Body Text First Indent"/>
    <w:basedOn w:val="8"/>
    <w:autoRedefine/>
    <w:qFormat/>
    <w:uiPriority w:val="0"/>
    <w:pPr>
      <w:spacing w:beforeLines="50" w:line="360" w:lineRule="auto"/>
      <w:ind w:firstLine="200" w:firstLineChars="200"/>
    </w:pPr>
    <w:rPr>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Default1"/>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四级条标题"/>
    <w:basedOn w:val="24"/>
    <w:next w:val="28"/>
    <w:autoRedefine/>
    <w:qFormat/>
    <w:uiPriority w:val="0"/>
    <w:pPr>
      <w:tabs>
        <w:tab w:val="left" w:pos="1260"/>
      </w:tabs>
      <w:outlineLvl w:val="5"/>
    </w:pPr>
    <w:rPr>
      <w:szCs w:val="20"/>
    </w:rPr>
  </w:style>
  <w:style w:type="paragraph" w:customStyle="1" w:styleId="24">
    <w:name w:val="三级条标题"/>
    <w:basedOn w:val="25"/>
    <w:next w:val="28"/>
    <w:autoRedefine/>
    <w:qFormat/>
    <w:uiPriority w:val="0"/>
    <w:pPr>
      <w:numPr>
        <w:ilvl w:val="0"/>
        <w:numId w:val="0"/>
      </w:numPr>
      <w:tabs>
        <w:tab w:val="left" w:pos="1260"/>
      </w:tabs>
      <w:outlineLvl w:val="4"/>
    </w:pPr>
  </w:style>
  <w:style w:type="paragraph" w:customStyle="1" w:styleId="25">
    <w:name w:val="二级条标题"/>
    <w:basedOn w:val="26"/>
    <w:next w:val="28"/>
    <w:autoRedefine/>
    <w:qFormat/>
    <w:uiPriority w:val="0"/>
    <w:pPr>
      <w:numPr>
        <w:ilvl w:val="3"/>
      </w:numPr>
      <w:tabs>
        <w:tab w:val="left" w:pos="1260"/>
      </w:tabs>
      <w:outlineLvl w:val="3"/>
    </w:pPr>
  </w:style>
  <w:style w:type="paragraph" w:customStyle="1" w:styleId="26">
    <w:name w:val="一级条标题"/>
    <w:basedOn w:val="27"/>
    <w:next w:val="28"/>
    <w:autoRedefine/>
    <w:qFormat/>
    <w:uiPriority w:val="0"/>
    <w:pPr>
      <w:numPr>
        <w:ilvl w:val="2"/>
        <w:numId w:val="1"/>
      </w:numPr>
      <w:spacing w:beforeLines="0" w:afterLines="0"/>
      <w:outlineLvl w:val="2"/>
    </w:pPr>
  </w:style>
  <w:style w:type="paragraph" w:customStyle="1" w:styleId="27">
    <w:name w:val="章标题"/>
    <w:next w:val="28"/>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8">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9">
    <w:name w:val="xl27"/>
    <w:basedOn w:val="4"/>
    <w:next w:val="1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customStyle="1" w:styleId="30">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1">
    <w:name w:val="页脚 Char"/>
    <w:basedOn w:val="19"/>
    <w:link w:val="13"/>
    <w:autoRedefine/>
    <w:qFormat/>
    <w:uiPriority w:val="99"/>
    <w:rPr>
      <w:rFonts w:ascii="Times New Roman" w:hAnsi="Times New Roman" w:eastAsia="宋体" w:cs="Times New Roman"/>
      <w:kern w:val="2"/>
      <w:sz w:val="18"/>
      <w:szCs w:val="18"/>
    </w:rPr>
  </w:style>
  <w:style w:type="character" w:customStyle="1" w:styleId="32">
    <w:name w:val="正文缩进 Char"/>
    <w:link w:val="5"/>
    <w:autoRedefine/>
    <w:qFormat/>
    <w:uiPriority w:val="0"/>
    <w:rPr>
      <w:rFonts w:ascii="Times New Roman" w:hAnsi="Times New Roman" w:eastAsia="宋体"/>
      <w:kern w:val="2"/>
      <w:sz w:val="21"/>
    </w:rPr>
  </w:style>
  <w:style w:type="character" w:customStyle="1" w:styleId="33">
    <w:name w:val="页眉 Char"/>
    <w:basedOn w:val="19"/>
    <w:link w:val="14"/>
    <w:autoRedefine/>
    <w:semiHidden/>
    <w:qFormat/>
    <w:uiPriority w:val="99"/>
    <w:rPr>
      <w:rFonts w:ascii="Tahoma" w:hAnsi="Tahoma"/>
      <w:sz w:val="18"/>
      <w:szCs w:val="18"/>
    </w:rPr>
  </w:style>
  <w:style w:type="character" w:customStyle="1" w:styleId="34">
    <w:name w:val="文档结构图 Char"/>
    <w:basedOn w:val="19"/>
    <w:link w:val="6"/>
    <w:autoRedefine/>
    <w:semiHidden/>
    <w:qFormat/>
    <w:uiPriority w:val="99"/>
    <w:rPr>
      <w:rFonts w:ascii="宋体" w:hAnsi="Tahoma" w:eastAsia="宋体"/>
      <w:sz w:val="18"/>
      <w:szCs w:val="18"/>
    </w:rPr>
  </w:style>
  <w:style w:type="paragraph" w:customStyle="1" w:styleId="35">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6">
    <w:name w:val="List Paragraph"/>
    <w:basedOn w:val="1"/>
    <w:autoRedefine/>
    <w:qFormat/>
    <w:uiPriority w:val="34"/>
    <w:pPr>
      <w:ind w:firstLine="420" w:firstLineChars="200"/>
    </w:pPr>
  </w:style>
  <w:style w:type="paragraph" w:customStyle="1" w:styleId="37">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9">
    <w:name w:val="批注框文本 Char"/>
    <w:basedOn w:val="19"/>
    <w:link w:val="12"/>
    <w:autoRedefine/>
    <w:semiHidden/>
    <w:qFormat/>
    <w:uiPriority w:val="99"/>
    <w:rPr>
      <w:rFonts w:ascii="Tahoma" w:hAnsi="Tahoma" w:eastAsia="微软雅黑" w:cstheme="minorBidi"/>
      <w:sz w:val="18"/>
      <w:szCs w:val="18"/>
    </w:rPr>
  </w:style>
  <w:style w:type="paragraph" w:customStyle="1" w:styleId="40">
    <w:name w:val="正文1"/>
    <w:next w:val="1"/>
    <w:link w:val="41"/>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1">
    <w:name w:val="正文1 Char"/>
    <w:link w:val="40"/>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2296</Words>
  <Characters>2469</Characters>
  <Lines>11</Lines>
  <Paragraphs>3</Paragraphs>
  <TotalTime>8</TotalTime>
  <ScaleCrop>false</ScaleCrop>
  <LinksUpToDate>false</LinksUpToDate>
  <CharactersWithSpaces>2490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刘宇灏</cp:lastModifiedBy>
  <cp:lastPrinted>2024-11-07T07:58:00Z</cp:lastPrinted>
  <dcterms:modified xsi:type="dcterms:W3CDTF">2024-12-26T01:24:11Z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8B1D53582B5A40DFA0EF2B62B464FCAF_13</vt:lpwstr>
  </property>
</Properties>
</file>