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1C90A">
      <w:pPr>
        <w:spacing w:line="267" w:lineRule="auto"/>
        <w:ind w:firstLine="552"/>
        <w:jc w:val="both"/>
        <w:rPr>
          <w:rFonts w:ascii="宋体" w:hAnsi="宋体" w:eastAsia="宋体" w:cs="宋体"/>
          <w:bCs/>
          <w:spacing w:val="-4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pacing w:val="-4"/>
          <w:sz w:val="28"/>
          <w:szCs w:val="28"/>
          <w:lang w:eastAsia="zh-CN"/>
        </w:rPr>
        <w:t>附件4</w:t>
      </w:r>
    </w:p>
    <w:p w14:paraId="0F9D8956">
      <w:pPr>
        <w:ind w:firstLine="880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2023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岳阳县农产品质量安全检测中心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整体支出绩效自评报告</w:t>
      </w:r>
    </w:p>
    <w:p w14:paraId="4112F582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77F0BAF1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1E4CBEF1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47F955C4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4EC70911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1C94C4F2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14FC26D1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3F4003FB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45261F89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15CEB84B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4CC40DBA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27B477ED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01823F72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2184093E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06072FDB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7B693C30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147F4E9D">
      <w:pPr>
        <w:pStyle w:val="2"/>
        <w:spacing w:before="78" w:line="221" w:lineRule="auto"/>
        <w:ind w:firstLine="587"/>
        <w:jc w:val="center"/>
        <w:rPr>
          <w:rFonts w:ascii="楷体_GB2312" w:eastAsia="楷体_GB2312"/>
          <w:b/>
          <w:bCs/>
          <w:spacing w:val="-28"/>
          <w:sz w:val="32"/>
          <w:szCs w:val="32"/>
          <w:lang w:eastAsia="zh-CN"/>
        </w:rPr>
      </w:pPr>
    </w:p>
    <w:p w14:paraId="6DEAFD79">
      <w:pPr>
        <w:pStyle w:val="2"/>
        <w:spacing w:before="78" w:line="221" w:lineRule="auto"/>
        <w:ind w:firstLine="587"/>
        <w:jc w:val="center"/>
        <w:rPr>
          <w:rFonts w:hint="default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spacing w:val="-28"/>
          <w:sz w:val="32"/>
          <w:szCs w:val="32"/>
          <w:lang w:eastAsia="zh-CN"/>
        </w:rPr>
        <w:t>部门(单位)名称：</w:t>
      </w:r>
      <w:r>
        <w:rPr>
          <w:rFonts w:hint="eastAsia" w:ascii="楷体_GB2312" w:eastAsia="楷体_GB2312"/>
          <w:b/>
          <w:bCs/>
          <w:spacing w:val="-28"/>
          <w:sz w:val="32"/>
          <w:szCs w:val="32"/>
          <w:lang w:val="en-US" w:eastAsia="zh-CN"/>
        </w:rPr>
        <w:t>岳阳县农产品质量安全检测中心</w:t>
      </w:r>
    </w:p>
    <w:p w14:paraId="5D7DADB4">
      <w:pPr>
        <w:spacing w:before="274" w:line="225" w:lineRule="auto"/>
        <w:ind w:firstLine="617"/>
        <w:jc w:val="center"/>
        <w:rPr>
          <w:rFonts w:ascii="楷体_GB2312" w:hAnsi="楷体" w:eastAsia="楷体_GB2312" w:cs="楷体"/>
          <w:sz w:val="32"/>
          <w:szCs w:val="32"/>
          <w:lang w:eastAsia="zh-CN"/>
        </w:rPr>
      </w:pPr>
      <w:r>
        <w:rPr>
          <w:rFonts w:hint="eastAsia" w:ascii="楷体_GB2312" w:hAnsi="楷体" w:eastAsia="楷体_GB2312" w:cs="楷体"/>
          <w:b/>
          <w:bCs/>
          <w:spacing w:val="-13"/>
          <w:sz w:val="32"/>
          <w:szCs w:val="32"/>
          <w:lang w:eastAsia="zh-CN"/>
        </w:rPr>
        <w:t xml:space="preserve">年   </w:t>
      </w:r>
      <w:r>
        <w:rPr>
          <w:rFonts w:hint="eastAsia" w:ascii="楷体_GB2312" w:hAnsi="楷体" w:eastAsia="楷体_GB2312" w:cs="楷体"/>
          <w:spacing w:val="-13"/>
          <w:sz w:val="32"/>
          <w:szCs w:val="32"/>
          <w:lang w:eastAsia="zh-CN"/>
        </w:rPr>
        <w:t xml:space="preserve">月    </w:t>
      </w:r>
      <w:r>
        <w:rPr>
          <w:rFonts w:hint="eastAsia" w:ascii="楷体_GB2312" w:hAnsi="楷体" w:eastAsia="楷体_GB2312" w:cs="楷体"/>
          <w:b/>
          <w:bCs/>
          <w:spacing w:val="-13"/>
          <w:sz w:val="32"/>
          <w:szCs w:val="32"/>
          <w:lang w:eastAsia="zh-CN"/>
        </w:rPr>
        <w:t>日</w:t>
      </w:r>
    </w:p>
    <w:p w14:paraId="1AC90916">
      <w:pPr>
        <w:pStyle w:val="2"/>
        <w:spacing w:before="211" w:line="224" w:lineRule="auto"/>
        <w:ind w:firstLine="638"/>
        <w:jc w:val="center"/>
        <w:rPr>
          <w:b/>
          <w:bCs/>
          <w:spacing w:val="18"/>
          <w:sz w:val="30"/>
          <w:szCs w:val="30"/>
          <w:lang w:eastAsia="zh-CN"/>
        </w:rPr>
      </w:pPr>
      <w:r>
        <w:rPr>
          <w:b/>
          <w:bCs/>
          <w:spacing w:val="18"/>
          <w:sz w:val="30"/>
          <w:szCs w:val="30"/>
          <w:lang w:eastAsia="zh-CN"/>
        </w:rPr>
        <w:t>(此页为封面)</w:t>
      </w:r>
    </w:p>
    <w:p w14:paraId="2CC7F101">
      <w:pPr>
        <w:pStyle w:val="2"/>
        <w:spacing w:before="211" w:line="224" w:lineRule="auto"/>
        <w:ind w:firstLine="638"/>
        <w:jc w:val="both"/>
        <w:rPr>
          <w:b/>
          <w:bCs/>
          <w:spacing w:val="18"/>
          <w:sz w:val="30"/>
          <w:szCs w:val="30"/>
          <w:lang w:eastAsia="zh-CN"/>
        </w:rPr>
      </w:pPr>
    </w:p>
    <w:sdt>
      <w:sdtPr>
        <w:id w:val="3580075"/>
        <w:docPartObj>
          <w:docPartGallery w:val="autotext"/>
        </w:docPartObj>
      </w:sdtPr>
      <w:sdtEndPr>
        <w:rPr>
          <w:rFonts w:hint="eastAsia" w:asciiTheme="minorEastAsia" w:hAnsiTheme="minorEastAsia" w:eastAsiaTheme="minorEastAsia"/>
          <w:sz w:val="28"/>
          <w:szCs w:val="28"/>
        </w:rPr>
      </w:sdtEndPr>
      <w:sdtContent>
        <w:p w14:paraId="0FE9F7E1">
          <w:pPr>
            <w:pStyle w:val="4"/>
            <w:ind w:firstLine="360"/>
            <w:rPr>
              <w:rFonts w:asciiTheme="minorEastAsia" w:hAnsiTheme="minorEastAsia" w:eastAsiaTheme="minorEastAsia"/>
              <w:lang w:eastAsia="zh-CN"/>
            </w:rPr>
          </w:pPr>
          <w:r>
            <w:rPr>
              <w:rFonts w:hint="eastAsia" w:asciiTheme="minorEastAsia" w:hAnsiTheme="minorEastAsia" w:eastAsiaTheme="minorEastAsia"/>
              <w:sz w:val="28"/>
              <w:szCs w:val="28"/>
            </w:rPr>
            <w:fldChar w:fldCharType="begin"/>
          </w:r>
          <w:r>
            <w:rPr>
              <w:rFonts w:hint="eastAsia" w:asciiTheme="minorEastAsia" w:hAnsiTheme="minorEastAsia" w:eastAsiaTheme="minorEastAsia"/>
              <w:sz w:val="28"/>
              <w:szCs w:val="28"/>
              <w:lang w:eastAsia="zh-CN"/>
            </w:rPr>
            <w:instrText xml:space="preserve"> PAGE   \* MERGEFORMAT </w:instrText>
          </w:r>
          <w:r>
            <w:rPr>
              <w:rFonts w:hint="eastAsia" w:asciiTheme="minorEastAsia" w:hAnsiTheme="minorEastAsia" w:eastAsiaTheme="minorEastAsia"/>
              <w:sz w:val="28"/>
              <w:szCs w:val="28"/>
            </w:rPr>
            <w:fldChar w:fldCharType="separate"/>
          </w:r>
          <w:r>
            <w:rPr>
              <w:rFonts w:asciiTheme="minorEastAsia" w:hAnsiTheme="minorEastAsia" w:eastAsiaTheme="minorEastAsia"/>
              <w:sz w:val="28"/>
              <w:szCs w:val="28"/>
              <w:lang w:val="zh-CN" w:eastAsia="zh-CN"/>
            </w:rPr>
            <w:t>-</w:t>
          </w:r>
          <w:r>
            <w:rPr>
              <w:rFonts w:asciiTheme="minorEastAsia" w:hAnsiTheme="minorEastAsia" w:eastAsiaTheme="minorEastAsia"/>
              <w:sz w:val="28"/>
              <w:szCs w:val="28"/>
              <w:lang w:eastAsia="zh-CN"/>
            </w:rPr>
            <w:t xml:space="preserve"> 10 -</w:t>
          </w:r>
          <w:r>
            <w:rPr>
              <w:rFonts w:hint="eastAsia" w:asciiTheme="minorEastAsia" w:hAnsiTheme="minorEastAsia" w:eastAsiaTheme="minorEastAsia"/>
              <w:sz w:val="28"/>
              <w:szCs w:val="28"/>
            </w:rPr>
            <w:fldChar w:fldCharType="end"/>
          </w:r>
        </w:p>
      </w:sdtContent>
    </w:sdt>
    <w:p w14:paraId="0E2AC59B">
      <w:pPr>
        <w:pStyle w:val="2"/>
        <w:spacing w:before="211" w:line="224" w:lineRule="auto"/>
        <w:ind w:firstLine="638"/>
        <w:jc w:val="both"/>
        <w:rPr>
          <w:b/>
          <w:bCs/>
          <w:spacing w:val="18"/>
          <w:sz w:val="30"/>
          <w:szCs w:val="30"/>
          <w:lang w:eastAsia="zh-CN"/>
        </w:rPr>
      </w:pPr>
    </w:p>
    <w:p w14:paraId="25BC8EDD">
      <w:pPr>
        <w:pStyle w:val="2"/>
        <w:spacing w:before="211" w:line="224" w:lineRule="auto"/>
        <w:ind w:firstLine="64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一、部门</w:t>
      </w:r>
      <w:r>
        <w:rPr>
          <w:rFonts w:ascii="方正黑体_GBK" w:eastAsia="方正黑体_GBK"/>
          <w:sz w:val="32"/>
          <w:szCs w:val="32"/>
          <w:lang w:eastAsia="zh-CN"/>
        </w:rPr>
        <w:t>(</w:t>
      </w:r>
      <w:r>
        <w:rPr>
          <w:rFonts w:hint="eastAsia" w:ascii="方正黑体_GBK" w:eastAsia="方正黑体_GBK"/>
          <w:sz w:val="32"/>
          <w:szCs w:val="32"/>
          <w:lang w:eastAsia="zh-CN"/>
        </w:rPr>
        <w:t>单位</w:t>
      </w:r>
      <w:r>
        <w:rPr>
          <w:rFonts w:ascii="方正黑体_GBK" w:eastAsia="方正黑体_GBK"/>
          <w:sz w:val="32"/>
          <w:szCs w:val="32"/>
          <w:lang w:eastAsia="zh-CN"/>
        </w:rPr>
        <w:t>)</w:t>
      </w:r>
      <w:r>
        <w:rPr>
          <w:rFonts w:hint="eastAsia" w:ascii="方正黑体_GBK" w:eastAsia="方正黑体_GBK"/>
          <w:sz w:val="32"/>
          <w:szCs w:val="32"/>
          <w:lang w:eastAsia="zh-CN"/>
        </w:rPr>
        <w:t>基本情况</w:t>
      </w:r>
    </w:p>
    <w:p w14:paraId="0B6AD3D2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二、一般公共预算支出情况</w:t>
      </w:r>
    </w:p>
    <w:p w14:paraId="3088C8EC">
      <w:pPr>
        <w:pStyle w:val="12"/>
        <w:spacing w:line="600" w:lineRule="exact"/>
        <w:ind w:firstLine="643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b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基本支出情况</w:t>
      </w:r>
    </w:p>
    <w:p w14:paraId="30117938">
      <w:pPr>
        <w:pStyle w:val="12"/>
        <w:spacing w:line="600" w:lineRule="exact"/>
        <w:ind w:firstLine="643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b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项目支出情况</w:t>
      </w:r>
    </w:p>
    <w:p w14:paraId="379A8C02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三、政府性基金预算支出情况</w:t>
      </w:r>
    </w:p>
    <w:p w14:paraId="14810B04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四、国有资本经营预算支出情况</w:t>
      </w:r>
    </w:p>
    <w:p w14:paraId="5D21CB4B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五、社会保险基金预算支出情况</w:t>
      </w:r>
    </w:p>
    <w:p w14:paraId="690ADA13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六、部门整体支出绩效情况</w:t>
      </w:r>
    </w:p>
    <w:p w14:paraId="1C619456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总结归纳本部门</w:t>
      </w:r>
      <w:r>
        <w:rPr>
          <w:rFonts w:eastAsia="仿宋_GB2312"/>
          <w:sz w:val="32"/>
          <w:szCs w:val="32"/>
          <w:lang w:eastAsia="zh-CN"/>
        </w:rPr>
        <w:t>“</w:t>
      </w:r>
      <w:r>
        <w:rPr>
          <w:rFonts w:hint="eastAsia" w:eastAsia="仿宋_GB2312"/>
          <w:sz w:val="32"/>
          <w:szCs w:val="32"/>
          <w:lang w:eastAsia="zh-CN"/>
        </w:rPr>
        <w:t>四本预算</w:t>
      </w:r>
      <w:r>
        <w:rPr>
          <w:rFonts w:eastAsia="仿宋_GB2312"/>
          <w:sz w:val="32"/>
          <w:szCs w:val="32"/>
          <w:lang w:eastAsia="zh-CN"/>
        </w:rPr>
        <w:t>”</w:t>
      </w:r>
      <w:r>
        <w:rPr>
          <w:rFonts w:hint="eastAsia" w:eastAsia="仿宋_GB2312"/>
          <w:sz w:val="32"/>
          <w:szCs w:val="32"/>
          <w:lang w:eastAsia="zh-CN"/>
        </w:rPr>
        <w:t>支出的绩效目标完成情况，实现产出和取得效益的情况。围绕部门职责、行业发展规划，以预算资金管理为主线，总结部门资产管理和开展业务情况，从运行成本、管理效率、履职效能、社会效应、可持续发展能力和服务对象满意度等方面，衡量部门整体及核心业务实施效果。</w:t>
      </w:r>
    </w:p>
    <w:p w14:paraId="13209163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七、存在的问题及原因分析</w:t>
      </w:r>
    </w:p>
    <w:p w14:paraId="0634D4A7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可以从预算和预算绩效管理，部门履职效能，资金分配、使用和管理，资产和财务管理、政府采购等方面归纳存在的问题；反映各种预算支出执行偏离绩效目标的情况，并分析其原因。</w:t>
      </w:r>
    </w:p>
    <w:p w14:paraId="4222E427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八、下一步改进措施</w:t>
      </w:r>
    </w:p>
    <w:p w14:paraId="29ECF596">
      <w:pPr>
        <w:spacing w:line="600" w:lineRule="exact"/>
        <w:ind w:firstLine="640" w:firstLineChars="200"/>
        <w:jc w:val="both"/>
        <w:rPr>
          <w:rFonts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九、部门整体支出绩效自评结果拟应用和公开情况</w:t>
      </w:r>
    </w:p>
    <w:p w14:paraId="55199841">
      <w:pPr>
        <w:spacing w:line="600" w:lineRule="exact"/>
        <w:ind w:firstLine="640" w:firstLineChars="200"/>
        <w:jc w:val="both"/>
        <w:rPr>
          <w:rFonts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十、其他需要说明的情况</w:t>
      </w:r>
    </w:p>
    <w:p w14:paraId="50251149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</w:p>
    <w:p w14:paraId="7520A501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报告需要以下附件：</w:t>
      </w:r>
    </w:p>
    <w:p w14:paraId="767CF01E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、部门整体支出绩效评价基础数据表</w:t>
      </w:r>
    </w:p>
    <w:p w14:paraId="334FC46D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、部门整体支出绩效自评表</w:t>
      </w:r>
    </w:p>
    <w:p w14:paraId="507965C7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、项目支出绩效自评表（每个一级项目支出一张表）</w:t>
      </w:r>
    </w:p>
    <w:p w14:paraId="0B929118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4</w:t>
      </w:r>
      <w:r>
        <w:rPr>
          <w:rFonts w:hint="eastAsia" w:eastAsia="仿宋_GB2312"/>
          <w:sz w:val="32"/>
          <w:szCs w:val="32"/>
          <w:lang w:eastAsia="zh-CN"/>
        </w:rPr>
        <w:t>、政府性基金预算支出情况表</w:t>
      </w:r>
    </w:p>
    <w:p w14:paraId="7F3579BF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5</w:t>
      </w:r>
      <w:r>
        <w:rPr>
          <w:rFonts w:hint="eastAsia" w:eastAsia="仿宋_GB2312"/>
          <w:sz w:val="32"/>
          <w:szCs w:val="32"/>
          <w:lang w:eastAsia="zh-CN"/>
        </w:rPr>
        <w:t>、国有资本经营预算支出情况表</w:t>
      </w:r>
    </w:p>
    <w:p w14:paraId="14C758D7">
      <w:pPr>
        <w:spacing w:line="600" w:lineRule="exact"/>
        <w:ind w:firstLine="640" w:firstLineChars="20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6</w:t>
      </w:r>
      <w:r>
        <w:rPr>
          <w:rFonts w:hint="eastAsia" w:eastAsia="仿宋_GB2312"/>
          <w:sz w:val="32"/>
          <w:szCs w:val="32"/>
          <w:lang w:eastAsia="zh-CN"/>
        </w:rPr>
        <w:t>、社会保险基金预算支出情况表</w:t>
      </w:r>
    </w:p>
    <w:p w14:paraId="072ACED5">
      <w:pPr>
        <w:spacing w:line="600" w:lineRule="exact"/>
        <w:jc w:val="both"/>
        <w:rPr>
          <w:rFonts w:eastAsia="仿宋_GB2312"/>
          <w:sz w:val="32"/>
          <w:szCs w:val="32"/>
          <w:lang w:eastAsia="zh-CN"/>
        </w:rPr>
      </w:pPr>
    </w:p>
    <w:p w14:paraId="36D09706">
      <w:pPr>
        <w:kinsoku/>
        <w:autoSpaceDE/>
        <w:autoSpaceDN/>
        <w:adjustRightInd/>
        <w:snapToGrid/>
        <w:ind w:firstLine="560"/>
        <w:jc w:val="both"/>
        <w:textAlignment w:val="auto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br w:type="page"/>
      </w:r>
    </w:p>
    <w:p w14:paraId="075F911E">
      <w:pPr>
        <w:kinsoku/>
        <w:autoSpaceDE/>
        <w:autoSpaceDN/>
        <w:adjustRightInd/>
        <w:snapToGrid/>
        <w:ind w:firstLine="560"/>
        <w:textAlignment w:val="auto"/>
        <w:rPr>
          <w:rFonts w:eastAsia="黑体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附件5</w:t>
      </w:r>
    </w:p>
    <w:p w14:paraId="6472D7E6">
      <w:pPr>
        <w:spacing w:before="114" w:line="219" w:lineRule="auto"/>
        <w:ind w:firstLine="857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13"/>
          <w:sz w:val="44"/>
          <w:szCs w:val="44"/>
          <w:lang w:eastAsia="zh-CN"/>
        </w:rPr>
        <w:t>部门整体支出绩效自评工作考核评分表</w:t>
      </w:r>
    </w:p>
    <w:p w14:paraId="404B6C6B">
      <w:pPr>
        <w:spacing w:line="220" w:lineRule="exact"/>
        <w:ind w:firstLine="420"/>
        <w:rPr>
          <w:lang w:eastAsia="zh-CN"/>
        </w:rPr>
      </w:pPr>
    </w:p>
    <w:tbl>
      <w:tblPr>
        <w:tblStyle w:val="8"/>
        <w:tblW w:w="9842" w:type="dxa"/>
        <w:tblInd w:w="-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157"/>
        <w:gridCol w:w="4957"/>
        <w:gridCol w:w="2982"/>
      </w:tblGrid>
      <w:tr w14:paraId="40555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</w:trPr>
        <w:tc>
          <w:tcPr>
            <w:tcW w:w="746" w:type="dxa"/>
            <w:vAlign w:val="center"/>
          </w:tcPr>
          <w:p w14:paraId="53C415C3">
            <w:pPr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一级</w:t>
            </w:r>
          </w:p>
          <w:p w14:paraId="12BCC636">
            <w:pPr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指标</w:t>
            </w:r>
          </w:p>
        </w:tc>
        <w:tc>
          <w:tcPr>
            <w:tcW w:w="1157" w:type="dxa"/>
            <w:vAlign w:val="center"/>
          </w:tcPr>
          <w:p w14:paraId="43D9B874"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二级指标</w:t>
            </w:r>
          </w:p>
        </w:tc>
        <w:tc>
          <w:tcPr>
            <w:tcW w:w="4957" w:type="dxa"/>
            <w:vAlign w:val="center"/>
          </w:tcPr>
          <w:p w14:paraId="1B72E5E3"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评分标准</w:t>
            </w:r>
          </w:p>
        </w:tc>
        <w:tc>
          <w:tcPr>
            <w:tcW w:w="2982" w:type="dxa"/>
            <w:vAlign w:val="center"/>
          </w:tcPr>
          <w:p w14:paraId="7A90044A"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所需佐证材料</w:t>
            </w:r>
          </w:p>
        </w:tc>
      </w:tr>
      <w:tr w14:paraId="49D83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46" w:type="dxa"/>
            <w:vMerge w:val="restart"/>
            <w:tcBorders>
              <w:bottom w:val="nil"/>
            </w:tcBorders>
            <w:vAlign w:val="center"/>
          </w:tcPr>
          <w:p w14:paraId="49EE20F9">
            <w:pPr>
              <w:ind w:firstLine="420"/>
              <w:jc w:val="center"/>
              <w:rPr>
                <w:rFonts w:ascii="仿宋_GB2312" w:eastAsia="仿宋_GB2312"/>
              </w:rPr>
            </w:pPr>
          </w:p>
          <w:p w14:paraId="3477ED6F">
            <w:pPr>
              <w:rPr>
                <w:rFonts w:ascii="仿宋_GB2312" w:hAnsi="宋体" w:eastAsia="仿宋_GB2312" w:cs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</w:rPr>
              <w:t>布置</w:t>
            </w:r>
          </w:p>
          <w:p w14:paraId="322178F8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工作</w:t>
            </w:r>
          </w:p>
          <w:p w14:paraId="6D115D19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</w:t>
            </w:r>
            <w:r>
              <w:rPr>
                <w:rFonts w:hint="eastAsia" w:ascii="仿宋_GB2312" w:hAnsi="宋体" w:eastAsia="仿宋_GB2312" w:cs="宋体"/>
              </w:rPr>
              <w:t>分</w:t>
            </w:r>
          </w:p>
        </w:tc>
        <w:tc>
          <w:tcPr>
            <w:tcW w:w="1157" w:type="dxa"/>
            <w:vAlign w:val="center"/>
          </w:tcPr>
          <w:p w14:paraId="5200E7C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自评通知</w:t>
            </w:r>
            <w:r>
              <w:rPr>
                <w:rFonts w:hint="eastAsia" w:ascii="仿宋_GB2312" w:eastAsia="仿宋_GB2312"/>
              </w:rPr>
              <w:t>(8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4957" w:type="dxa"/>
            <w:vAlign w:val="center"/>
          </w:tcPr>
          <w:p w14:paraId="7B5B079D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1.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印发绩效自评通知的得</w:t>
            </w: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分，否则不得分</w:t>
            </w:r>
          </w:p>
          <w:p w14:paraId="5DFCBEF2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2.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按照本规程规定，绩效自评通知包括自评范围、自评主要依据、自评主要内容、自评程序和步骤、有关要求等内容，并附有本通知要求的附件的，得</w:t>
            </w:r>
            <w:r>
              <w:rPr>
                <w:rFonts w:hint="eastAsia" w:ascii="仿宋_GB2312" w:eastAsia="仿宋_GB2312"/>
                <w:lang w:eastAsia="zh-CN"/>
              </w:rPr>
              <w:t>6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分；否则缺</w:t>
            </w: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项扣</w:t>
            </w: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分，最多扣</w:t>
            </w:r>
            <w:r>
              <w:rPr>
                <w:rFonts w:hint="eastAsia" w:ascii="仿宋_GB2312" w:eastAsia="仿宋_GB2312"/>
                <w:lang w:eastAsia="zh-CN"/>
              </w:rPr>
              <w:t>6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分。</w:t>
            </w:r>
          </w:p>
        </w:tc>
        <w:tc>
          <w:tcPr>
            <w:tcW w:w="2982" w:type="dxa"/>
            <w:vAlign w:val="center"/>
          </w:tcPr>
          <w:p w14:paraId="776CF72E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</w:p>
          <w:p w14:paraId="6284F9B5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</w:p>
          <w:p w14:paraId="2576B0A7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绩效自评通知盖章的电子版</w:t>
            </w:r>
          </w:p>
        </w:tc>
      </w:tr>
      <w:tr w14:paraId="54339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746" w:type="dxa"/>
            <w:vMerge w:val="continue"/>
            <w:tcBorders>
              <w:top w:val="nil"/>
            </w:tcBorders>
            <w:vAlign w:val="center"/>
          </w:tcPr>
          <w:p w14:paraId="1D0336C3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14:paraId="45034EC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工作小组</w:t>
            </w:r>
            <w:r>
              <w:rPr>
                <w:rFonts w:hint="eastAsia" w:ascii="仿宋_GB2312" w:eastAsia="仿宋_GB2312"/>
              </w:rPr>
              <w:t>(2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4957" w:type="dxa"/>
            <w:vAlign w:val="center"/>
          </w:tcPr>
          <w:p w14:paraId="04EDEDAD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</w:p>
          <w:p w14:paraId="592BCD41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成立绩效自评工作小组的得</w:t>
            </w: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分，否则不得分</w:t>
            </w:r>
          </w:p>
        </w:tc>
        <w:tc>
          <w:tcPr>
            <w:tcW w:w="2982" w:type="dxa"/>
            <w:vAlign w:val="center"/>
          </w:tcPr>
          <w:p w14:paraId="008863A7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本部门、本单位预算绩效管理领导小组</w:t>
            </w:r>
            <w:r>
              <w:rPr>
                <w:rFonts w:hint="eastAsia" w:ascii="仿宋_GB2312" w:eastAsia="仿宋_GB2312"/>
                <w:lang w:eastAsia="zh-CN"/>
              </w:rPr>
              <w:t>/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绩效评价工作小组有关文件盖章的电子版</w:t>
            </w:r>
          </w:p>
        </w:tc>
      </w:tr>
      <w:tr w14:paraId="7F6B8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46" w:type="dxa"/>
            <w:vMerge w:val="restart"/>
            <w:tcBorders>
              <w:bottom w:val="nil"/>
            </w:tcBorders>
            <w:vAlign w:val="center"/>
          </w:tcPr>
          <w:p w14:paraId="36AB37D0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  <w:p w14:paraId="3CA26E9D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实施</w:t>
            </w:r>
          </w:p>
          <w:p w14:paraId="0C3440A0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评价</w:t>
            </w:r>
          </w:p>
          <w:p w14:paraId="1575D08D">
            <w:pPr>
              <w:ind w:firstLine="420"/>
              <w:jc w:val="center"/>
              <w:rPr>
                <w:rFonts w:ascii="仿宋_GB2312" w:eastAsia="仿宋_GB2312"/>
              </w:rPr>
            </w:pPr>
          </w:p>
          <w:p w14:paraId="3E257936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</w:t>
            </w:r>
            <w:r>
              <w:rPr>
                <w:rFonts w:hint="eastAsia" w:ascii="仿宋_GB2312" w:hAnsi="宋体" w:eastAsia="仿宋_GB2312" w:cs="宋体"/>
              </w:rPr>
              <w:t>分</w:t>
            </w:r>
          </w:p>
        </w:tc>
        <w:tc>
          <w:tcPr>
            <w:tcW w:w="1157" w:type="dxa"/>
            <w:vAlign w:val="center"/>
          </w:tcPr>
          <w:p w14:paraId="1DCF564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单位自查</w:t>
            </w:r>
          </w:p>
          <w:p w14:paraId="16004E4F"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(10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4957" w:type="dxa"/>
            <w:vAlign w:val="center"/>
          </w:tcPr>
          <w:p w14:paraId="1B9DF308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县级预算部门本级和所属单位都要开展绩效自查，转移支付项目单位都要开展绩效自查，各乡镇及办事处都要汇总本区域转移支付情况；以上各项每发现一个单位没有做相应工作的，扣</w:t>
            </w: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分，最多扣</w:t>
            </w:r>
            <w:r>
              <w:rPr>
                <w:rFonts w:hint="eastAsia" w:ascii="仿宋_GB2312" w:eastAsia="仿宋_GB2312"/>
                <w:lang w:eastAsia="zh-CN"/>
              </w:rPr>
              <w:t>10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分。</w:t>
            </w:r>
          </w:p>
        </w:tc>
        <w:tc>
          <w:tcPr>
            <w:tcW w:w="2982" w:type="dxa"/>
            <w:vAlign w:val="center"/>
          </w:tcPr>
          <w:p w14:paraId="59B20EE3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、转移支付项目单位名称和资金情况清单</w:t>
            </w:r>
          </w:p>
          <w:p w14:paraId="6E143797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、有转移支付资金的部门汇总情况的盖章</w:t>
            </w:r>
            <w:r>
              <w:rPr>
                <w:rFonts w:hint="eastAsia" w:ascii="仿宋_GB2312" w:eastAsia="仿宋_GB2312"/>
                <w:lang w:eastAsia="zh-CN"/>
              </w:rPr>
              <w:t>PDF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版</w:t>
            </w:r>
          </w:p>
        </w:tc>
      </w:tr>
      <w:tr w14:paraId="6B023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746" w:type="dxa"/>
            <w:vMerge w:val="continue"/>
            <w:tcBorders>
              <w:top w:val="nil"/>
            </w:tcBorders>
            <w:vAlign w:val="center"/>
          </w:tcPr>
          <w:p w14:paraId="423657D5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14:paraId="2ACBEBB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提交报告</w:t>
            </w:r>
          </w:p>
          <w:p w14:paraId="47946F75"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(10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7939" w:type="dxa"/>
            <w:gridSpan w:val="2"/>
            <w:vAlign w:val="center"/>
          </w:tcPr>
          <w:p w14:paraId="16E0D2B2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按时向县财政局报送报告的得</w:t>
            </w:r>
            <w:r>
              <w:rPr>
                <w:rFonts w:hint="eastAsia" w:ascii="仿宋_GB2312" w:eastAsia="仿宋_GB2312"/>
                <w:lang w:eastAsia="zh-CN"/>
              </w:rPr>
              <w:t>10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分；每推迟一个工作日报送报告的扣</w:t>
            </w: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分，最多扣</w:t>
            </w:r>
            <w:r>
              <w:rPr>
                <w:rFonts w:hint="eastAsia" w:ascii="仿宋_GB2312" w:eastAsia="仿宋_GB2312"/>
                <w:lang w:eastAsia="zh-CN"/>
              </w:rPr>
              <w:t>10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分。</w:t>
            </w:r>
          </w:p>
        </w:tc>
      </w:tr>
      <w:tr w14:paraId="03EFE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</w:trPr>
        <w:tc>
          <w:tcPr>
            <w:tcW w:w="746" w:type="dxa"/>
            <w:vMerge w:val="restart"/>
            <w:tcBorders>
              <w:bottom w:val="nil"/>
            </w:tcBorders>
            <w:vAlign w:val="center"/>
          </w:tcPr>
          <w:p w14:paraId="54836EBF">
            <w:pPr>
              <w:ind w:firstLine="420"/>
              <w:rPr>
                <w:rFonts w:ascii="仿宋_GB2312" w:eastAsia="仿宋_GB2312"/>
                <w:lang w:eastAsia="zh-CN"/>
              </w:rPr>
            </w:pPr>
          </w:p>
          <w:p w14:paraId="7E8BBD4B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自评</w:t>
            </w:r>
          </w:p>
          <w:p w14:paraId="03830B5D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报告</w:t>
            </w:r>
          </w:p>
          <w:p w14:paraId="22110DCD">
            <w:pPr>
              <w:ind w:firstLine="420"/>
              <w:rPr>
                <w:rFonts w:ascii="仿宋_GB2312" w:eastAsia="仿宋_GB2312"/>
                <w:lang w:eastAsia="zh-CN"/>
              </w:rPr>
            </w:pPr>
          </w:p>
          <w:p w14:paraId="29B16458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70</w:t>
            </w:r>
            <w:r>
              <w:rPr>
                <w:rFonts w:hint="eastAsia" w:ascii="仿宋_GB2312" w:hAnsi="宋体" w:eastAsia="仿宋_GB2312" w:cs="宋体"/>
              </w:rPr>
              <w:t>分</w:t>
            </w:r>
          </w:p>
        </w:tc>
        <w:tc>
          <w:tcPr>
            <w:tcW w:w="1157" w:type="dxa"/>
            <w:vAlign w:val="center"/>
          </w:tcPr>
          <w:p w14:paraId="0B9C576C">
            <w:pPr>
              <w:jc w:val="center"/>
              <w:rPr>
                <w:rFonts w:ascii="仿宋_GB2312" w:hAnsi="宋体" w:eastAsia="仿宋_GB2312" w:cs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</w:rPr>
              <w:t>完整性</w:t>
            </w:r>
          </w:p>
          <w:p w14:paraId="1EAED04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(15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7939" w:type="dxa"/>
            <w:gridSpan w:val="2"/>
            <w:vAlign w:val="center"/>
          </w:tcPr>
          <w:p w14:paraId="3056867A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1.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绩效自评报告正文部分内容齐全的，得</w:t>
            </w:r>
            <w:r>
              <w:rPr>
                <w:rFonts w:hint="eastAsia" w:ascii="仿宋_GB2312" w:eastAsia="仿宋_GB2312"/>
                <w:lang w:eastAsia="zh-CN"/>
              </w:rPr>
              <w:t>8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分；否则每少一个部分扣</w:t>
            </w: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分，最多扣</w:t>
            </w:r>
            <w:r>
              <w:rPr>
                <w:rFonts w:hint="eastAsia" w:ascii="仿宋_GB2312" w:eastAsia="仿宋_GB2312"/>
                <w:lang w:eastAsia="zh-CN"/>
              </w:rPr>
              <w:t>8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</w:t>
            </w:r>
            <w:r>
              <w:rPr>
                <w:rFonts w:hint="eastAsia" w:ascii="仿宋_GB2312" w:eastAsia="仿宋_GB2312"/>
                <w:lang w:eastAsia="zh-CN"/>
              </w:rPr>
              <w:t xml:space="preserve"> 2.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绩效自评报告附件部分内容齐全的，得</w:t>
            </w:r>
            <w:r>
              <w:rPr>
                <w:rFonts w:hint="eastAsia" w:ascii="仿宋_GB2312" w:eastAsia="仿宋_GB2312"/>
                <w:lang w:eastAsia="zh-CN"/>
              </w:rPr>
              <w:t>7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分；否则每少一个部分扣</w:t>
            </w: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分，最多扣</w:t>
            </w:r>
            <w:r>
              <w:rPr>
                <w:rFonts w:hint="eastAsia" w:ascii="仿宋_GB2312" w:eastAsia="仿宋_GB2312"/>
                <w:lang w:eastAsia="zh-CN"/>
              </w:rPr>
              <w:t>7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</w:t>
            </w:r>
          </w:p>
        </w:tc>
      </w:tr>
      <w:tr w14:paraId="00C22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46" w:type="dxa"/>
            <w:vMerge w:val="continue"/>
            <w:tcBorders>
              <w:top w:val="nil"/>
              <w:bottom w:val="nil"/>
            </w:tcBorders>
            <w:vAlign w:val="center"/>
          </w:tcPr>
          <w:p w14:paraId="0BEF3299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14:paraId="19B7A2CD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  <w:p w14:paraId="7DBF308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绩效自评表</w:t>
            </w:r>
            <w:r>
              <w:rPr>
                <w:rFonts w:hint="eastAsia" w:ascii="仿宋_GB2312" w:eastAsia="仿宋_GB2312"/>
              </w:rPr>
              <w:t>(20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7939" w:type="dxa"/>
            <w:gridSpan w:val="2"/>
            <w:vAlign w:val="center"/>
          </w:tcPr>
          <w:p w14:paraId="425DDAFC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、部门整体支出和项目支出绩效指标反映产出、效益、服务对象满意度方面的指标和预算执行率的权重符合《岳阳县县级预算部门绩效自评操作规程》要求的，得</w:t>
            </w:r>
            <w:r>
              <w:rPr>
                <w:rFonts w:hint="eastAsia" w:ascii="仿宋_GB2312" w:eastAsia="仿宋_GB2312"/>
                <w:lang w:eastAsia="zh-CN"/>
              </w:rPr>
              <w:t>5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分，否则按比例扣除相应的分数。</w:t>
            </w:r>
          </w:p>
          <w:p w14:paraId="585D61F6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2.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部门整体支出和项目支出绩效指标全部细化到三级指标的，得</w:t>
            </w:r>
            <w:r>
              <w:rPr>
                <w:rFonts w:hint="eastAsia" w:ascii="仿宋_GB2312" w:eastAsia="仿宋_GB2312"/>
                <w:lang w:eastAsia="zh-CN"/>
              </w:rPr>
              <w:t>5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分；部分细化的，酌情扣分；没有细化的，不得分。</w:t>
            </w:r>
          </w:p>
          <w:p w14:paraId="26CDEDD3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3.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部门整体支出和项目支出三级绩效指标内涵明确、具体、可衡量的得</w:t>
            </w:r>
            <w:r>
              <w:rPr>
                <w:rFonts w:hint="eastAsia" w:ascii="仿宋_GB2312" w:eastAsia="仿宋_GB2312"/>
                <w:lang w:eastAsia="zh-CN"/>
              </w:rPr>
              <w:t>5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分；突出核心指标，精简实用的得</w:t>
            </w:r>
            <w:r>
              <w:rPr>
                <w:rFonts w:hint="eastAsia" w:ascii="仿宋_GB2312" w:eastAsia="仿宋_GB2312"/>
                <w:lang w:eastAsia="zh-CN"/>
              </w:rPr>
              <w:t>3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分；指标与部门整体支出和项目支出密切相关，全面反映产出和效益的得</w:t>
            </w:r>
            <w:r>
              <w:rPr>
                <w:rFonts w:hint="eastAsia" w:ascii="仿宋_GB2312" w:eastAsia="仿宋_GB2312"/>
                <w:lang w:eastAsia="zh-CN"/>
              </w:rPr>
              <w:t>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分；否则，每项酌情扣分，最多扣</w:t>
            </w:r>
            <w:r>
              <w:rPr>
                <w:rFonts w:hint="eastAsia" w:ascii="仿宋_GB2312" w:eastAsia="仿宋_GB2312"/>
                <w:lang w:eastAsia="zh-CN"/>
              </w:rPr>
              <w:t>10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分。</w:t>
            </w:r>
          </w:p>
        </w:tc>
      </w:tr>
      <w:tr w14:paraId="5A195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746" w:type="dxa"/>
            <w:vMerge w:val="continue"/>
            <w:tcBorders>
              <w:top w:val="nil"/>
              <w:bottom w:val="nil"/>
            </w:tcBorders>
            <w:vAlign w:val="center"/>
          </w:tcPr>
          <w:p w14:paraId="73D66FE7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14:paraId="198E361B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  <w:p w14:paraId="2B49FD2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反映问题情况</w:t>
            </w:r>
            <w:r>
              <w:rPr>
                <w:rFonts w:hint="eastAsia" w:ascii="仿宋_GB2312" w:eastAsia="仿宋_GB2312"/>
              </w:rPr>
              <w:t>(20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7939" w:type="dxa"/>
            <w:gridSpan w:val="2"/>
            <w:vAlign w:val="center"/>
          </w:tcPr>
          <w:p w14:paraId="510CCAC1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从预算和预算绩效管理，部门履职效能，资金分配、使用和管理，资产和财务管理，政府采购等方面归纳问题、分析原因全面的，得</w:t>
            </w:r>
            <w:r>
              <w:rPr>
                <w:rFonts w:hint="eastAsia" w:ascii="仿宋_GB2312" w:eastAsia="仿宋_GB2312"/>
                <w:lang w:eastAsia="zh-CN"/>
              </w:rPr>
              <w:t>20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分；反映问题、分析原因较全面的，得</w:t>
            </w:r>
            <w:r>
              <w:rPr>
                <w:rFonts w:hint="eastAsia" w:ascii="仿宋_GB2312" w:eastAsia="仿宋_GB2312"/>
                <w:lang w:eastAsia="zh-CN"/>
              </w:rPr>
              <w:t xml:space="preserve">16—18 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分；反映问题、分析原因不全面的，得</w:t>
            </w:r>
            <w:r>
              <w:rPr>
                <w:rFonts w:hint="eastAsia" w:ascii="仿宋_GB2312" w:eastAsia="仿宋_GB2312"/>
                <w:lang w:eastAsia="zh-CN"/>
              </w:rPr>
              <w:t>13—15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分；问题未归纳且过于简单的，得</w:t>
            </w:r>
            <w:r>
              <w:rPr>
                <w:rFonts w:hint="eastAsia" w:ascii="仿宋_GB2312" w:eastAsia="仿宋_GB2312"/>
                <w:lang w:eastAsia="zh-CN"/>
              </w:rPr>
              <w:t>10-12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分；只提出资金不足问题的不得分；其他情况酌情扣分。</w:t>
            </w:r>
          </w:p>
        </w:tc>
      </w:tr>
      <w:tr w14:paraId="0CA31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46" w:type="dxa"/>
            <w:vMerge w:val="continue"/>
            <w:tcBorders>
              <w:top w:val="nil"/>
            </w:tcBorders>
            <w:vAlign w:val="center"/>
          </w:tcPr>
          <w:p w14:paraId="0D626B5C">
            <w:pPr>
              <w:ind w:firstLine="420"/>
              <w:jc w:val="center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14:paraId="41369BB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建议情况</w:t>
            </w:r>
          </w:p>
          <w:p w14:paraId="7AC3257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(15</w:t>
            </w:r>
            <w:r>
              <w:rPr>
                <w:rFonts w:hint="eastAsia" w:ascii="仿宋_GB2312" w:hAnsi="宋体" w:eastAsia="仿宋_GB2312" w:cs="宋体"/>
              </w:rPr>
              <w:t>分</w:t>
            </w:r>
            <w:r>
              <w:rPr>
                <w:rFonts w:hint="eastAsia" w:ascii="仿宋_GB2312" w:eastAsia="仿宋_GB2312"/>
              </w:rPr>
              <w:t>)</w:t>
            </w:r>
          </w:p>
        </w:tc>
        <w:tc>
          <w:tcPr>
            <w:tcW w:w="7939" w:type="dxa"/>
            <w:gridSpan w:val="2"/>
            <w:vAlign w:val="center"/>
          </w:tcPr>
          <w:p w14:paraId="75A938A8">
            <w:pPr>
              <w:ind w:firstLine="420"/>
              <w:jc w:val="both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建议与问题对应且全面的得</w:t>
            </w:r>
            <w:r>
              <w:rPr>
                <w:rFonts w:hint="eastAsia" w:ascii="仿宋_GB2312" w:eastAsia="仿宋_GB2312"/>
                <w:lang w:eastAsia="zh-CN"/>
              </w:rPr>
              <w:t>15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分，建议比较全面的得</w:t>
            </w:r>
            <w:r>
              <w:rPr>
                <w:rFonts w:hint="eastAsia" w:ascii="仿宋_GB2312" w:eastAsia="仿宋_GB2312"/>
                <w:lang w:eastAsia="zh-CN"/>
              </w:rPr>
              <w:t>12—14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分，建议不全面的得</w:t>
            </w:r>
            <w:r>
              <w:rPr>
                <w:rFonts w:hint="eastAsia" w:ascii="仿宋_GB2312" w:eastAsia="仿宋_GB2312"/>
                <w:lang w:eastAsia="zh-CN"/>
              </w:rPr>
              <w:t xml:space="preserve">9—11  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分，建议过于简单的得</w:t>
            </w:r>
            <w:r>
              <w:rPr>
                <w:rFonts w:hint="eastAsia" w:ascii="仿宋_GB2312" w:eastAsia="仿宋_GB2312"/>
                <w:lang w:eastAsia="zh-CN"/>
              </w:rPr>
              <w:t>6—8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分，只提出加大资金投入建议的不得分；其他情况酌情扣分。</w:t>
            </w:r>
          </w:p>
        </w:tc>
      </w:tr>
      <w:tr w14:paraId="6402A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746" w:type="dxa"/>
            <w:vAlign w:val="center"/>
          </w:tcPr>
          <w:p w14:paraId="46E46A00"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合计</w:t>
            </w:r>
          </w:p>
        </w:tc>
        <w:tc>
          <w:tcPr>
            <w:tcW w:w="1157" w:type="dxa"/>
            <w:vAlign w:val="center"/>
          </w:tcPr>
          <w:p w14:paraId="0C732EF9">
            <w:pPr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100</w:t>
            </w:r>
            <w:r>
              <w:rPr>
                <w:rFonts w:hint="eastAsia" w:ascii="仿宋_GB2312" w:hAnsi="宋体" w:eastAsia="仿宋_GB2312" w:cs="宋体"/>
              </w:rPr>
              <w:t>分</w:t>
            </w:r>
          </w:p>
        </w:tc>
        <w:tc>
          <w:tcPr>
            <w:tcW w:w="7939" w:type="dxa"/>
            <w:gridSpan w:val="2"/>
            <w:vAlign w:val="center"/>
          </w:tcPr>
          <w:p w14:paraId="32AC1D71">
            <w:pPr>
              <w:ind w:firstLine="420"/>
              <w:jc w:val="center"/>
              <w:rPr>
                <w:rFonts w:ascii="仿宋_GB2312" w:eastAsia="仿宋_GB2312"/>
              </w:rPr>
            </w:pPr>
          </w:p>
        </w:tc>
      </w:tr>
    </w:tbl>
    <w:p w14:paraId="2F06748E">
      <w:pPr>
        <w:spacing w:line="60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7" w:h="16839"/>
          <w:pgMar w:top="2098" w:right="1474" w:bottom="1985" w:left="1588" w:header="0" w:footer="1588" w:gutter="0"/>
          <w:pgNumType w:fmt="numberInDash"/>
          <w:cols w:space="720" w:num="1"/>
          <w:titlePg/>
          <w:docGrid w:linePitch="286" w:charSpace="0"/>
        </w:sectPr>
      </w:pPr>
    </w:p>
    <w:p w14:paraId="640D132F">
      <w:pPr>
        <w:spacing w:line="60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7" w:type="first"/>
      <w:footerReference r:id="rId5" w:type="default"/>
      <w:footerReference r:id="rId6" w:type="even"/>
      <w:pgSz w:w="11907" w:h="16839"/>
      <w:pgMar w:top="2098" w:right="1474" w:bottom="1985" w:left="1588" w:header="0" w:footer="1588" w:gutter="0"/>
      <w:pgNumType w:fmt="numberInDash"/>
      <w:cols w:space="720" w:num="1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28E52">
    <w:pPr>
      <w:pStyle w:val="4"/>
      <w:ind w:firstLine="360"/>
      <w:jc w:val="right"/>
      <w:rPr>
        <w:rFonts w:ascii="仿宋_GB2312" w:eastAsia="仿宋_GB2312"/>
        <w:sz w:val="28"/>
        <w:szCs w:val="28"/>
      </w:rPr>
    </w:pPr>
    <w:r>
      <w:rPr>
        <w:rFonts w:hint="eastAsia" w:asciiTheme="minorEastAsia" w:hAnsiTheme="minorEastAsia" w:eastAsiaTheme="minorEastAsia"/>
        <w:sz w:val="28"/>
        <w:szCs w:val="28"/>
      </w:rPr>
      <w:fldChar w:fldCharType="begin"/>
    </w:r>
    <w:r>
      <w:rPr>
        <w:rFonts w:hint="eastAsia"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hint="eastAsia"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-</w:t>
    </w:r>
    <w:r>
      <w:rPr>
        <w:rFonts w:asciiTheme="minorEastAsia" w:hAnsiTheme="minorEastAsia" w:eastAsiaTheme="minorEastAsia"/>
        <w:sz w:val="28"/>
        <w:szCs w:val="28"/>
      </w:rPr>
      <w:t xml:space="preserve"> 13 -</w:t>
    </w:r>
    <w:r>
      <w:rPr>
        <w:rFonts w:hint="eastAsia" w:asciiTheme="minorEastAsia" w:hAnsiTheme="minorEastAsia" w:eastAsiaTheme="minorEastAsia"/>
        <w:sz w:val="28"/>
        <w:szCs w:val="28"/>
      </w:rPr>
      <w:fldChar w:fldCharType="end"/>
    </w:r>
  </w:p>
  <w:p w14:paraId="393FF5CC">
    <w:pPr>
      <w:ind w:firstLine="420"/>
    </w:pPr>
  </w:p>
  <w:p w14:paraId="4A564B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80066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 w14:paraId="2039733F">
        <w:pPr>
          <w:pStyle w:val="4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 w14:paraId="440B5593">
    <w:pPr>
      <w:pStyle w:val="4"/>
      <w:rPr>
        <w:rFonts w:eastAsiaTheme="minorEastAsia"/>
        <w:lang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E95C0">
    <w:pPr>
      <w:ind w:firstLine="420"/>
    </w:pPr>
  </w:p>
  <w:p w14:paraId="3655971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BAF71">
    <w:pPr>
      <w:pStyle w:val="4"/>
      <w:rPr>
        <w:rFonts w:eastAsiaTheme="minorEastAsia"/>
        <w:lang w:eastAsia="zh-C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59B87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evenAndOddHeaders w:val="1"/>
  <w:drawingGridHorizontalSpacing w:val="105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xNzY4NTAzY2UxZDAxZjZlOGJiZTliNDE5ZTAwZTIifQ=="/>
  </w:docVars>
  <w:rsids>
    <w:rsidRoot w:val="000F2365"/>
    <w:rsid w:val="000012B6"/>
    <w:rsid w:val="00071B35"/>
    <w:rsid w:val="000727C6"/>
    <w:rsid w:val="000C6CFE"/>
    <w:rsid w:val="000F2365"/>
    <w:rsid w:val="000F4247"/>
    <w:rsid w:val="0011599C"/>
    <w:rsid w:val="0017207F"/>
    <w:rsid w:val="001B36C3"/>
    <w:rsid w:val="002246E5"/>
    <w:rsid w:val="00225925"/>
    <w:rsid w:val="002535F3"/>
    <w:rsid w:val="00294388"/>
    <w:rsid w:val="0032277A"/>
    <w:rsid w:val="00332410"/>
    <w:rsid w:val="004A12A3"/>
    <w:rsid w:val="004D6192"/>
    <w:rsid w:val="0050589B"/>
    <w:rsid w:val="00546F67"/>
    <w:rsid w:val="005B3427"/>
    <w:rsid w:val="005E4D38"/>
    <w:rsid w:val="006116BA"/>
    <w:rsid w:val="006569FD"/>
    <w:rsid w:val="00706114"/>
    <w:rsid w:val="007570FF"/>
    <w:rsid w:val="007B2398"/>
    <w:rsid w:val="007D7028"/>
    <w:rsid w:val="007F6DFF"/>
    <w:rsid w:val="00842D81"/>
    <w:rsid w:val="008721A1"/>
    <w:rsid w:val="00890C0E"/>
    <w:rsid w:val="008E128E"/>
    <w:rsid w:val="008E657E"/>
    <w:rsid w:val="00912D49"/>
    <w:rsid w:val="0097670A"/>
    <w:rsid w:val="00A00A84"/>
    <w:rsid w:val="00A13F9A"/>
    <w:rsid w:val="00A22183"/>
    <w:rsid w:val="00AB359B"/>
    <w:rsid w:val="00C12207"/>
    <w:rsid w:val="00D70A3F"/>
    <w:rsid w:val="00E17218"/>
    <w:rsid w:val="00F22085"/>
    <w:rsid w:val="00F32DF4"/>
    <w:rsid w:val="00F72F69"/>
    <w:rsid w:val="00FA78BC"/>
    <w:rsid w:val="00FE5EBB"/>
    <w:rsid w:val="03F60FF6"/>
    <w:rsid w:val="07AC683C"/>
    <w:rsid w:val="081C5E32"/>
    <w:rsid w:val="0AD02409"/>
    <w:rsid w:val="0C5114BF"/>
    <w:rsid w:val="0DAD4E1B"/>
    <w:rsid w:val="0E8D075B"/>
    <w:rsid w:val="104D2390"/>
    <w:rsid w:val="1198193E"/>
    <w:rsid w:val="12F901BB"/>
    <w:rsid w:val="15412B90"/>
    <w:rsid w:val="157B7247"/>
    <w:rsid w:val="171E35E1"/>
    <w:rsid w:val="189A5894"/>
    <w:rsid w:val="19456BC6"/>
    <w:rsid w:val="1AF514C4"/>
    <w:rsid w:val="1D352737"/>
    <w:rsid w:val="1E661C05"/>
    <w:rsid w:val="1F153328"/>
    <w:rsid w:val="1F2A6363"/>
    <w:rsid w:val="20713A86"/>
    <w:rsid w:val="20C31E08"/>
    <w:rsid w:val="23D62B00"/>
    <w:rsid w:val="25493054"/>
    <w:rsid w:val="27EC2CAD"/>
    <w:rsid w:val="281D65AA"/>
    <w:rsid w:val="285B228C"/>
    <w:rsid w:val="28692075"/>
    <w:rsid w:val="293C0CC1"/>
    <w:rsid w:val="2BA427C8"/>
    <w:rsid w:val="2BCA2BAA"/>
    <w:rsid w:val="2C3829EF"/>
    <w:rsid w:val="2E082A3D"/>
    <w:rsid w:val="2EAB4745"/>
    <w:rsid w:val="303E2FDA"/>
    <w:rsid w:val="33EC7B9C"/>
    <w:rsid w:val="35134303"/>
    <w:rsid w:val="36EF4A75"/>
    <w:rsid w:val="37375A74"/>
    <w:rsid w:val="37E1553E"/>
    <w:rsid w:val="37F952C0"/>
    <w:rsid w:val="385A6222"/>
    <w:rsid w:val="38F31085"/>
    <w:rsid w:val="39B85DFB"/>
    <w:rsid w:val="3AE076BC"/>
    <w:rsid w:val="3D037D04"/>
    <w:rsid w:val="3DD455A6"/>
    <w:rsid w:val="3FD50795"/>
    <w:rsid w:val="4347756E"/>
    <w:rsid w:val="479B74B7"/>
    <w:rsid w:val="47F0411D"/>
    <w:rsid w:val="48C434ED"/>
    <w:rsid w:val="494D3F91"/>
    <w:rsid w:val="4BC919E8"/>
    <w:rsid w:val="4E970C2B"/>
    <w:rsid w:val="50795403"/>
    <w:rsid w:val="55CB4A29"/>
    <w:rsid w:val="57495CFA"/>
    <w:rsid w:val="58006EC2"/>
    <w:rsid w:val="585D7279"/>
    <w:rsid w:val="5DAF5613"/>
    <w:rsid w:val="5DB42C29"/>
    <w:rsid w:val="5F5720F9"/>
    <w:rsid w:val="5FAB594D"/>
    <w:rsid w:val="61681796"/>
    <w:rsid w:val="62FB6C04"/>
    <w:rsid w:val="65AF0D1D"/>
    <w:rsid w:val="668D2269"/>
    <w:rsid w:val="6704616A"/>
    <w:rsid w:val="67404FA6"/>
    <w:rsid w:val="68B8009F"/>
    <w:rsid w:val="6A745C1A"/>
    <w:rsid w:val="6D7E6628"/>
    <w:rsid w:val="6E1B1A80"/>
    <w:rsid w:val="70AF75DD"/>
    <w:rsid w:val="720F5C1E"/>
    <w:rsid w:val="72F75AA7"/>
    <w:rsid w:val="74CA6436"/>
    <w:rsid w:val="75FC7E24"/>
    <w:rsid w:val="765775DC"/>
    <w:rsid w:val="77D45F4A"/>
    <w:rsid w:val="7A772BBC"/>
    <w:rsid w:val="7AB7440A"/>
    <w:rsid w:val="7AC072CB"/>
    <w:rsid w:val="7E2A12BF"/>
    <w:rsid w:val="7FA90F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pPr>
      <w:spacing w:before="20" w:line="222" w:lineRule="auto"/>
    </w:pPr>
    <w:rPr>
      <w:rFonts w:ascii="仿宋" w:hAnsi="仿宋" w:eastAsia="仿宋" w:cs="仿宋"/>
      <w:sz w:val="35"/>
      <w:szCs w:val="35"/>
    </w:rPr>
  </w:style>
  <w:style w:type="paragraph" w:styleId="3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pacing w:line="560" w:lineRule="exac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</w:style>
  <w:style w:type="character" w:customStyle="1" w:styleId="10">
    <w:name w:val="页脚 Char"/>
    <w:basedOn w:val="7"/>
    <w:link w:val="4"/>
    <w:autoRedefine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Char"/>
    <w:basedOn w:val="7"/>
    <w:link w:val="3"/>
    <w:autoRedefine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1529</Words>
  <Characters>1577</Characters>
  <Lines>42</Lines>
  <Paragraphs>11</Paragraphs>
  <TotalTime>1</TotalTime>
  <ScaleCrop>false</ScaleCrop>
  <LinksUpToDate>false</LinksUpToDate>
  <CharactersWithSpaces>1590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2024-03-25T08:56:00Z</dcterms:created>
  <dc:creator>Administrator</dc:creator>
  <cp:lastModifiedBy>LENOVO-BGS</cp:lastModifiedBy>
  <cp:lastPrinted>2024-04-02T01:43:00Z</cp:lastPrinted>
  <dcterms:modified xsi:type="dcterms:W3CDTF">2024-09-27T04:49:07Z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2024-03-21T15:29:30Z</vt:filetime>
  </property>
  <property fmtid="{D5CDD505-2E9C-101B-9397-08002B2CF9AE}" pid="4" name="UsrData">
    <vt:lpwstr>65fbe1d271bc50001f716906wl</vt:lpwstr>
  </property>
  <property fmtid="{D5CDD505-2E9C-101B-9397-08002B2CF9AE}" pid="5" name="KSOProductBuildVer">
    <vt:lpwstr>2052-12.1.0.17857</vt:lpwstr>
  </property>
  <property fmtid="{D5CDD505-2E9C-101B-9397-08002B2CF9AE}" pid="6" name="ICV">
    <vt:lpwstr>9DCC04940F7949C3AF20D3FF88AFEA5C_13</vt:lpwstr>
  </property>
</Properties>
</file>