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B2B06">
      <w:pPr>
        <w:spacing w:line="560" w:lineRule="exact"/>
        <w:ind w:firstLine="560" w:firstLineChars="200"/>
        <w:jc w:val="center"/>
        <w:rPr>
          <w:rFonts w:ascii="黑体" w:hAnsi="黑体" w:eastAsia="黑体" w:cs="黑体"/>
          <w:bCs/>
          <w:sz w:val="28"/>
          <w:szCs w:val="28"/>
        </w:rPr>
      </w:pPr>
      <w:bookmarkStart w:id="0" w:name="_GoBack"/>
      <w:bookmarkEnd w:id="0"/>
    </w:p>
    <w:p w14:paraId="5EED7F18">
      <w:pPr>
        <w:spacing w:line="560" w:lineRule="exact"/>
        <w:ind w:firstLine="560" w:firstLineChars="200"/>
        <w:jc w:val="center"/>
        <w:rPr>
          <w:rFonts w:ascii="黑体" w:hAnsi="黑体" w:eastAsia="黑体" w:cs="黑体"/>
          <w:bCs/>
          <w:sz w:val="28"/>
          <w:szCs w:val="28"/>
        </w:rPr>
      </w:pPr>
    </w:p>
    <w:p w14:paraId="471BAEC5">
      <w:pPr>
        <w:spacing w:line="560" w:lineRule="exact"/>
        <w:ind w:firstLine="560" w:firstLineChars="200"/>
        <w:jc w:val="center"/>
        <w:rPr>
          <w:rFonts w:ascii="黑体" w:hAnsi="黑体" w:eastAsia="黑体" w:cs="黑体"/>
          <w:bCs/>
          <w:sz w:val="28"/>
          <w:szCs w:val="28"/>
        </w:rPr>
      </w:pPr>
    </w:p>
    <w:p w14:paraId="3B150FF1">
      <w:pPr>
        <w:spacing w:line="560" w:lineRule="exact"/>
        <w:ind w:firstLine="883" w:firstLineChars="200"/>
        <w:jc w:val="center"/>
        <w:rPr>
          <w:rFonts w:ascii="黑体" w:hAnsi="黑体" w:eastAsia="黑体" w:cs="黑体"/>
          <w:b/>
          <w:bCs/>
          <w:sz w:val="44"/>
          <w:szCs w:val="44"/>
        </w:rPr>
      </w:pPr>
    </w:p>
    <w:p w14:paraId="630D1558">
      <w:pPr>
        <w:spacing w:line="560" w:lineRule="exact"/>
        <w:ind w:firstLine="883" w:firstLineChars="200"/>
        <w:jc w:val="center"/>
        <w:rPr>
          <w:rFonts w:ascii="宋体" w:cs="黑体"/>
          <w:b/>
          <w:bCs/>
          <w:sz w:val="44"/>
          <w:szCs w:val="44"/>
        </w:rPr>
      </w:pPr>
      <w:r>
        <w:rPr>
          <w:rFonts w:ascii="宋体" w:hAnsi="宋体" w:cs="黑体"/>
          <w:b/>
          <w:bCs/>
          <w:sz w:val="44"/>
          <w:szCs w:val="44"/>
        </w:rPr>
        <w:t>2023</w:t>
      </w:r>
      <w:r>
        <w:rPr>
          <w:rFonts w:hint="eastAsia" w:ascii="宋体" w:hAnsi="宋体" w:cs="黑体"/>
          <w:b/>
          <w:bCs/>
          <w:sz w:val="44"/>
          <w:szCs w:val="44"/>
        </w:rPr>
        <w:t>年度畜牧水产发展服务中心</w:t>
      </w:r>
    </w:p>
    <w:p w14:paraId="56685809">
      <w:pPr>
        <w:spacing w:line="560" w:lineRule="exact"/>
        <w:ind w:firstLine="883" w:firstLineChars="200"/>
        <w:jc w:val="center"/>
        <w:rPr>
          <w:rFonts w:ascii="宋体" w:cs="黑体"/>
          <w:b/>
          <w:bCs/>
          <w:sz w:val="44"/>
          <w:szCs w:val="44"/>
        </w:rPr>
      </w:pPr>
      <w:r>
        <w:rPr>
          <w:rFonts w:hint="eastAsia" w:ascii="宋体" w:hAnsi="宋体" w:cs="黑体"/>
          <w:b/>
          <w:bCs/>
          <w:sz w:val="44"/>
          <w:szCs w:val="44"/>
        </w:rPr>
        <w:t>整体支出绩效自评报告</w:t>
      </w:r>
    </w:p>
    <w:p w14:paraId="64380701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637715B3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137F4B6C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4B731BF2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3C494BE2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6F108A9C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41F40B83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32CAE5DA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49D789F3">
      <w:pPr>
        <w:spacing w:line="560" w:lineRule="exact"/>
        <w:ind w:firstLine="480" w:firstLineChars="200"/>
        <w:jc w:val="center"/>
        <w:rPr>
          <w:rFonts w:ascii="黑体" w:hAnsi="黑体" w:eastAsia="黑体" w:cs="黑体"/>
          <w:bCs/>
          <w:sz w:val="24"/>
        </w:rPr>
      </w:pPr>
    </w:p>
    <w:p w14:paraId="5D5AB317">
      <w:pPr>
        <w:spacing w:line="560" w:lineRule="exact"/>
        <w:ind w:firstLine="480" w:firstLineChars="200"/>
        <w:jc w:val="center"/>
        <w:rPr>
          <w:rFonts w:ascii="黑体" w:hAnsi="黑体" w:eastAsia="黑体" w:cs="黑体"/>
          <w:bCs/>
          <w:sz w:val="24"/>
        </w:rPr>
      </w:pPr>
    </w:p>
    <w:p w14:paraId="470A8972">
      <w:pPr>
        <w:spacing w:line="560" w:lineRule="exact"/>
        <w:ind w:firstLine="480" w:firstLineChars="200"/>
        <w:jc w:val="center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单位名称（盖章）：岳阳县畜牧水产发展服务中心</w:t>
      </w:r>
    </w:p>
    <w:p w14:paraId="1FBBE7B1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7AD9EE12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00C54457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6DB22D16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2D1EC63E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6CAE243A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</w:p>
    <w:p w14:paraId="3B2E67D8">
      <w:pPr>
        <w:spacing w:line="560" w:lineRule="exact"/>
        <w:rPr>
          <w:rFonts w:ascii="黑体" w:hAnsi="黑体" w:eastAsia="黑体" w:cs="黑体"/>
          <w:bCs/>
          <w:sz w:val="28"/>
          <w:szCs w:val="28"/>
        </w:rPr>
      </w:pPr>
    </w:p>
    <w:p w14:paraId="50C9EE42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一、部门（单位）概况</w:t>
      </w:r>
    </w:p>
    <w:p w14:paraId="69706163">
      <w:pPr>
        <w:spacing w:line="56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（一）部门（单位）基本情况</w:t>
      </w:r>
    </w:p>
    <w:p w14:paraId="72026D8D">
      <w:pPr>
        <w:widowControl/>
        <w:spacing w:line="560" w:lineRule="exact"/>
        <w:ind w:firstLine="480" w:firstLineChars="200"/>
        <w:rPr>
          <w:rFonts w:ascii="仿宋" w:hAnsi="仿宋" w:eastAsia="仿宋" w:cs="宋体"/>
          <w:color w:val="555555"/>
          <w:kern w:val="0"/>
          <w:sz w:val="24"/>
        </w:rPr>
      </w:pPr>
      <w:r>
        <w:rPr>
          <w:rFonts w:hint="eastAsia" w:ascii="仿宋" w:hAnsi="仿宋" w:eastAsia="仿宋" w:cs="宋体"/>
          <w:color w:val="555555"/>
          <w:kern w:val="0"/>
          <w:sz w:val="24"/>
        </w:rPr>
        <w:t>岳阳县畜牧水产发展服务中心是县人民政府主管养殖业的职能部门。负责全县养殖业生产规划、计划制订，争取、落实好养殖政策、项目和资金，积极推动畜牧水产生产发展和现代化进程，大力推广新技术、新品种；依法履行相关法律法规规定的义务，加强行业管理和执法监督，实行强制免疫和检疫，确保畜禽水产品质量安全和养殖业生产健康发展。</w:t>
      </w:r>
    </w:p>
    <w:p w14:paraId="20000C7B">
      <w:pPr>
        <w:widowControl/>
        <w:spacing w:line="560" w:lineRule="exact"/>
        <w:ind w:firstLine="480" w:firstLineChars="200"/>
        <w:rPr>
          <w:rFonts w:ascii="仿宋" w:hAnsi="仿宋" w:eastAsia="仿宋" w:cs="宋体"/>
          <w:color w:val="555555"/>
          <w:kern w:val="0"/>
          <w:sz w:val="24"/>
        </w:rPr>
      </w:pPr>
      <w:r>
        <w:rPr>
          <w:rFonts w:hint="eastAsia" w:ascii="仿宋" w:hAnsi="仿宋" w:eastAsia="仿宋" w:cs="宋体"/>
          <w:color w:val="555555"/>
          <w:kern w:val="0"/>
          <w:sz w:val="24"/>
        </w:rPr>
        <w:t>我中心下设办公室、财计股、人事股、畜牧股、水产股、兽医药政股等</w:t>
      </w:r>
      <w:r>
        <w:rPr>
          <w:rFonts w:ascii="仿宋" w:hAnsi="仿宋" w:eastAsia="仿宋" w:cs="宋体"/>
          <w:color w:val="555555"/>
          <w:kern w:val="0"/>
          <w:sz w:val="24"/>
        </w:rPr>
        <w:t>6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个内设机构和县动物卫生监督所、县动物疫病预防控制中心、县渔政监督管理站、县养殖技术推广站、县畜禽水产品质量安全检验检测中心、县畜禽良种繁殖场等</w:t>
      </w:r>
      <w:r>
        <w:rPr>
          <w:rFonts w:ascii="仿宋" w:hAnsi="仿宋" w:eastAsia="仿宋" w:cs="宋体"/>
          <w:color w:val="555555"/>
          <w:kern w:val="0"/>
          <w:sz w:val="24"/>
        </w:rPr>
        <w:t>6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个二级机构及归口管理单位</w:t>
      </w:r>
      <w:r>
        <w:rPr>
          <w:rFonts w:ascii="仿宋" w:hAnsi="仿宋" w:eastAsia="仿宋" w:cs="宋体"/>
          <w:color w:val="555555"/>
          <w:kern w:val="0"/>
          <w:sz w:val="24"/>
        </w:rPr>
        <w:t>—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岳阳县中洲渔场。共有干部职工</w:t>
      </w:r>
      <w:r>
        <w:rPr>
          <w:rFonts w:ascii="仿宋" w:hAnsi="仿宋" w:eastAsia="仿宋" w:cs="仿宋_GB2312"/>
          <w:color w:val="000000"/>
          <w:sz w:val="24"/>
        </w:rPr>
        <w:t>111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专业技术人员</w:t>
      </w:r>
      <w:r>
        <w:rPr>
          <w:rFonts w:ascii="仿宋" w:hAnsi="仿宋" w:eastAsia="仿宋" w:cs="宋体"/>
          <w:color w:val="555555"/>
          <w:kern w:val="0"/>
          <w:sz w:val="24"/>
        </w:rPr>
        <w:t>40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人。我中心近几年来分别荣获全省“畜牧生产先进县”、“生猪品改先进县”、“项目管理先进县”、“渔业工作先进县”、“水域滩涂信息采集先进县”、“动物防疫工作先进县”等，</w:t>
      </w:r>
      <w:r>
        <w:rPr>
          <w:rFonts w:ascii="仿宋" w:hAnsi="仿宋" w:eastAsia="仿宋" w:cs="宋体"/>
          <w:color w:val="555555"/>
          <w:kern w:val="0"/>
          <w:sz w:val="24"/>
        </w:rPr>
        <w:t>2012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、</w:t>
      </w:r>
      <w:r>
        <w:rPr>
          <w:rFonts w:ascii="仿宋" w:hAnsi="仿宋" w:eastAsia="仿宋" w:cs="宋体"/>
          <w:color w:val="555555"/>
          <w:kern w:val="0"/>
          <w:sz w:val="24"/>
        </w:rPr>
        <w:t>2013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、</w:t>
      </w:r>
      <w:r>
        <w:rPr>
          <w:rFonts w:ascii="仿宋" w:hAnsi="仿宋" w:eastAsia="仿宋" w:cs="宋体"/>
          <w:color w:val="555555"/>
          <w:kern w:val="0"/>
          <w:sz w:val="24"/>
        </w:rPr>
        <w:t>2014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年连续三年被市畜牧水产发展服务中心评为“目标管理红旗单位”，多次被县委、县政府评为工作先进单位。</w:t>
      </w:r>
    </w:p>
    <w:p w14:paraId="123D792A">
      <w:pPr>
        <w:spacing w:line="56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（二）部门（单位）年度整体支出规模、使用方向和主要内容、涉及范围等</w:t>
      </w:r>
    </w:p>
    <w:p w14:paraId="380B3104">
      <w:pPr>
        <w:widowControl/>
        <w:spacing w:line="560" w:lineRule="exact"/>
        <w:ind w:firstLine="480" w:firstLineChars="200"/>
        <w:rPr>
          <w:rFonts w:ascii="仿宋" w:hAnsi="仿宋" w:eastAsia="仿宋" w:cs="宋体"/>
          <w:color w:val="555555"/>
          <w:kern w:val="0"/>
          <w:sz w:val="24"/>
        </w:rPr>
      </w:pPr>
      <w:r>
        <w:rPr>
          <w:rFonts w:ascii="仿宋" w:hAnsi="仿宋" w:eastAsia="仿宋" w:cs="宋体"/>
          <w:color w:val="555555"/>
          <w:kern w:val="0"/>
          <w:sz w:val="24"/>
        </w:rPr>
        <w:t>2023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我中心基本支出共计</w:t>
      </w:r>
      <w:r>
        <w:rPr>
          <w:rFonts w:ascii="仿宋" w:hAnsi="仿宋" w:eastAsia="仿宋" w:cs="宋体"/>
          <w:color w:val="555555"/>
          <w:kern w:val="0"/>
          <w:sz w:val="24"/>
        </w:rPr>
        <w:t>4854.89</w:t>
      </w:r>
      <w:r>
        <w:rPr>
          <w:rFonts w:hint="eastAsia" w:ascii="仿宋" w:hAnsi="仿宋" w:eastAsia="仿宋" w:cs="仿宋_GB2312"/>
          <w:color w:val="000000"/>
          <w:sz w:val="24"/>
        </w:rPr>
        <w:t>万元，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主要用于基本支出和项目支出，基本支出包括人员支出和公用支出；项目支出主要包括防疫费、无害化处理等。</w:t>
      </w:r>
    </w:p>
    <w:p w14:paraId="02715116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二、一般公共预算支出情况</w:t>
      </w:r>
    </w:p>
    <w:p w14:paraId="7818B244">
      <w:pPr>
        <w:spacing w:line="56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（一）基本支出</w:t>
      </w:r>
    </w:p>
    <w:p w14:paraId="4CFDF5EE">
      <w:pPr>
        <w:widowControl/>
        <w:spacing w:line="560" w:lineRule="exact"/>
        <w:ind w:firstLine="480" w:firstLineChars="200"/>
        <w:rPr>
          <w:rFonts w:ascii="仿宋" w:hAnsi="仿宋" w:eastAsia="仿宋" w:cs="宋体"/>
          <w:color w:val="555555"/>
          <w:kern w:val="0"/>
          <w:sz w:val="24"/>
        </w:rPr>
      </w:pPr>
      <w:r>
        <w:rPr>
          <w:rFonts w:ascii="仿宋" w:hAnsi="仿宋" w:eastAsia="仿宋" w:cs="宋体"/>
          <w:color w:val="555555"/>
          <w:kern w:val="0"/>
          <w:sz w:val="24"/>
        </w:rPr>
        <w:t>2023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年中心基本支出共计</w:t>
      </w:r>
      <w:r>
        <w:rPr>
          <w:rFonts w:ascii="仿宋" w:hAnsi="仿宋" w:eastAsia="仿宋" w:cs="宋体"/>
          <w:color w:val="555555"/>
          <w:kern w:val="0"/>
          <w:sz w:val="24"/>
        </w:rPr>
        <w:t>886.03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万元，主要用于人员支出</w:t>
      </w:r>
      <w:r>
        <w:rPr>
          <w:rFonts w:ascii="仿宋" w:hAnsi="仿宋" w:eastAsia="仿宋" w:cs="宋体"/>
          <w:color w:val="555555"/>
          <w:kern w:val="0"/>
          <w:sz w:val="24"/>
        </w:rPr>
        <w:t>439.33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万元，公用支出</w:t>
      </w:r>
      <w:r>
        <w:rPr>
          <w:rFonts w:ascii="仿宋" w:hAnsi="仿宋" w:eastAsia="仿宋" w:cs="宋体"/>
          <w:color w:val="555555"/>
          <w:kern w:val="0"/>
          <w:sz w:val="24"/>
        </w:rPr>
        <w:t>446.7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万元，其中“三公”经费合计</w:t>
      </w:r>
      <w:r>
        <w:rPr>
          <w:rFonts w:ascii="仿宋" w:hAnsi="仿宋" w:eastAsia="仿宋" w:cs="宋体"/>
          <w:color w:val="555555"/>
          <w:kern w:val="0"/>
          <w:sz w:val="24"/>
        </w:rPr>
        <w:t>6.28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万元，主要为公务接待费</w:t>
      </w:r>
      <w:r>
        <w:rPr>
          <w:rFonts w:ascii="仿宋" w:hAnsi="仿宋" w:eastAsia="仿宋" w:cs="宋体"/>
          <w:color w:val="555555"/>
          <w:kern w:val="0"/>
          <w:sz w:val="24"/>
        </w:rPr>
        <w:t>6.28</w:t>
      </w:r>
      <w:r>
        <w:rPr>
          <w:rFonts w:hint="eastAsia" w:ascii="仿宋" w:hAnsi="仿宋" w:eastAsia="仿宋" w:cs="宋体"/>
          <w:color w:val="555555"/>
          <w:kern w:val="0"/>
          <w:sz w:val="24"/>
        </w:rPr>
        <w:t>万元。</w:t>
      </w:r>
    </w:p>
    <w:p w14:paraId="2C5232FC">
      <w:pPr>
        <w:spacing w:line="56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（二）项目支出</w:t>
      </w:r>
    </w:p>
    <w:p w14:paraId="7B2BAD59">
      <w:pPr>
        <w:spacing w:line="56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、专项资金安排落实、总投入等情况分析</w:t>
      </w:r>
    </w:p>
    <w:p w14:paraId="00530C38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ascii="仿宋" w:hAnsi="仿宋" w:eastAsia="仿宋" w:cs="宋体"/>
          <w:kern w:val="0"/>
          <w:sz w:val="24"/>
        </w:rPr>
        <w:t>2023</w:t>
      </w:r>
      <w:r>
        <w:rPr>
          <w:rFonts w:hint="eastAsia" w:ascii="仿宋" w:hAnsi="仿宋" w:eastAsia="仿宋" w:cs="宋体"/>
          <w:kern w:val="0"/>
          <w:sz w:val="24"/>
        </w:rPr>
        <w:t>年我中心项目支出为</w:t>
      </w:r>
      <w:r>
        <w:rPr>
          <w:rFonts w:ascii="仿宋" w:hAnsi="仿宋" w:eastAsia="仿宋" w:cs="宋体"/>
          <w:kern w:val="0"/>
          <w:sz w:val="24"/>
        </w:rPr>
        <w:t>4854.89</w:t>
      </w:r>
      <w:r>
        <w:rPr>
          <w:rFonts w:hint="eastAsia" w:ascii="仿宋" w:hAnsi="仿宋" w:eastAsia="仿宋" w:cs="宋体"/>
          <w:kern w:val="0"/>
          <w:sz w:val="24"/>
        </w:rPr>
        <w:t>万元。其中</w:t>
      </w:r>
      <w:r>
        <w:rPr>
          <w:rFonts w:ascii="仿宋" w:hAnsi="仿宋" w:eastAsia="仿宋" w:cs="宋体"/>
          <w:kern w:val="0"/>
          <w:sz w:val="24"/>
        </w:rPr>
        <w:t>2023</w:t>
      </w:r>
      <w:r>
        <w:rPr>
          <w:rFonts w:hint="eastAsia" w:ascii="仿宋" w:hAnsi="仿宋" w:eastAsia="仿宋" w:cs="宋体"/>
          <w:kern w:val="0"/>
          <w:sz w:val="24"/>
        </w:rPr>
        <w:t>年县财政预算安排我单位项目资金</w:t>
      </w:r>
      <w:r>
        <w:rPr>
          <w:rFonts w:ascii="仿宋" w:hAnsi="仿宋" w:eastAsia="仿宋" w:cs="宋体"/>
          <w:kern w:val="0"/>
          <w:sz w:val="24"/>
        </w:rPr>
        <w:t>3968.86</w:t>
      </w:r>
      <w:r>
        <w:rPr>
          <w:rFonts w:hint="eastAsia" w:ascii="仿宋" w:hAnsi="仿宋" w:eastAsia="仿宋" w:cs="宋体"/>
          <w:kern w:val="0"/>
          <w:sz w:val="24"/>
        </w:rPr>
        <w:t>万元，（其中：检疫及检测经费</w:t>
      </w:r>
      <w:r>
        <w:rPr>
          <w:rFonts w:ascii="仿宋" w:hAnsi="仿宋" w:eastAsia="仿宋" w:cs="宋体"/>
          <w:kern w:val="0"/>
          <w:sz w:val="24"/>
        </w:rPr>
        <w:t>56</w:t>
      </w:r>
      <w:r>
        <w:rPr>
          <w:rFonts w:hint="eastAsia" w:ascii="仿宋" w:hAnsi="仿宋" w:eastAsia="仿宋" w:cs="宋体"/>
          <w:kern w:val="0"/>
          <w:sz w:val="24"/>
        </w:rPr>
        <w:t>万元、养殖技术推广</w:t>
      </w:r>
      <w:r>
        <w:rPr>
          <w:rFonts w:ascii="仿宋" w:hAnsi="仿宋" w:eastAsia="仿宋" w:cs="宋体"/>
          <w:kern w:val="0"/>
          <w:sz w:val="24"/>
        </w:rPr>
        <w:t>4</w:t>
      </w:r>
      <w:r>
        <w:rPr>
          <w:rFonts w:hint="eastAsia" w:ascii="仿宋" w:hAnsi="仿宋" w:eastAsia="仿宋" w:cs="宋体"/>
          <w:kern w:val="0"/>
          <w:sz w:val="24"/>
        </w:rPr>
        <w:t>万元、渔政执法专项经费</w:t>
      </w:r>
      <w:r>
        <w:rPr>
          <w:rFonts w:ascii="仿宋" w:hAnsi="仿宋" w:eastAsia="仿宋" w:cs="宋体"/>
          <w:kern w:val="0"/>
          <w:sz w:val="24"/>
        </w:rPr>
        <w:t>24</w:t>
      </w:r>
      <w:r>
        <w:rPr>
          <w:rFonts w:hint="eastAsia" w:ascii="仿宋" w:hAnsi="仿宋" w:eastAsia="仿宋" w:cs="宋体"/>
          <w:kern w:val="0"/>
          <w:sz w:val="24"/>
        </w:rPr>
        <w:t>万元、重大动物疫苗购置经费</w:t>
      </w:r>
      <w:r>
        <w:rPr>
          <w:rFonts w:ascii="仿宋" w:hAnsi="仿宋" w:eastAsia="仿宋" w:cs="宋体"/>
          <w:kern w:val="0"/>
          <w:sz w:val="24"/>
        </w:rPr>
        <w:t>30</w:t>
      </w:r>
      <w:r>
        <w:rPr>
          <w:rFonts w:hint="eastAsia" w:ascii="仿宋" w:hAnsi="仿宋" w:eastAsia="仿宋" w:cs="宋体"/>
          <w:kern w:val="0"/>
          <w:sz w:val="24"/>
        </w:rPr>
        <w:t>万元、屠宰场驻场官方兽医检疫经费</w:t>
      </w:r>
      <w:r>
        <w:rPr>
          <w:rFonts w:ascii="仿宋" w:hAnsi="仿宋" w:eastAsia="仿宋" w:cs="宋体"/>
          <w:kern w:val="0"/>
          <w:sz w:val="24"/>
        </w:rPr>
        <w:t>18</w:t>
      </w:r>
      <w:r>
        <w:rPr>
          <w:rFonts w:hint="eastAsia" w:ascii="仿宋" w:hAnsi="仿宋" w:eastAsia="仿宋" w:cs="宋体"/>
          <w:kern w:val="0"/>
          <w:sz w:val="24"/>
        </w:rPr>
        <w:t>万元、农产品质量安全检验检测</w:t>
      </w:r>
      <w:r>
        <w:rPr>
          <w:rFonts w:ascii="仿宋" w:hAnsi="仿宋" w:eastAsia="仿宋" w:cs="宋体"/>
          <w:kern w:val="0"/>
          <w:sz w:val="24"/>
        </w:rPr>
        <w:t>54</w:t>
      </w:r>
      <w:r>
        <w:rPr>
          <w:rFonts w:hint="eastAsia" w:ascii="仿宋" w:hAnsi="仿宋" w:eastAsia="仿宋" w:cs="宋体"/>
          <w:kern w:val="0"/>
          <w:sz w:val="24"/>
        </w:rPr>
        <w:t>万元、新墙河流域禁捕专项经费</w:t>
      </w:r>
      <w:r>
        <w:rPr>
          <w:rFonts w:ascii="仿宋" w:hAnsi="仿宋" w:eastAsia="仿宋" w:cs="宋体"/>
          <w:kern w:val="0"/>
          <w:sz w:val="24"/>
        </w:rPr>
        <w:t>30</w:t>
      </w:r>
      <w:r>
        <w:rPr>
          <w:rFonts w:hint="eastAsia" w:ascii="仿宋" w:hAnsi="仿宋" w:eastAsia="仿宋" w:cs="宋体"/>
          <w:kern w:val="0"/>
          <w:sz w:val="24"/>
        </w:rPr>
        <w:t>万元、病死畜禽无害化处理体系运行经费</w:t>
      </w:r>
      <w:r>
        <w:rPr>
          <w:rFonts w:ascii="仿宋" w:hAnsi="仿宋" w:eastAsia="仿宋" w:cs="宋体"/>
          <w:kern w:val="0"/>
          <w:sz w:val="24"/>
        </w:rPr>
        <w:t>260</w:t>
      </w:r>
      <w:r>
        <w:rPr>
          <w:rFonts w:hint="eastAsia" w:ascii="仿宋" w:hAnsi="仿宋" w:eastAsia="仿宋" w:cs="宋体"/>
          <w:kern w:val="0"/>
          <w:sz w:val="24"/>
        </w:rPr>
        <w:t>万元等）。</w:t>
      </w:r>
    </w:p>
    <w:p w14:paraId="129797E6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我们按照相关项目管理办法和要求严格管理专项资金，对专项资金实行专户管理、专户核算、专款专用，确保专项资金使用安全、合法、合规，确保专项资金充分发挥经济效益、生态效益和社会效益。</w:t>
      </w:r>
    </w:p>
    <w:p w14:paraId="0468A653">
      <w:pPr>
        <w:widowControl/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三、政府性基金预算支出</w:t>
      </w:r>
      <w:r>
        <w:rPr>
          <w:rFonts w:ascii="黑体" w:hAnsi="黑体" w:eastAsia="黑体" w:cs="黑体"/>
          <w:bCs/>
          <w:sz w:val="28"/>
          <w:szCs w:val="28"/>
        </w:rPr>
        <w:t xml:space="preserve">    </w:t>
      </w:r>
    </w:p>
    <w:p w14:paraId="0B182875">
      <w:pPr>
        <w:widowControl/>
        <w:spacing w:line="560" w:lineRule="exact"/>
        <w:ind w:firstLine="960" w:firstLineChars="4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无</w:t>
      </w:r>
    </w:p>
    <w:p w14:paraId="788AA551">
      <w:pPr>
        <w:widowControl/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四、国有资本经营预算支出</w:t>
      </w:r>
      <w:r>
        <w:rPr>
          <w:rFonts w:ascii="黑体" w:hAnsi="黑体" w:eastAsia="黑体" w:cs="黑体"/>
          <w:bCs/>
          <w:sz w:val="28"/>
          <w:szCs w:val="28"/>
        </w:rPr>
        <w:t xml:space="preserve"> </w:t>
      </w:r>
    </w:p>
    <w:p w14:paraId="28388607">
      <w:pPr>
        <w:widowControl/>
        <w:spacing w:line="560" w:lineRule="exact"/>
        <w:ind w:firstLine="840" w:firstLineChars="35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4"/>
        </w:rPr>
        <w:t>无</w:t>
      </w:r>
    </w:p>
    <w:p w14:paraId="14FA8B91">
      <w:pPr>
        <w:widowControl/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五、社会保险基金预算支出</w:t>
      </w:r>
      <w:r>
        <w:rPr>
          <w:rFonts w:ascii="黑体" w:hAnsi="黑体" w:eastAsia="黑体" w:cs="黑体"/>
          <w:bCs/>
          <w:sz w:val="28"/>
          <w:szCs w:val="28"/>
        </w:rPr>
        <w:t xml:space="preserve"> </w:t>
      </w:r>
    </w:p>
    <w:p w14:paraId="4F154EAA">
      <w:pPr>
        <w:widowControl/>
        <w:spacing w:line="560" w:lineRule="exact"/>
        <w:ind w:firstLine="840" w:firstLineChars="300"/>
        <w:rPr>
          <w:rFonts w:ascii="黑体" w:hAnsi="黑体" w:eastAsia="黑体" w:cs="黑体"/>
          <w:bCs/>
          <w:sz w:val="28"/>
          <w:szCs w:val="28"/>
        </w:rPr>
      </w:pPr>
      <w:r>
        <w:rPr>
          <w:rFonts w:ascii="黑体" w:hAnsi="黑体" w:eastAsia="黑体" w:cs="黑体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4"/>
        </w:rPr>
        <w:t>无</w:t>
      </w:r>
    </w:p>
    <w:p w14:paraId="18232853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六、部门（单位）整体支出绩效情况</w:t>
      </w:r>
    </w:p>
    <w:p w14:paraId="5E7D791C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目标</w:t>
      </w:r>
      <w:r>
        <w:rPr>
          <w:rFonts w:ascii="仿宋" w:hAnsi="仿宋" w:eastAsia="仿宋" w:cs="宋体"/>
          <w:kern w:val="0"/>
          <w:sz w:val="24"/>
        </w:rPr>
        <w:t>1</w:t>
      </w:r>
      <w:r>
        <w:rPr>
          <w:rFonts w:hint="eastAsia" w:ascii="仿宋" w:hAnsi="仿宋" w:eastAsia="仿宋" w:cs="宋体"/>
          <w:kern w:val="0"/>
          <w:sz w:val="24"/>
        </w:rPr>
        <w:t>：全年预算申请到位和下达数量在</w:t>
      </w:r>
      <w:r>
        <w:rPr>
          <w:rFonts w:ascii="仿宋" w:hAnsi="仿宋" w:eastAsia="仿宋" w:cs="宋体"/>
          <w:kern w:val="0"/>
          <w:sz w:val="24"/>
        </w:rPr>
        <w:t>95%</w:t>
      </w:r>
      <w:r>
        <w:rPr>
          <w:rFonts w:hint="eastAsia" w:ascii="仿宋" w:hAnsi="仿宋" w:eastAsia="仿宋" w:cs="宋体"/>
          <w:kern w:val="0"/>
          <w:sz w:val="24"/>
        </w:rPr>
        <w:t>以上，三公经费变动率≤</w:t>
      </w:r>
      <w:r>
        <w:rPr>
          <w:rFonts w:ascii="仿宋" w:hAnsi="仿宋" w:eastAsia="仿宋" w:cs="宋体"/>
          <w:kern w:val="0"/>
          <w:sz w:val="24"/>
        </w:rPr>
        <w:t>0</w:t>
      </w:r>
      <w:r>
        <w:rPr>
          <w:rFonts w:hint="eastAsia" w:ascii="仿宋" w:hAnsi="仿宋" w:eastAsia="仿宋" w:cs="宋体"/>
          <w:kern w:val="0"/>
          <w:sz w:val="24"/>
        </w:rPr>
        <w:t>。</w:t>
      </w:r>
    </w:p>
    <w:p w14:paraId="4FB60F30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目标</w:t>
      </w:r>
      <w:r>
        <w:rPr>
          <w:rFonts w:ascii="仿宋" w:hAnsi="仿宋" w:eastAsia="仿宋" w:cs="宋体"/>
          <w:kern w:val="0"/>
          <w:sz w:val="24"/>
        </w:rPr>
        <w:t>2</w:t>
      </w:r>
      <w:r>
        <w:rPr>
          <w:rFonts w:hint="eastAsia" w:ascii="仿宋" w:hAnsi="仿宋" w:eastAsia="仿宋" w:cs="宋体"/>
          <w:kern w:val="0"/>
          <w:sz w:val="24"/>
        </w:rPr>
        <w:t>：社会效益、经济效益、生态效益、可持续影响和社会公众满意度达到预期目标。</w:t>
      </w:r>
    </w:p>
    <w:p w14:paraId="42B27E28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目标</w:t>
      </w:r>
      <w:r>
        <w:rPr>
          <w:rFonts w:ascii="仿宋" w:hAnsi="仿宋" w:eastAsia="仿宋" w:cs="宋体"/>
          <w:kern w:val="0"/>
          <w:sz w:val="24"/>
        </w:rPr>
        <w:t>3</w:t>
      </w:r>
      <w:r>
        <w:rPr>
          <w:rFonts w:hint="eastAsia" w:ascii="仿宋" w:hAnsi="仿宋" w:eastAsia="仿宋" w:cs="宋体"/>
          <w:kern w:val="0"/>
          <w:sz w:val="24"/>
        </w:rPr>
        <w:t>：动物防疫服务重大疫病免疫力</w:t>
      </w:r>
      <w:r>
        <w:rPr>
          <w:rFonts w:ascii="仿宋" w:hAnsi="仿宋" w:eastAsia="仿宋" w:cs="宋体"/>
          <w:kern w:val="0"/>
          <w:sz w:val="24"/>
        </w:rPr>
        <w:t>100%</w:t>
      </w:r>
      <w:r>
        <w:rPr>
          <w:rFonts w:hint="eastAsia" w:ascii="仿宋" w:hAnsi="仿宋" w:eastAsia="仿宋" w:cs="宋体"/>
          <w:kern w:val="0"/>
          <w:sz w:val="24"/>
        </w:rPr>
        <w:t>、畜禽水产品安全无重大事故、确保全县畜禽水产品养殖健康发展。</w:t>
      </w:r>
    </w:p>
    <w:p w14:paraId="041690F5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全年预算申请到位和下达数量在</w:t>
      </w:r>
      <w:r>
        <w:rPr>
          <w:rFonts w:ascii="仿宋" w:hAnsi="仿宋" w:eastAsia="仿宋" w:cs="宋体"/>
          <w:kern w:val="0"/>
          <w:sz w:val="24"/>
        </w:rPr>
        <w:t>100%</w:t>
      </w:r>
      <w:r>
        <w:rPr>
          <w:rFonts w:hint="eastAsia" w:ascii="仿宋" w:hAnsi="仿宋" w:eastAsia="仿宋" w:cs="宋体"/>
          <w:kern w:val="0"/>
          <w:sz w:val="24"/>
        </w:rPr>
        <w:t>；全县出栏生猪</w:t>
      </w:r>
      <w:r>
        <w:rPr>
          <w:rFonts w:ascii="仿宋" w:hAnsi="仿宋" w:eastAsia="仿宋" w:cs="宋体"/>
          <w:kern w:val="0"/>
          <w:sz w:val="24"/>
        </w:rPr>
        <w:t>102</w:t>
      </w:r>
      <w:r>
        <w:rPr>
          <w:rFonts w:hint="eastAsia" w:ascii="仿宋" w:hAnsi="仿宋" w:eastAsia="仿宋" w:cs="宋体"/>
          <w:kern w:val="0"/>
          <w:sz w:val="24"/>
        </w:rPr>
        <w:t>万头、牛</w:t>
      </w:r>
      <w:r>
        <w:rPr>
          <w:rFonts w:ascii="仿宋" w:hAnsi="仿宋" w:eastAsia="仿宋" w:cs="宋体"/>
          <w:kern w:val="0"/>
          <w:sz w:val="24"/>
        </w:rPr>
        <w:t>4.22</w:t>
      </w:r>
      <w:r>
        <w:rPr>
          <w:rFonts w:hint="eastAsia" w:ascii="仿宋" w:hAnsi="仿宋" w:eastAsia="仿宋" w:cs="宋体"/>
          <w:kern w:val="0"/>
          <w:sz w:val="24"/>
        </w:rPr>
        <w:t>万头，羊</w:t>
      </w:r>
      <w:r>
        <w:rPr>
          <w:rFonts w:ascii="仿宋" w:hAnsi="仿宋" w:eastAsia="仿宋" w:cs="宋体"/>
          <w:kern w:val="0"/>
          <w:sz w:val="24"/>
        </w:rPr>
        <w:t>11.1</w:t>
      </w:r>
      <w:r>
        <w:rPr>
          <w:rFonts w:hint="eastAsia" w:ascii="仿宋" w:hAnsi="仿宋" w:eastAsia="仿宋" w:cs="宋体"/>
          <w:kern w:val="0"/>
          <w:sz w:val="24"/>
        </w:rPr>
        <w:t>万只，出笼家禽</w:t>
      </w:r>
      <w:r>
        <w:rPr>
          <w:rFonts w:ascii="仿宋" w:hAnsi="仿宋" w:eastAsia="仿宋" w:cs="宋体"/>
          <w:kern w:val="0"/>
          <w:sz w:val="24"/>
        </w:rPr>
        <w:t>598.32</w:t>
      </w:r>
      <w:r>
        <w:rPr>
          <w:rFonts w:hint="eastAsia" w:ascii="仿宋" w:hAnsi="仿宋" w:eastAsia="仿宋" w:cs="宋体"/>
          <w:kern w:val="0"/>
          <w:sz w:val="24"/>
        </w:rPr>
        <w:t>万羽，实现水产品总产量</w:t>
      </w:r>
      <w:r>
        <w:rPr>
          <w:rFonts w:ascii="仿宋" w:hAnsi="仿宋" w:eastAsia="仿宋" w:cs="宋体"/>
          <w:kern w:val="0"/>
          <w:sz w:val="24"/>
        </w:rPr>
        <w:t>4.68</w:t>
      </w:r>
      <w:r>
        <w:rPr>
          <w:rFonts w:hint="eastAsia" w:ascii="仿宋" w:hAnsi="仿宋" w:eastAsia="仿宋" w:cs="宋体"/>
          <w:kern w:val="0"/>
          <w:sz w:val="24"/>
        </w:rPr>
        <w:t>万吨。年生产鱼苗</w:t>
      </w:r>
      <w:r>
        <w:rPr>
          <w:rFonts w:ascii="仿宋" w:hAnsi="仿宋" w:eastAsia="仿宋" w:cs="宋体"/>
          <w:kern w:val="0"/>
          <w:sz w:val="24"/>
        </w:rPr>
        <w:t>5.6</w:t>
      </w:r>
      <w:r>
        <w:rPr>
          <w:rFonts w:hint="eastAsia" w:ascii="仿宋" w:hAnsi="仿宋" w:eastAsia="仿宋" w:cs="宋体"/>
          <w:kern w:val="0"/>
          <w:sz w:val="24"/>
        </w:rPr>
        <w:t>亿尾，年生产饲料</w:t>
      </w:r>
      <w:r>
        <w:rPr>
          <w:rFonts w:ascii="仿宋" w:hAnsi="仿宋" w:eastAsia="仿宋" w:cs="宋体"/>
          <w:kern w:val="0"/>
          <w:sz w:val="24"/>
        </w:rPr>
        <w:t>21.47</w:t>
      </w:r>
      <w:r>
        <w:rPr>
          <w:rFonts w:hint="eastAsia" w:ascii="仿宋" w:hAnsi="仿宋" w:eastAsia="仿宋" w:cs="宋体"/>
          <w:kern w:val="0"/>
          <w:sz w:val="24"/>
        </w:rPr>
        <w:t>万吨，全县养殖业产值达到</w:t>
      </w:r>
      <w:r>
        <w:rPr>
          <w:rFonts w:ascii="仿宋" w:hAnsi="仿宋" w:eastAsia="仿宋" w:cs="宋体"/>
          <w:kern w:val="0"/>
          <w:sz w:val="24"/>
        </w:rPr>
        <w:t>48.35</w:t>
      </w:r>
      <w:r>
        <w:rPr>
          <w:rFonts w:hint="eastAsia" w:ascii="仿宋" w:hAnsi="仿宋" w:eastAsia="仿宋" w:cs="宋体"/>
          <w:kern w:val="0"/>
          <w:sz w:val="24"/>
        </w:rPr>
        <w:t>亿元。完成县委、县政府及上级主管部门交办的各项工作任务。</w:t>
      </w:r>
    </w:p>
    <w:p w14:paraId="7311AF9E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七、存在的主要问题</w:t>
      </w:r>
    </w:p>
    <w:p w14:paraId="57DA33AC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ascii="仿宋" w:hAnsi="仿宋" w:eastAsia="仿宋" w:cs="宋体"/>
          <w:kern w:val="0"/>
          <w:sz w:val="24"/>
        </w:rPr>
        <w:t>1</w:t>
      </w:r>
      <w:r>
        <w:rPr>
          <w:rFonts w:hint="eastAsia" w:ascii="仿宋" w:hAnsi="仿宋" w:eastAsia="仿宋" w:cs="宋体"/>
          <w:kern w:val="0"/>
          <w:sz w:val="24"/>
        </w:rPr>
        <w:t>、监督管理机制还有待加强。</w:t>
      </w:r>
    </w:p>
    <w:p w14:paraId="64BC4418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ascii="仿宋" w:hAnsi="仿宋" w:eastAsia="仿宋" w:cs="宋体"/>
          <w:kern w:val="0"/>
          <w:sz w:val="24"/>
        </w:rPr>
        <w:t>2</w:t>
      </w:r>
      <w:r>
        <w:rPr>
          <w:rFonts w:hint="eastAsia" w:ascii="仿宋" w:hAnsi="仿宋" w:eastAsia="仿宋" w:cs="宋体"/>
          <w:kern w:val="0"/>
          <w:sz w:val="24"/>
        </w:rPr>
        <w:t>、财务工作是一个单位的命脉，创新机制正在逐步加强，业务工作水平有待更进一步提高。</w:t>
      </w:r>
    </w:p>
    <w:p w14:paraId="491C5BB2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八、改进措施和有关建议</w:t>
      </w:r>
    </w:p>
    <w:p w14:paraId="65AC6831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ascii="仿宋" w:hAnsi="仿宋" w:eastAsia="仿宋" w:cs="宋体"/>
          <w:kern w:val="0"/>
          <w:sz w:val="24"/>
        </w:rPr>
        <w:t>1</w:t>
      </w:r>
      <w:r>
        <w:rPr>
          <w:rFonts w:hint="eastAsia" w:ascii="仿宋" w:hAnsi="仿宋" w:eastAsia="仿宋" w:cs="宋体"/>
          <w:kern w:val="0"/>
          <w:sz w:val="24"/>
        </w:rPr>
        <w:t>、加强监管力度，用制度约束。</w:t>
      </w:r>
    </w:p>
    <w:p w14:paraId="66DE9E4B">
      <w:pPr>
        <w:widowControl/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ascii="仿宋" w:hAnsi="仿宋" w:eastAsia="仿宋" w:cs="宋体"/>
          <w:kern w:val="0"/>
          <w:sz w:val="24"/>
        </w:rPr>
        <w:t>2</w:t>
      </w:r>
      <w:r>
        <w:rPr>
          <w:rFonts w:hint="eastAsia" w:ascii="仿宋" w:hAnsi="仿宋" w:eastAsia="仿宋" w:cs="宋体"/>
          <w:kern w:val="0"/>
          <w:sz w:val="24"/>
        </w:rPr>
        <w:t>、进一步完善财务制度，规范财务纪律。</w:t>
      </w:r>
    </w:p>
    <w:p w14:paraId="48A26E98">
      <w:pPr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ascii="仿宋" w:hAnsi="仿宋" w:eastAsia="仿宋" w:cs="宋体"/>
          <w:kern w:val="0"/>
          <w:sz w:val="24"/>
        </w:rPr>
        <w:t>3</w:t>
      </w:r>
      <w:r>
        <w:rPr>
          <w:rFonts w:hint="eastAsia" w:ascii="仿宋" w:hAnsi="仿宋" w:eastAsia="仿宋" w:cs="宋体"/>
          <w:kern w:val="0"/>
          <w:sz w:val="24"/>
        </w:rPr>
        <w:t>、财务工作人员要加强学习，提高业务水平。</w:t>
      </w:r>
    </w:p>
    <w:p w14:paraId="2D27DEBE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九、绩效自评结果应用和公开情况</w:t>
      </w:r>
    </w:p>
    <w:p w14:paraId="5753AA0A">
      <w:pPr>
        <w:spacing w:line="560" w:lineRule="exact"/>
        <w:ind w:firstLine="480" w:firstLineChars="2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本单位按要求对</w:t>
      </w:r>
      <w:r>
        <w:rPr>
          <w:rFonts w:ascii="仿宋" w:hAnsi="仿宋" w:eastAsia="仿宋" w:cs="宋体"/>
          <w:kern w:val="0"/>
          <w:sz w:val="24"/>
        </w:rPr>
        <w:t>2023</w:t>
      </w:r>
      <w:r>
        <w:rPr>
          <w:rFonts w:hint="eastAsia" w:ascii="仿宋" w:hAnsi="仿宋" w:eastAsia="仿宋" w:cs="宋体"/>
          <w:kern w:val="0"/>
          <w:sz w:val="24"/>
        </w:rPr>
        <w:t>年部门整体支出开展绩效自评，从评价情况来看，全年基本支出保证了部门的正常运转和日常工作的正常开展。项目支出保障了单位重点工作的顺利开展，绩效目标得到了较好的实现，绩效管理水平不断的提高，绩效指标体系逐渐丰富完善，</w:t>
      </w:r>
      <w:r>
        <w:rPr>
          <w:rFonts w:ascii="仿宋" w:hAnsi="仿宋" w:eastAsia="仿宋" w:cs="宋体"/>
          <w:kern w:val="0"/>
          <w:sz w:val="24"/>
        </w:rPr>
        <w:t>2023</w:t>
      </w:r>
      <w:r>
        <w:rPr>
          <w:rFonts w:hint="eastAsia" w:ascii="仿宋" w:hAnsi="仿宋" w:eastAsia="仿宋" w:cs="宋体"/>
          <w:kern w:val="0"/>
          <w:sz w:val="24"/>
        </w:rPr>
        <w:t>年我单位整体支出绩效自我评价良好，按照规定公开</w:t>
      </w:r>
    </w:p>
    <w:p w14:paraId="6E2B546B">
      <w:pPr>
        <w:spacing w:line="56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十、其他需要说明的情况</w:t>
      </w:r>
    </w:p>
    <w:p w14:paraId="2B48012A">
      <w:pPr>
        <w:spacing w:line="560" w:lineRule="exact"/>
        <w:ind w:firstLine="720" w:firstLineChars="300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无</w:t>
      </w:r>
    </w:p>
    <w:p w14:paraId="76C142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35"/>
    <w:rsid w:val="000043AC"/>
    <w:rsid w:val="000339E5"/>
    <w:rsid w:val="002B012B"/>
    <w:rsid w:val="003D7A27"/>
    <w:rsid w:val="00524D05"/>
    <w:rsid w:val="00596620"/>
    <w:rsid w:val="00625B26"/>
    <w:rsid w:val="00690D9C"/>
    <w:rsid w:val="00850084"/>
    <w:rsid w:val="009F0DF1"/>
    <w:rsid w:val="00A22435"/>
    <w:rsid w:val="00BB149C"/>
    <w:rsid w:val="00C34EA8"/>
    <w:rsid w:val="00C46D62"/>
    <w:rsid w:val="00CD2C1E"/>
    <w:rsid w:val="00D32CA3"/>
    <w:rsid w:val="00EB0412"/>
    <w:rsid w:val="00FC1127"/>
    <w:rsid w:val="291E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1521</Words>
  <Characters>1634</Characters>
  <Lines>0</Lines>
  <Paragraphs>0</Paragraphs>
  <TotalTime>78</TotalTime>
  <ScaleCrop>false</ScaleCrop>
  <LinksUpToDate>false</LinksUpToDate>
  <CharactersWithSpaces>1641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2024-06-26T08:33:00Z</dcterms:created>
  <dc:creator>Windows 用户</dc:creator>
  <cp:lastModifiedBy>LENOVO-BGS</cp:lastModifiedBy>
  <dcterms:modified xsi:type="dcterms:W3CDTF">2024-09-27T04:48:14Z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2B8792B836784285BC6C8FC6A513B409_13</vt:lpwstr>
  </property>
</Properties>
</file>