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0"/>
        <w:keepNext w:val="0"/>
        <w:keepLines w:val="0"/>
        <w:pageBreakBefore w:val="0"/>
        <w:widowControl w:val="0"/>
        <w:kinsoku/>
        <w:wordWrap/>
        <w:overflowPunct/>
        <w:topLinePunct w:val="0"/>
        <w:autoSpaceDN/>
        <w:bidi w:val="0"/>
        <w:adjustRightInd/>
        <w:snapToGrid/>
        <w:spacing w:after="0" w:line="579" w:lineRule="exact"/>
        <w:ind w:left="0" w:leftChars="0" w:firstLine="0" w:firstLineChars="0"/>
        <w:jc w:val="both"/>
        <w:textAlignment w:val="auto"/>
        <w:outlineLvl w:val="9"/>
        <w:rPr>
          <w:b/>
          <w:bCs/>
          <w:color w:val="auto"/>
          <w:sz w:val="32"/>
          <w:szCs w:val="32"/>
        </w:rPr>
      </w:pPr>
    </w:p>
    <w:p w14:paraId="459BC6A4">
      <w:pPr>
        <w:pStyle w:val="30"/>
        <w:keepNext w:val="0"/>
        <w:keepLines w:val="0"/>
        <w:pageBreakBefore w:val="0"/>
        <w:widowControl w:val="0"/>
        <w:kinsoku/>
        <w:wordWrap/>
        <w:overflowPunct/>
        <w:topLinePunct w:val="0"/>
        <w:autoSpaceDN/>
        <w:bidi w:val="0"/>
        <w:adjustRightInd/>
        <w:snapToGrid/>
        <w:spacing w:after="0" w:line="579" w:lineRule="exact"/>
        <w:ind w:left="0" w:leftChars="0" w:firstLine="0" w:firstLineChars="0"/>
        <w:jc w:val="both"/>
        <w:textAlignment w:val="auto"/>
        <w:outlineLvl w:val="9"/>
        <w:rPr>
          <w:b/>
          <w:bCs/>
          <w:color w:val="auto"/>
          <w:sz w:val="32"/>
          <w:szCs w:val="32"/>
        </w:rPr>
      </w:pPr>
    </w:p>
    <w:p w14:paraId="4B6FF6E5">
      <w:pPr>
        <w:pStyle w:val="30"/>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2D9A268A">
      <w:pPr>
        <w:pStyle w:val="30"/>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right"/>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r>
        <w:rPr>
          <w:rFonts w:hint="eastAsia" w:ascii="方正仿宋_GB2312" w:hAnsi="方正仿宋_GB2312" w:eastAsia="方正仿宋_GB2312" w:cs="方正仿宋_GB2312"/>
          <w:color w:val="auto"/>
          <w:kern w:val="2"/>
          <w:sz w:val="32"/>
          <w:szCs w:val="32"/>
          <w:u w:val="none" w:color="auto"/>
          <w:lang w:val="en-US" w:eastAsia="zh-CN" w:bidi="ar-SA"/>
        </w:rPr>
        <w:t>岳县环评﹝2025﹞15号</w:t>
      </w:r>
    </w:p>
    <w:p w14:paraId="45D869C2">
      <w:pPr>
        <w:pStyle w:val="30"/>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20"/>
          <w:kern w:val="2"/>
          <w:sz w:val="44"/>
          <w:szCs w:val="44"/>
          <w:lang w:val="en-US" w:eastAsia="zh-CN" w:bidi="ar-SA"/>
        </w:rPr>
      </w:pPr>
    </w:p>
    <w:p w14:paraId="3A93321C">
      <w:pPr>
        <w:pStyle w:val="30"/>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center"/>
        <w:textAlignment w:val="auto"/>
        <w:outlineLvl w:val="9"/>
        <w:rPr>
          <w:rFonts w:hint="default" w:ascii="方正小标宋简体" w:hAnsi="方正小标宋简体" w:eastAsia="方正小标宋简体" w:cs="方正小标宋简体"/>
          <w:b w:val="0"/>
          <w:bCs w:val="0"/>
          <w:color w:val="auto"/>
          <w:spacing w:val="-20"/>
          <w:kern w:val="2"/>
          <w:sz w:val="44"/>
          <w:szCs w:val="44"/>
          <w:lang w:val="en-US" w:eastAsia="zh-CN" w:bidi="ar-SA"/>
        </w:rPr>
      </w:pPr>
      <w:r>
        <w:rPr>
          <w:rFonts w:hint="eastAsia" w:ascii="方正小标宋简体" w:hAnsi="方正小标宋简体" w:eastAsia="方正小标宋简体" w:cs="方正小标宋简体"/>
          <w:b w:val="0"/>
          <w:bCs w:val="0"/>
          <w:color w:val="auto"/>
          <w:spacing w:val="-20"/>
          <w:kern w:val="2"/>
          <w:sz w:val="44"/>
          <w:szCs w:val="44"/>
          <w:lang w:val="en-US" w:eastAsia="zh-CN" w:bidi="ar-SA"/>
        </w:rPr>
        <w:t>岳阳市生态环境局</w:t>
      </w:r>
    </w:p>
    <w:p w14:paraId="4FEF6043">
      <w:pPr>
        <w:keepNext w:val="0"/>
        <w:keepLines w:val="0"/>
        <w:pageBreakBefore w:val="0"/>
        <w:widowControl w:val="0"/>
        <w:kinsoku/>
        <w:wordWrap/>
        <w:overflowPunct/>
        <w:topLinePunct w:val="0"/>
        <w:autoSpaceDE w:val="0"/>
        <w:autoSpaceDN/>
        <w:bidi w:val="0"/>
        <w:adjustRightInd/>
        <w:snapToGrid/>
        <w:spacing w:after="0" w:line="579"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2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20"/>
          <w:kern w:val="2"/>
          <w:sz w:val="44"/>
          <w:szCs w:val="44"/>
          <w:lang w:eastAsia="zh-CN"/>
        </w:rPr>
        <w:t>关于创新制剂与高端药用辅料研发生产基地二期</w:t>
      </w:r>
      <w:r>
        <w:rPr>
          <w:rFonts w:hint="eastAsia" w:ascii="方正小标宋简体" w:hAnsi="方正小标宋简体" w:eastAsia="方正小标宋简体" w:cs="方正小标宋简体"/>
          <w:b w:val="0"/>
          <w:bCs w:val="0"/>
          <w:color w:val="auto"/>
          <w:spacing w:val="-20"/>
          <w:sz w:val="44"/>
          <w:szCs w:val="44"/>
          <w:lang w:eastAsia="zh-CN"/>
        </w:rPr>
        <w:t>项目</w:t>
      </w:r>
      <w:r>
        <w:rPr>
          <w:rFonts w:hint="eastAsia" w:ascii="方正小标宋简体" w:hAnsi="方正小标宋简体" w:eastAsia="方正小标宋简体" w:cs="方正小标宋简体"/>
          <w:b w:val="0"/>
          <w:bCs w:val="0"/>
          <w:color w:val="auto"/>
          <w:spacing w:val="-20"/>
          <w:kern w:val="2"/>
          <w:sz w:val="44"/>
          <w:szCs w:val="44"/>
          <w:lang w:eastAsia="zh-CN"/>
        </w:rPr>
        <w:t>环境影响报告表的批复</w:t>
      </w:r>
    </w:p>
    <w:p w14:paraId="7ACD5ECA">
      <w:pPr>
        <w:keepNext w:val="0"/>
        <w:keepLines w:val="0"/>
        <w:pageBreakBefore w:val="0"/>
        <w:widowControl w:val="0"/>
        <w:kinsoku/>
        <w:wordWrap/>
        <w:overflowPunct/>
        <w:topLinePunct w:val="0"/>
        <w:autoSpaceDE w:val="0"/>
        <w:autoSpaceDN/>
        <w:bidi w:val="0"/>
        <w:adjustRightInd/>
        <w:snapToGrid/>
        <w:spacing w:after="0" w:line="579" w:lineRule="exact"/>
        <w:ind w:left="0" w:leftChars="0"/>
        <w:jc w:val="both"/>
        <w:textAlignment w:val="auto"/>
        <w:outlineLvl w:val="9"/>
        <w:rPr>
          <w:rFonts w:hint="eastAsia" w:ascii="仿宋_GB2312" w:hAnsi="仿宋_GB2312" w:eastAsia="仿宋_GB2312" w:cs="仿宋_GB2312"/>
          <w:color w:val="auto"/>
          <w:kern w:val="2"/>
          <w:sz w:val="32"/>
          <w:szCs w:val="32"/>
          <w:u w:val="none" w:color="auto"/>
          <w:lang w:eastAsia="zh-CN"/>
        </w:rPr>
      </w:pPr>
    </w:p>
    <w:p w14:paraId="3CE5FBF4">
      <w:pPr>
        <w:keepNext w:val="0"/>
        <w:keepLines w:val="0"/>
        <w:pageBreakBefore w:val="0"/>
        <w:widowControl w:val="0"/>
        <w:kinsoku/>
        <w:wordWrap/>
        <w:overflowPunct/>
        <w:topLinePunct w:val="0"/>
        <w:autoSpaceDE w:val="0"/>
        <w:autoSpaceDN/>
        <w:bidi w:val="0"/>
        <w:adjustRightInd/>
        <w:snapToGrid/>
        <w:spacing w:after="0" w:line="579"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color w:val="auto"/>
          <w:kern w:val="2"/>
          <w:sz w:val="32"/>
          <w:szCs w:val="32"/>
          <w:u w:val="none" w:color="auto"/>
          <w:lang w:eastAsia="zh-CN"/>
        </w:rPr>
        <w:t>湖南派格兰药业有限公司：</w:t>
      </w:r>
    </w:p>
    <w:p w14:paraId="2B69560A">
      <w:pPr>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both"/>
        <w:outlineLvl w:val="9"/>
        <w:rPr>
          <w:rFonts w:hint="eastAsia" w:ascii="方正仿宋_GB2312" w:hAnsi="方正仿宋_GB2312" w:eastAsia="方正仿宋_GB2312" w:cs="方正仿宋_GB2312"/>
          <w:b w:val="0"/>
          <w:bCs w:val="0"/>
          <w:color w:val="auto"/>
          <w:spacing w:val="0"/>
          <w:w w:val="100"/>
          <w:sz w:val="32"/>
          <w:szCs w:val="32"/>
          <w:highlight w:val="none"/>
          <w:u w:val="none" w:color="auto"/>
        </w:rPr>
      </w:pPr>
      <w:r>
        <w:rPr>
          <w:rFonts w:hint="eastAsia" w:ascii="方正仿宋_GB2312" w:hAnsi="方正仿宋_GB2312" w:eastAsia="方正仿宋_GB2312" w:cs="方正仿宋_GB2312"/>
          <w:color w:val="auto"/>
          <w:kern w:val="2"/>
          <w:sz w:val="32"/>
          <w:szCs w:val="32"/>
          <w:u w:val="none" w:color="auto"/>
          <w:lang w:eastAsia="zh-CN"/>
        </w:rPr>
        <w:t>你公司（</w:t>
      </w:r>
      <w:r>
        <w:rPr>
          <w:rFonts w:hint="eastAsia" w:ascii="方正仿宋_GB2312" w:hAnsi="方正仿宋_GB2312" w:eastAsia="方正仿宋_GB2312" w:cs="方正仿宋_GB2312"/>
          <w:b w:val="0"/>
          <w:bCs w:val="0"/>
          <w:color w:val="auto"/>
          <w:spacing w:val="0"/>
          <w:w w:val="100"/>
          <w:kern w:val="0"/>
          <w:sz w:val="32"/>
          <w:szCs w:val="32"/>
          <w:highlight w:val="none"/>
          <w:u w:val="none" w:color="auto"/>
          <w:lang w:val="en-US" w:eastAsia="en-US" w:bidi="ar-SA"/>
        </w:rPr>
        <w:t>地址：</w:t>
      </w:r>
      <w:r>
        <w:rPr>
          <w:rFonts w:hint="eastAsia" w:ascii="方正仿宋_GB2312" w:hAnsi="方正仿宋_GB2312" w:eastAsia="方正仿宋_GB2312" w:cs="方正仿宋_GB2312"/>
          <w:b w:val="0"/>
          <w:bCs w:val="0"/>
          <w:color w:val="auto"/>
          <w:spacing w:val="0"/>
          <w:w w:val="100"/>
          <w:sz w:val="32"/>
          <w:szCs w:val="32"/>
          <w:highlight w:val="none"/>
          <w:u w:val="none" w:color="auto"/>
        </w:rPr>
        <w:t>岳阳高新技术产业园区金诚路10号</w:t>
      </w:r>
      <w:r>
        <w:rPr>
          <w:rFonts w:hint="eastAsia" w:ascii="方正仿宋_GB2312" w:hAnsi="方正仿宋_GB2312" w:eastAsia="方正仿宋_GB2312" w:cs="方正仿宋_GB2312"/>
          <w:b w:val="0"/>
          <w:bCs w:val="0"/>
          <w:color w:val="auto"/>
          <w:spacing w:val="0"/>
          <w:w w:val="100"/>
          <w:sz w:val="32"/>
          <w:szCs w:val="32"/>
          <w:highlight w:val="none"/>
          <w:u w:val="none" w:color="auto"/>
          <w:lang w:eastAsia="zh-CN"/>
        </w:rPr>
        <w:t>，</w:t>
      </w:r>
      <w:r>
        <w:rPr>
          <w:rFonts w:hint="eastAsia" w:ascii="方正仿宋_GB2312" w:hAnsi="方正仿宋_GB2312" w:eastAsia="方正仿宋_GB2312" w:cs="方正仿宋_GB2312"/>
          <w:color w:val="auto"/>
          <w:kern w:val="2"/>
          <w:sz w:val="32"/>
          <w:szCs w:val="32"/>
          <w:u w:val="none" w:color="auto"/>
          <w:lang w:eastAsia="zh-CN"/>
        </w:rPr>
        <w:t>法人代表：张海龙，统一社会信用代码：91430621MABXR3UDX1）</w:t>
      </w:r>
      <w:r>
        <w:rPr>
          <w:rFonts w:hint="eastAsia" w:ascii="方正仿宋_GB2312" w:hAnsi="方正仿宋_GB2312" w:eastAsia="方正仿宋_GB2312" w:cs="方正仿宋_GB2312"/>
          <w:color w:val="auto"/>
          <w:kern w:val="2"/>
          <w:sz w:val="32"/>
          <w:szCs w:val="32"/>
          <w:u w:val="none" w:color="auto"/>
          <w:lang w:val="en-US" w:eastAsia="zh-CN"/>
        </w:rPr>
        <w:t>提交的</w:t>
      </w:r>
      <w:r>
        <w:rPr>
          <w:rFonts w:hint="eastAsia" w:ascii="方正仿宋_GB2312" w:hAnsi="方正仿宋_GB2312" w:eastAsia="方正仿宋_GB2312" w:cs="方正仿宋_GB2312"/>
          <w:color w:val="auto"/>
          <w:kern w:val="2"/>
          <w:sz w:val="32"/>
          <w:szCs w:val="32"/>
          <w:u w:val="none" w:color="auto"/>
          <w:lang w:eastAsia="zh-CN"/>
        </w:rPr>
        <w:t>《</w:t>
      </w:r>
      <w:r>
        <w:rPr>
          <w:rFonts w:hint="eastAsia" w:ascii="方正仿宋_GB2312" w:hAnsi="方正仿宋_GB2312" w:eastAsia="方正仿宋_GB2312" w:cs="方正仿宋_GB2312"/>
          <w:b w:val="0"/>
          <w:bCs w:val="0"/>
          <w:color w:val="auto"/>
          <w:sz w:val="32"/>
          <w:szCs w:val="32"/>
          <w:u w:val="none" w:color="auto"/>
          <w:lang w:val="en-US" w:eastAsia="zh-CN"/>
        </w:rPr>
        <w:t>创新制剂与高端药用辅料研发生产基地二期项目</w:t>
      </w:r>
      <w:r>
        <w:rPr>
          <w:rFonts w:hint="eastAsia" w:ascii="方正仿宋_GB2312" w:hAnsi="方正仿宋_GB2312" w:eastAsia="方正仿宋_GB2312" w:cs="方正仿宋_GB2312"/>
          <w:color w:val="auto"/>
          <w:kern w:val="2"/>
          <w:sz w:val="32"/>
          <w:szCs w:val="32"/>
          <w:u w:val="none" w:color="auto"/>
          <w:lang w:eastAsia="zh-CN"/>
        </w:rPr>
        <w:t>环境影响报告表》</w:t>
      </w:r>
      <w:r>
        <w:rPr>
          <w:rFonts w:hint="eastAsia" w:ascii="方正仿宋_GB2312" w:hAnsi="方正仿宋_GB2312" w:eastAsia="方正仿宋_GB2312" w:cs="方正仿宋_GB2312"/>
          <w:b w:val="0"/>
          <w:bCs w:val="0"/>
          <w:color w:val="auto"/>
          <w:spacing w:val="0"/>
          <w:w w:val="100"/>
          <w:kern w:val="2"/>
          <w:sz w:val="32"/>
          <w:szCs w:val="32"/>
          <w:highlight w:val="none"/>
          <w:u w:val="none" w:color="auto"/>
          <w:lang w:val="en-US" w:eastAsia="zh-CN" w:bidi="ar-SA"/>
        </w:rPr>
        <w:t>及有关附件收悉。</w:t>
      </w:r>
      <w:r>
        <w:rPr>
          <w:rFonts w:hint="eastAsia" w:ascii="方正仿宋_GB2312" w:hAnsi="方正仿宋_GB2312" w:eastAsia="方正仿宋_GB2312" w:cs="方正仿宋_GB2312"/>
          <w:b w:val="0"/>
          <w:bCs w:val="0"/>
          <w:color w:val="auto"/>
          <w:spacing w:val="0"/>
          <w:w w:val="100"/>
          <w:kern w:val="0"/>
          <w:sz w:val="32"/>
          <w:szCs w:val="32"/>
          <w:highlight w:val="none"/>
          <w:u w:val="none" w:color="auto"/>
          <w:lang w:val="en-US" w:eastAsia="en-US" w:bidi="ar-SA"/>
        </w:rPr>
        <w:t>经审查，</w:t>
      </w:r>
      <w:r>
        <w:rPr>
          <w:rFonts w:hint="eastAsia" w:ascii="方正仿宋_GB2312" w:hAnsi="方正仿宋_GB2312" w:eastAsia="方正仿宋_GB2312" w:cs="方正仿宋_GB2312"/>
          <w:bCs/>
          <w:color w:val="auto"/>
          <w:sz w:val="32"/>
          <w:szCs w:val="32"/>
          <w:lang w:val="en-US" w:eastAsia="zh-CN"/>
        </w:rPr>
        <w:t>你公司委托</w:t>
      </w:r>
      <w:r>
        <w:rPr>
          <w:rFonts w:hint="eastAsia" w:ascii="方正仿宋_GB2312" w:hAnsi="方正仿宋_GB2312" w:eastAsia="方正仿宋_GB2312" w:cs="方正仿宋_GB2312"/>
          <w:color w:val="auto"/>
          <w:sz w:val="32"/>
          <w:szCs w:val="32"/>
        </w:rPr>
        <w:t>湖南联合泰泽环境科技有限公司</w:t>
      </w:r>
      <w:r>
        <w:rPr>
          <w:rFonts w:hint="eastAsia" w:ascii="方正仿宋_GB2312" w:hAnsi="方正仿宋_GB2312" w:eastAsia="方正仿宋_GB2312" w:cs="方正仿宋_GB2312"/>
          <w:bCs/>
          <w:color w:val="auto"/>
          <w:sz w:val="32"/>
          <w:szCs w:val="32"/>
          <w:lang w:val="en-US" w:eastAsia="zh-CN"/>
        </w:rPr>
        <w:t>编制</w:t>
      </w:r>
      <w:r>
        <w:rPr>
          <w:rFonts w:hint="eastAsia" w:ascii="方正仿宋_GB2312" w:hAnsi="方正仿宋_GB2312" w:eastAsia="方正仿宋_GB2312" w:cs="方正仿宋_GB2312"/>
          <w:b w:val="0"/>
          <w:bCs w:val="0"/>
          <w:color w:val="auto"/>
          <w:spacing w:val="0"/>
          <w:w w:val="100"/>
          <w:kern w:val="0"/>
          <w:sz w:val="32"/>
          <w:szCs w:val="32"/>
          <w:highlight w:val="none"/>
          <w:u w:val="none" w:color="auto"/>
          <w:lang w:val="en-US" w:eastAsia="en-US" w:bidi="ar-SA"/>
        </w:rPr>
        <w:t>并通过专家评审取得审查意见的</w:t>
      </w:r>
      <w:r>
        <w:rPr>
          <w:rFonts w:hint="eastAsia" w:ascii="方正仿宋_GB2312" w:hAnsi="方正仿宋_GB2312" w:eastAsia="方正仿宋_GB2312" w:cs="方正仿宋_GB2312"/>
          <w:color w:val="auto"/>
          <w:kern w:val="2"/>
          <w:sz w:val="32"/>
          <w:szCs w:val="32"/>
          <w:u w:val="none" w:color="auto"/>
          <w:lang w:eastAsia="zh-CN"/>
        </w:rPr>
        <w:t>《</w:t>
      </w:r>
      <w:r>
        <w:rPr>
          <w:rFonts w:hint="eastAsia" w:ascii="方正仿宋_GB2312" w:hAnsi="方正仿宋_GB2312" w:eastAsia="方正仿宋_GB2312" w:cs="方正仿宋_GB2312"/>
          <w:b w:val="0"/>
          <w:bCs w:val="0"/>
          <w:color w:val="auto"/>
          <w:sz w:val="32"/>
          <w:szCs w:val="32"/>
          <w:u w:val="none" w:color="auto"/>
          <w:lang w:val="en-US" w:eastAsia="zh-CN"/>
        </w:rPr>
        <w:t>创新制剂与高端药用辅料研发生产基地二期项目</w:t>
      </w:r>
      <w:r>
        <w:rPr>
          <w:rFonts w:hint="eastAsia" w:ascii="方正仿宋_GB2312" w:hAnsi="方正仿宋_GB2312" w:eastAsia="方正仿宋_GB2312" w:cs="方正仿宋_GB2312"/>
          <w:color w:val="auto"/>
          <w:kern w:val="2"/>
          <w:sz w:val="32"/>
          <w:szCs w:val="32"/>
          <w:u w:val="none" w:color="auto"/>
          <w:lang w:eastAsia="zh-CN"/>
        </w:rPr>
        <w:t>环境影响报告表》（以下简称报告表）</w:t>
      </w:r>
      <w:r>
        <w:rPr>
          <w:rFonts w:hint="eastAsia" w:ascii="方正仿宋_GB2312" w:hAnsi="方正仿宋_GB2312" w:eastAsia="方正仿宋_GB2312" w:cs="方正仿宋_GB2312"/>
          <w:b w:val="0"/>
          <w:bCs w:val="0"/>
          <w:color w:val="auto"/>
          <w:spacing w:val="0"/>
          <w:w w:val="100"/>
          <w:kern w:val="2"/>
          <w:sz w:val="32"/>
          <w:szCs w:val="32"/>
          <w:highlight w:val="none"/>
          <w:u w:val="none" w:color="auto"/>
          <w:lang w:val="en-US" w:eastAsia="zh-CN" w:bidi="ar-SA"/>
        </w:rPr>
        <w:t>符合国家关于建设项目环境影响评价文件审批的有关规定。根据报告表分析结论、专家评审意见、</w:t>
      </w:r>
      <w:r>
        <w:rPr>
          <w:rFonts w:hint="eastAsia" w:ascii="方正仿宋_GB2312" w:hAnsi="方正仿宋_GB2312" w:eastAsia="方正仿宋_GB2312" w:cs="方正仿宋_GB2312"/>
          <w:color w:val="auto"/>
          <w:kern w:val="2"/>
          <w:sz w:val="32"/>
          <w:szCs w:val="32"/>
          <w:u w:val="none" w:color="auto"/>
          <w:lang w:val="en-US" w:eastAsia="zh-CN"/>
        </w:rPr>
        <w:t>岳阳市岳阳县生态环境事务中心《湖南派格兰药业有限公司创新制剂与高端药用辅料研发生产基地二期项目环境影响报告表技术评估报告》（岳县环事评估〔2025〕12号），</w:t>
      </w:r>
      <w:r>
        <w:rPr>
          <w:rFonts w:hint="eastAsia" w:ascii="方正仿宋_GB2312" w:hAnsi="方正仿宋_GB2312" w:eastAsia="方正仿宋_GB2312" w:cs="方正仿宋_GB2312"/>
          <w:b w:val="0"/>
          <w:bCs w:val="0"/>
          <w:color w:val="auto"/>
          <w:spacing w:val="0"/>
          <w:w w:val="100"/>
          <w:kern w:val="2"/>
          <w:sz w:val="32"/>
          <w:szCs w:val="32"/>
          <w:highlight w:val="none"/>
          <w:u w:val="none" w:color="auto"/>
          <w:lang w:val="en-US" w:eastAsia="zh-CN" w:bidi="ar-SA"/>
        </w:rPr>
        <w:t>本项目符合国家产业政策和相关选址要求。</w:t>
      </w:r>
      <w:r>
        <w:rPr>
          <w:rFonts w:hint="eastAsia" w:ascii="方正仿宋_GB2312" w:hAnsi="方正仿宋_GB2312" w:eastAsia="方正仿宋_GB2312" w:cs="方正仿宋_GB2312"/>
          <w:b w:val="0"/>
          <w:bCs w:val="0"/>
          <w:color w:val="auto"/>
          <w:spacing w:val="0"/>
          <w:w w:val="100"/>
          <w:sz w:val="32"/>
          <w:szCs w:val="32"/>
          <w:highlight w:val="none"/>
          <w:u w:val="none" w:color="auto"/>
        </w:rPr>
        <w:t>经研究，我局原则同意你</w:t>
      </w:r>
      <w:r>
        <w:rPr>
          <w:rFonts w:hint="eastAsia" w:ascii="方正仿宋_GB2312" w:hAnsi="方正仿宋_GB2312" w:eastAsia="方正仿宋_GB2312" w:cs="方正仿宋_GB2312"/>
          <w:b w:val="0"/>
          <w:bCs w:val="0"/>
          <w:color w:val="auto"/>
          <w:spacing w:val="0"/>
          <w:w w:val="100"/>
          <w:sz w:val="32"/>
          <w:szCs w:val="32"/>
          <w:highlight w:val="none"/>
          <w:u w:val="none" w:color="auto"/>
          <w:lang w:val="en-US" w:eastAsia="zh-CN"/>
        </w:rPr>
        <w:t>公司</w:t>
      </w:r>
      <w:r>
        <w:rPr>
          <w:rFonts w:hint="eastAsia" w:ascii="方正仿宋_GB2312" w:hAnsi="方正仿宋_GB2312" w:eastAsia="方正仿宋_GB2312" w:cs="方正仿宋_GB2312"/>
          <w:b w:val="0"/>
          <w:bCs w:val="0"/>
          <w:color w:val="auto"/>
          <w:spacing w:val="0"/>
          <w:w w:val="100"/>
          <w:sz w:val="32"/>
          <w:szCs w:val="32"/>
          <w:highlight w:val="none"/>
          <w:u w:val="none" w:color="auto"/>
        </w:rPr>
        <w:t>环境影响报告</w:t>
      </w:r>
      <w:r>
        <w:rPr>
          <w:rFonts w:hint="eastAsia" w:ascii="方正仿宋_GB2312" w:hAnsi="方正仿宋_GB2312" w:eastAsia="方正仿宋_GB2312" w:cs="方正仿宋_GB2312"/>
          <w:b w:val="0"/>
          <w:bCs w:val="0"/>
          <w:color w:val="auto"/>
          <w:spacing w:val="0"/>
          <w:w w:val="100"/>
          <w:sz w:val="32"/>
          <w:szCs w:val="32"/>
          <w:highlight w:val="none"/>
          <w:u w:val="none" w:color="auto"/>
          <w:lang w:val="en-US" w:eastAsia="zh-CN"/>
        </w:rPr>
        <w:t>表</w:t>
      </w:r>
      <w:r>
        <w:rPr>
          <w:rFonts w:hint="eastAsia" w:ascii="方正仿宋_GB2312" w:hAnsi="方正仿宋_GB2312" w:eastAsia="方正仿宋_GB2312" w:cs="方正仿宋_GB2312"/>
          <w:b w:val="0"/>
          <w:bCs w:val="0"/>
          <w:color w:val="auto"/>
          <w:spacing w:val="0"/>
          <w:w w:val="100"/>
          <w:sz w:val="32"/>
          <w:szCs w:val="32"/>
          <w:highlight w:val="none"/>
          <w:u w:val="none" w:color="auto"/>
        </w:rPr>
        <w:t>中所列建设内容的环境影响评价结论和环境保护对策措施。批复如下：</w:t>
      </w:r>
    </w:p>
    <w:p w14:paraId="36366F52">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方正仿宋_GB2312" w:hAnsi="方正仿宋_GB2312" w:eastAsia="方正仿宋_GB2312" w:cs="方正仿宋_GB2312"/>
          <w:color w:val="auto"/>
          <w:kern w:val="2"/>
          <w:sz w:val="32"/>
          <w:szCs w:val="32"/>
          <w:highlight w:val="none"/>
          <w:u w:val="none" w:color="auto"/>
          <w:lang w:val="en-US" w:eastAsia="zh-CN"/>
        </w:rPr>
      </w:pPr>
      <w:r>
        <w:rPr>
          <w:rFonts w:hint="eastAsia" w:ascii="方正仿宋_GB2312" w:hAnsi="方正仿宋_GB2312" w:eastAsia="方正仿宋_GB2312" w:cs="方正仿宋_GB2312"/>
          <w:color w:val="auto"/>
          <w:kern w:val="2"/>
          <w:sz w:val="32"/>
          <w:szCs w:val="32"/>
          <w:u w:val="none" w:color="auto"/>
          <w:lang w:val="en-US" w:eastAsia="zh-CN"/>
        </w:rPr>
        <w:t>一、湖南派格兰药业有限公司创新制剂与高端药用辅料研发生产基地二期项目位于</w:t>
      </w:r>
      <w:r>
        <w:rPr>
          <w:rFonts w:hint="eastAsia" w:ascii="方正仿宋_GB2312" w:hAnsi="方正仿宋_GB2312" w:eastAsia="方正仿宋_GB2312" w:cs="方正仿宋_GB2312"/>
          <w:b w:val="0"/>
          <w:bCs w:val="0"/>
          <w:color w:val="auto"/>
          <w:spacing w:val="0"/>
          <w:w w:val="100"/>
          <w:sz w:val="32"/>
          <w:szCs w:val="32"/>
          <w:highlight w:val="none"/>
          <w:u w:val="none" w:color="auto"/>
        </w:rPr>
        <w:t>岳阳高新技术产业园区金诚路10号</w:t>
      </w:r>
      <w:r>
        <w:rPr>
          <w:rFonts w:hint="eastAsia" w:ascii="方正仿宋_GB2312" w:hAnsi="方正仿宋_GB2312" w:eastAsia="方正仿宋_GB2312" w:cs="方正仿宋_GB2312"/>
          <w:b w:val="0"/>
          <w:bCs w:val="0"/>
          <w:color w:val="auto"/>
          <w:spacing w:val="0"/>
          <w:w w:val="100"/>
          <w:sz w:val="32"/>
          <w:szCs w:val="32"/>
          <w:highlight w:val="none"/>
          <w:u w:val="none" w:color="auto"/>
          <w:lang w:eastAsia="zh-CN"/>
        </w:rPr>
        <w:t>，</w:t>
      </w:r>
      <w:r>
        <w:rPr>
          <w:rFonts w:hint="eastAsia" w:ascii="方正仿宋_GB2312" w:hAnsi="方正仿宋_GB2312" w:eastAsia="方正仿宋_GB2312" w:cs="方正仿宋_GB2312"/>
          <w:b w:val="0"/>
          <w:bCs w:val="0"/>
          <w:color w:val="auto"/>
          <w:spacing w:val="0"/>
          <w:w w:val="100"/>
          <w:sz w:val="32"/>
          <w:szCs w:val="32"/>
          <w:highlight w:val="none"/>
          <w:u w:val="none" w:color="auto"/>
          <w:lang w:val="en-US" w:eastAsia="zh-CN"/>
        </w:rPr>
        <w:t>总</w:t>
      </w:r>
      <w:r>
        <w:rPr>
          <w:rFonts w:hint="eastAsia" w:ascii="方正仿宋_GB2312" w:hAnsi="方正仿宋_GB2312" w:eastAsia="方正仿宋_GB2312" w:cs="方正仿宋_GB2312"/>
          <w:b w:val="0"/>
          <w:bCs w:val="0"/>
          <w:color w:val="auto"/>
          <w:kern w:val="2"/>
          <w:sz w:val="32"/>
          <w:szCs w:val="32"/>
          <w:u w:val="none" w:color="auto"/>
          <w:lang w:val="en-US" w:eastAsia="zh-CN" w:bidi="ar-SA"/>
        </w:rPr>
        <w:t>投资16600万元（环保投资占76.1万元），本期建设利用现有规划用地，不新增用地。主要建设内容为：</w:t>
      </w:r>
      <w:r>
        <w:rPr>
          <w:rFonts w:hint="eastAsia" w:ascii="方正仿宋_GB2312" w:hAnsi="方正仿宋_GB2312" w:eastAsia="方正仿宋_GB2312" w:cs="方正仿宋_GB2312"/>
          <w:b w:val="0"/>
          <w:bCs w:val="0"/>
          <w:color w:val="auto"/>
          <w:kern w:val="2"/>
          <w:sz w:val="32"/>
          <w:szCs w:val="32"/>
          <w:u w:val="none" w:color="auto"/>
          <w:lang w:val="en-US" w:eastAsia="zh-CN"/>
        </w:rPr>
        <w:t>将辅料二车间三楼作为中药提取的中试生产线，另新增1栋中药前处理车间、2栋提取车间（醇提和水提工艺）、1栋员工宿舍以及酒精储罐区，其余均依托一期工程。二期新增产品为：</w:t>
      </w:r>
      <w:r>
        <w:rPr>
          <w:rFonts w:hint="eastAsia" w:ascii="方正仿宋_GB2312" w:hAnsi="方正仿宋_GB2312" w:eastAsia="方正仿宋_GB2312" w:cs="方正仿宋_GB2312"/>
          <w:b w:val="0"/>
          <w:bCs w:val="0"/>
          <w:color w:val="auto"/>
          <w:kern w:val="2"/>
          <w:sz w:val="32"/>
          <w:szCs w:val="32"/>
          <w:u w:val="none" w:color="auto"/>
          <w:lang w:val="en-US" w:eastAsia="zh-CN" w:bidi="ar-SA"/>
        </w:rPr>
        <w:t>6种小规格固体制剂、2种中药贴制剂、</w:t>
      </w:r>
      <w:bookmarkStart w:id="0" w:name="_GoBack"/>
      <w:bookmarkEnd w:id="0"/>
      <w:r>
        <w:rPr>
          <w:rFonts w:hint="eastAsia" w:ascii="方正仿宋_GB2312" w:hAnsi="方正仿宋_GB2312" w:eastAsia="方正仿宋_GB2312" w:cs="方正仿宋_GB2312"/>
          <w:b w:val="0"/>
          <w:bCs w:val="0"/>
          <w:color w:val="auto"/>
          <w:kern w:val="2"/>
          <w:sz w:val="32"/>
          <w:szCs w:val="32"/>
          <w:u w:val="none" w:color="auto"/>
          <w:lang w:val="en-US" w:eastAsia="zh-CN" w:bidi="ar-SA"/>
        </w:rPr>
        <w:t>22种药用辅料产品、3种中药提取产品（详见报告表）。</w:t>
      </w:r>
    </w:p>
    <w:p w14:paraId="2C64791B">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firstLine="640" w:firstLineChars="20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color w:val="auto"/>
          <w:kern w:val="2"/>
          <w:sz w:val="32"/>
          <w:szCs w:val="32"/>
          <w:u w:val="none" w:color="auto"/>
          <w:lang w:val="en-US" w:eastAsia="zh-CN"/>
        </w:rPr>
        <w:t>二、</w:t>
      </w:r>
      <w:r>
        <w:rPr>
          <w:rFonts w:hint="eastAsia" w:ascii="方正仿宋_GB2312" w:hAnsi="方正仿宋_GB2312" w:eastAsia="方正仿宋_GB2312" w:cs="方正仿宋_GB2312"/>
          <w:color w:val="auto"/>
          <w:kern w:val="2"/>
          <w:sz w:val="32"/>
          <w:szCs w:val="32"/>
          <w:u w:val="none" w:color="auto"/>
          <w:lang w:eastAsia="zh-CN"/>
        </w:rPr>
        <w:t>在工程建设和运营过程中，你公司须落实《报告</w:t>
      </w:r>
      <w:r>
        <w:rPr>
          <w:rFonts w:hint="eastAsia" w:ascii="方正仿宋_GB2312" w:hAnsi="方正仿宋_GB2312" w:eastAsia="方正仿宋_GB2312" w:cs="方正仿宋_GB2312"/>
          <w:color w:val="auto"/>
          <w:kern w:val="2"/>
          <w:sz w:val="32"/>
          <w:szCs w:val="32"/>
          <w:u w:val="none" w:color="auto"/>
          <w:lang w:val="en-US" w:eastAsia="zh-CN"/>
        </w:rPr>
        <w:t>表</w:t>
      </w:r>
      <w:r>
        <w:rPr>
          <w:rFonts w:hint="eastAsia" w:ascii="方正仿宋_GB2312" w:hAnsi="方正仿宋_GB2312" w:eastAsia="方正仿宋_GB2312" w:cs="方正仿宋_GB2312"/>
          <w:color w:val="auto"/>
          <w:kern w:val="2"/>
          <w:sz w:val="32"/>
          <w:szCs w:val="32"/>
          <w:u w:val="none" w:color="auto"/>
          <w:lang w:eastAsia="zh-CN"/>
        </w:rPr>
        <w:t>》中提出的各项生态环境保护措施，并在项目运营中重点落实以下要求：</w:t>
      </w:r>
    </w:p>
    <w:p w14:paraId="2B47937A">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left="0" w:leftChars="0" w:firstLine="643" w:firstLineChars="200"/>
        <w:jc w:val="both"/>
        <w:textAlignment w:val="baseline"/>
        <w:outlineLvl w:val="9"/>
        <w:rPr>
          <w:rFonts w:hint="eastAsia" w:ascii="方正仿宋_GB2312" w:hAnsi="方正仿宋_GB2312" w:eastAsia="方正仿宋_GB2312" w:cs="方正仿宋_GB2312"/>
          <w:color w:val="auto"/>
          <w:sz w:val="32"/>
          <w:szCs w:val="32"/>
          <w:u w:val="none" w:color="auto"/>
          <w:lang w:val="en-US" w:eastAsia="zh-CN"/>
        </w:rPr>
      </w:pPr>
      <w:r>
        <w:rPr>
          <w:rFonts w:hint="eastAsia" w:ascii="方正仿宋_GB2312" w:hAnsi="方正仿宋_GB2312" w:eastAsia="方正仿宋_GB2312" w:cs="方正仿宋_GB2312"/>
          <w:b/>
          <w:bCs/>
          <w:color w:val="auto"/>
          <w:kern w:val="2"/>
          <w:sz w:val="32"/>
          <w:szCs w:val="32"/>
          <w:u w:val="none" w:color="auto"/>
          <w:lang w:val="en-US" w:eastAsia="zh-CN"/>
        </w:rPr>
        <w:t>1.落实大气污染防治措施。</w:t>
      </w:r>
      <w:r>
        <w:rPr>
          <w:rFonts w:hint="eastAsia" w:ascii="方正仿宋_GB2312" w:hAnsi="方正仿宋_GB2312" w:eastAsia="方正仿宋_GB2312" w:cs="方正仿宋_GB2312"/>
          <w:color w:val="auto"/>
          <w:sz w:val="32"/>
          <w:szCs w:val="32"/>
          <w:u w:val="none" w:color="auto"/>
          <w:lang w:val="en-US" w:eastAsia="zh-CN"/>
        </w:rPr>
        <w:t>项目</w:t>
      </w:r>
      <w:r>
        <w:rPr>
          <w:rFonts w:hint="eastAsia" w:ascii="方正仿宋_GB2312" w:hAnsi="方正仿宋_GB2312" w:eastAsia="方正仿宋_GB2312" w:cs="方正仿宋_GB2312"/>
          <w:sz w:val="32"/>
          <w:szCs w:val="32"/>
          <w:lang w:val="en-US" w:eastAsia="zh-CN"/>
        </w:rPr>
        <w:t>1#辅料车间（薄荷醇和薄荷素生产车间）为GMP洁净车间，无废气产生；</w:t>
      </w:r>
      <w:r>
        <w:rPr>
          <w:rFonts w:hint="eastAsia" w:ascii="方正仿宋_GB2312" w:hAnsi="方正仿宋_GB2312" w:eastAsia="方正仿宋_GB2312" w:cs="方正仿宋_GB2312"/>
          <w:color w:val="auto"/>
          <w:sz w:val="32"/>
          <w:szCs w:val="32"/>
          <w:u w:val="none" w:color="auto"/>
          <w:lang w:val="en-US" w:eastAsia="zh-CN"/>
        </w:rPr>
        <w:t>2#辅料车间各生产线产生的废气，</w:t>
      </w:r>
      <w:r>
        <w:rPr>
          <w:rFonts w:hint="eastAsia" w:ascii="方正仿宋_GB2312" w:hAnsi="方正仿宋_GB2312" w:eastAsia="方正仿宋_GB2312" w:cs="方正仿宋_GB2312"/>
          <w:color w:val="auto"/>
          <w:sz w:val="32"/>
          <w:szCs w:val="32"/>
        </w:rPr>
        <w:t>通过收集系统引入一套</w:t>
      </w:r>
      <w:r>
        <w:rPr>
          <w:rFonts w:hint="eastAsia" w:ascii="方正仿宋_GB2312" w:hAnsi="方正仿宋_GB2312" w:eastAsia="方正仿宋_GB2312" w:cs="方正仿宋_GB2312"/>
          <w:color w:val="auto"/>
          <w:sz w:val="32"/>
          <w:szCs w:val="32"/>
          <w:u w:val="none" w:color="auto"/>
          <w:lang w:val="en-US" w:eastAsia="zh-CN"/>
        </w:rPr>
        <w:t>“水喷淋+除雾+活性炭吸附”处理设施处理达标后通过排气筒（DA001，高度为30m）排放。危废间产生的挥发性有机废气经集气系统引入一套活性炭吸附装置处理达标后通过排气筒（DA003，高度为15m）排放。分析室布置废气收集系统及废气收集管道，产生的挥发性有机废气经收集后，采用一套“水喷淋+除雾+活性炭吸附”装置（依托一期）处理达标后通过排气筒（DA008，高度为30m）排放。前处理车间（中药饮片生产线）粉碎、粗碎工序产生含尘废气通过集气系统收集，采用水膜除尘装置处理达标后通过排气筒（DA009，高度为30m）排放。DA001、DA003、DA008、DA009排气筒排放的废气均执行《制药工业大气污染物排放标准》（GB37823-2019）表1（发酵尾气及其他制药工艺废气）标准。</w:t>
      </w:r>
    </w:p>
    <w:p w14:paraId="01B0C752">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left="0" w:leftChars="0" w:firstLine="640" w:firstLineChars="200"/>
        <w:jc w:val="both"/>
        <w:textAlignment w:val="baseline"/>
        <w:outlineLvl w:val="9"/>
        <w:rPr>
          <w:rFonts w:hint="eastAsia" w:ascii="方正仿宋_GB2312" w:hAnsi="方正仿宋_GB2312" w:eastAsia="方正仿宋_GB2312" w:cs="方正仿宋_GB2312"/>
          <w:color w:val="auto"/>
          <w:sz w:val="32"/>
          <w:szCs w:val="32"/>
          <w:u w:val="none" w:color="auto"/>
          <w:lang w:val="en-US" w:eastAsia="zh-CN"/>
        </w:rPr>
      </w:pPr>
      <w:r>
        <w:rPr>
          <w:rFonts w:hint="eastAsia" w:ascii="方正仿宋_GB2312" w:hAnsi="方正仿宋_GB2312" w:eastAsia="方正仿宋_GB2312" w:cs="方正仿宋_GB2312"/>
          <w:color w:val="auto"/>
          <w:sz w:val="32"/>
          <w:szCs w:val="32"/>
          <w:u w:val="none" w:color="auto"/>
          <w:lang w:val="en-US" w:eastAsia="zh-CN"/>
        </w:rPr>
        <w:t>污水处理站产生的有机废气、H</w:t>
      </w:r>
      <w:r>
        <w:rPr>
          <w:rFonts w:hint="eastAsia" w:ascii="方正仿宋_GB2312" w:hAnsi="方正仿宋_GB2312" w:eastAsia="方正仿宋_GB2312" w:cs="方正仿宋_GB2312"/>
          <w:color w:val="auto"/>
          <w:sz w:val="32"/>
          <w:szCs w:val="32"/>
          <w:u w:val="none" w:color="auto"/>
          <w:vertAlign w:val="subscript"/>
          <w:lang w:val="en-US" w:eastAsia="zh-CN"/>
        </w:rPr>
        <w:t>2</w:t>
      </w:r>
      <w:r>
        <w:rPr>
          <w:rFonts w:hint="eastAsia" w:ascii="方正仿宋_GB2312" w:hAnsi="方正仿宋_GB2312" w:eastAsia="方正仿宋_GB2312" w:cs="方正仿宋_GB2312"/>
          <w:color w:val="auto"/>
          <w:sz w:val="32"/>
          <w:szCs w:val="32"/>
          <w:u w:val="none" w:color="auto"/>
          <w:lang w:val="en-US" w:eastAsia="zh-CN"/>
        </w:rPr>
        <w:t>S和氨经集气系统收集后，采用一套“水洗+碱洗+UV光解+活性炭吸附”处理设施（依托一期）处理后通过排气筒（DA002，高度为15m）排放，废气执行《制药工业大气污染物排放标准》（GB37823-2019）表1（污水处理站废气）标准。</w:t>
      </w:r>
    </w:p>
    <w:p w14:paraId="31F4E68C">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left="0" w:leftChars="0" w:firstLine="640" w:firstLineChars="200"/>
        <w:jc w:val="both"/>
        <w:textAlignment w:val="baseline"/>
        <w:outlineLvl w:val="9"/>
        <w:rPr>
          <w:rFonts w:hint="eastAsia" w:ascii="方正仿宋_GB2312" w:hAnsi="方正仿宋_GB2312" w:eastAsia="方正仿宋_GB2312" w:cs="方正仿宋_GB2312"/>
          <w:color w:val="auto"/>
          <w:sz w:val="32"/>
          <w:szCs w:val="32"/>
          <w:highlight w:val="none"/>
          <w:u w:val="none" w:color="auto"/>
          <w:lang w:val="en-US" w:eastAsia="zh-CN"/>
        </w:rPr>
      </w:pPr>
      <w:r>
        <w:rPr>
          <w:rFonts w:hint="eastAsia" w:ascii="方正仿宋_GB2312" w:hAnsi="方正仿宋_GB2312" w:eastAsia="方正仿宋_GB2312" w:cs="方正仿宋_GB2312"/>
          <w:color w:val="auto"/>
          <w:sz w:val="32"/>
          <w:szCs w:val="32"/>
          <w:highlight w:val="none"/>
          <w:u w:val="none" w:color="auto"/>
          <w:lang w:val="en-US" w:eastAsia="zh-CN"/>
        </w:rPr>
        <w:t>1#和2#提取车间产生的废气（主要为乙醇和恶臭气体）分别经独自收集系统和“水喷淋”装置处理达标后通过排气筒（DA010、DA011，高度均为30m）排放，乙醇排放限值执行《制药工业大气污染物排放标准》（GB37823-2019）表1（发酵尾气及其他制药工艺废气）标准，臭气排放限值执行《恶臭污染物排放标准》（GB14554-93）标准。</w:t>
      </w:r>
    </w:p>
    <w:p w14:paraId="2D70DFDB">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left="0" w:leftChars="0" w:firstLine="640" w:firstLineChars="200"/>
        <w:jc w:val="both"/>
        <w:textAlignment w:val="baseline"/>
        <w:outlineLvl w:val="9"/>
        <w:rPr>
          <w:rFonts w:hint="eastAsia" w:ascii="方正仿宋_GB2312" w:hAnsi="方正仿宋_GB2312" w:eastAsia="方正仿宋_GB2312" w:cs="方正仿宋_GB2312"/>
          <w:color w:val="auto"/>
          <w:sz w:val="32"/>
          <w:szCs w:val="32"/>
          <w:u w:val="none" w:color="auto"/>
          <w:lang w:val="en-US" w:eastAsia="zh-CN"/>
        </w:rPr>
      </w:pPr>
      <w:r>
        <w:rPr>
          <w:rFonts w:hint="eastAsia" w:ascii="方正仿宋_GB2312" w:hAnsi="方正仿宋_GB2312" w:eastAsia="方正仿宋_GB2312" w:cs="方正仿宋_GB2312"/>
          <w:bCs/>
          <w:color w:val="auto"/>
          <w:sz w:val="32"/>
          <w:szCs w:val="32"/>
          <w:lang w:val="en-US" w:eastAsia="zh-CN"/>
        </w:rPr>
        <w:t>加强无组织废气污染防治，使用清洁型原辅材料。厂区内NMHC执行《制药工业大气污染物排放标准》（GB37823-2019）表C.1厂区内VOCs无组织排放限值；厂界无组织排放的挥发性有机废气、颗粒物参照执行《石油化学工业污染物排放标准》（GB31571-2015）表7企业边界大气污染物浓度限值；无组织排放的H</w:t>
      </w:r>
      <w:r>
        <w:rPr>
          <w:rFonts w:hint="eastAsia" w:ascii="方正仿宋_GB2312" w:hAnsi="方正仿宋_GB2312" w:eastAsia="方正仿宋_GB2312" w:cs="方正仿宋_GB2312"/>
          <w:bCs/>
          <w:color w:val="auto"/>
          <w:sz w:val="32"/>
          <w:szCs w:val="32"/>
          <w:vertAlign w:val="subscript"/>
          <w:lang w:val="en-US" w:eastAsia="zh-CN"/>
        </w:rPr>
        <w:t>2</w:t>
      </w:r>
      <w:r>
        <w:rPr>
          <w:rFonts w:hint="eastAsia" w:ascii="方正仿宋_GB2312" w:hAnsi="方正仿宋_GB2312" w:eastAsia="方正仿宋_GB2312" w:cs="方正仿宋_GB2312"/>
          <w:bCs/>
          <w:color w:val="auto"/>
          <w:sz w:val="32"/>
          <w:szCs w:val="32"/>
          <w:lang w:val="en-US" w:eastAsia="zh-CN"/>
        </w:rPr>
        <w:t>S、氨、臭气浓度执行《恶臭污染物排放标准》（GB14554-93）中表1恶臭污染物厂界标准值；无组织排放的氯化氢执行《制药工业大气污染物排放标准》（GB37823-2019）表4企业边界大气污染物浓度限值。</w:t>
      </w:r>
    </w:p>
    <w:p w14:paraId="0FC1CA0D">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0" w:leftChars="0" w:firstLine="643" w:firstLineChars="200"/>
        <w:jc w:val="both"/>
        <w:textAlignment w:val="auto"/>
        <w:outlineLvl w:val="9"/>
        <w:rPr>
          <w:rFonts w:hint="eastAsia" w:ascii="方正仿宋_GB2312" w:hAnsi="方正仿宋_GB2312" w:eastAsia="方正仿宋_GB2312" w:cs="方正仿宋_GB2312"/>
          <w:b w:val="0"/>
          <w:bCs w:val="0"/>
          <w:color w:val="auto"/>
          <w:kern w:val="2"/>
          <w:sz w:val="32"/>
          <w:szCs w:val="32"/>
          <w:u w:val="none" w:color="auto"/>
          <w:lang w:val="en-US" w:eastAsia="zh-CN"/>
        </w:rPr>
      </w:pPr>
      <w:r>
        <w:rPr>
          <w:rFonts w:hint="eastAsia" w:ascii="方正仿宋_GB2312" w:hAnsi="方正仿宋_GB2312" w:eastAsia="方正仿宋_GB2312" w:cs="方正仿宋_GB2312"/>
          <w:b/>
          <w:bCs/>
          <w:color w:val="auto"/>
          <w:kern w:val="2"/>
          <w:sz w:val="32"/>
          <w:szCs w:val="32"/>
          <w:u w:val="none" w:color="auto"/>
          <w:lang w:val="en-US" w:eastAsia="zh-CN"/>
        </w:rPr>
        <w:t>2.落实废水污染防治措施。</w:t>
      </w:r>
      <w:r>
        <w:rPr>
          <w:rFonts w:hint="eastAsia" w:ascii="方正仿宋_GB2312" w:hAnsi="方正仿宋_GB2312" w:eastAsia="方正仿宋_GB2312" w:cs="方正仿宋_GB2312"/>
          <w:b w:val="0"/>
          <w:bCs w:val="0"/>
          <w:color w:val="auto"/>
          <w:kern w:val="2"/>
          <w:sz w:val="32"/>
          <w:szCs w:val="32"/>
          <w:u w:val="none" w:color="auto"/>
          <w:lang w:val="en-US" w:eastAsia="zh-CN"/>
        </w:rPr>
        <w:t>按照“清污分流、雨污分流”原则，设计、建设、完善给排水系统。生产工艺、设备清洗、废气处理等产生的高浓度废水，经厂区内废水处理系统的前半段“高级催化氧化+气浮+水解酸化+厌氧”（废水处理能力为600t/d）预处理后与其他废水一起进入废水处理系统的后半段“两级AO+混凝沉淀+好氧生化处理”（废水处理能力为1200t/d）系统处理</w:t>
      </w:r>
      <w:r>
        <w:rPr>
          <w:rFonts w:hint="eastAsia" w:ascii="方正仿宋_GB2312" w:hAnsi="方正仿宋_GB2312" w:eastAsia="方正仿宋_GB2312" w:cs="方正仿宋_GB2312"/>
          <w:sz w:val="32"/>
          <w:szCs w:val="32"/>
          <w:lang w:eastAsia="zh-CN"/>
        </w:rPr>
        <w:t>达园区</w:t>
      </w:r>
      <w:r>
        <w:rPr>
          <w:rFonts w:hint="eastAsia" w:ascii="方正仿宋_GB2312" w:hAnsi="方正仿宋_GB2312" w:eastAsia="方正仿宋_GB2312" w:cs="方正仿宋_GB2312"/>
          <w:sz w:val="32"/>
          <w:szCs w:val="32"/>
        </w:rPr>
        <w:t>污水处理厂进水水质标准后</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排入</w:t>
      </w:r>
      <w:r>
        <w:rPr>
          <w:rFonts w:hint="eastAsia" w:ascii="方正仿宋_GB2312" w:hAnsi="方正仿宋_GB2312" w:eastAsia="方正仿宋_GB2312" w:cs="方正仿宋_GB2312"/>
          <w:sz w:val="32"/>
          <w:szCs w:val="32"/>
          <w:lang w:eastAsia="zh-CN"/>
        </w:rPr>
        <w:t>园区</w:t>
      </w:r>
      <w:r>
        <w:rPr>
          <w:rFonts w:hint="eastAsia" w:ascii="方正仿宋_GB2312" w:hAnsi="方正仿宋_GB2312" w:eastAsia="方正仿宋_GB2312" w:cs="方正仿宋_GB2312"/>
          <w:sz w:val="32"/>
          <w:szCs w:val="32"/>
        </w:rPr>
        <w:t>污水管网，进入岳阳高新技术产业园区污水处理厂进一步处理</w:t>
      </w:r>
      <w:r>
        <w:rPr>
          <w:rFonts w:hint="eastAsia" w:ascii="方正仿宋_GB2312" w:hAnsi="方正仿宋_GB2312" w:eastAsia="方正仿宋_GB2312" w:cs="方正仿宋_GB2312"/>
          <w:sz w:val="32"/>
          <w:szCs w:val="32"/>
          <w:lang w:eastAsia="zh-CN"/>
        </w:rPr>
        <w:t>。</w:t>
      </w:r>
    </w:p>
    <w:p w14:paraId="7007F5AA">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0" w:leftChars="0" w:firstLine="643" w:firstLineChars="20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b/>
          <w:bCs/>
          <w:color w:val="auto"/>
          <w:kern w:val="2"/>
          <w:sz w:val="32"/>
          <w:szCs w:val="32"/>
          <w:u w:val="none" w:color="auto"/>
          <w:lang w:val="en-US" w:eastAsia="zh-CN"/>
        </w:rPr>
        <w:t>3.</w:t>
      </w:r>
      <w:r>
        <w:rPr>
          <w:rFonts w:hint="eastAsia" w:ascii="方正仿宋_GB2312" w:hAnsi="方正仿宋_GB2312" w:eastAsia="方正仿宋_GB2312" w:cs="方正仿宋_GB2312"/>
          <w:b/>
          <w:bCs/>
          <w:color w:val="auto"/>
          <w:kern w:val="2"/>
          <w:sz w:val="32"/>
          <w:szCs w:val="32"/>
          <w:u w:val="none" w:color="auto"/>
          <w:lang w:eastAsia="zh-CN"/>
        </w:rPr>
        <w:t>落实噪声污染防治措施。</w:t>
      </w:r>
      <w:r>
        <w:rPr>
          <w:rFonts w:hint="eastAsia" w:ascii="方正仿宋_GB2312" w:hAnsi="方正仿宋_GB2312" w:eastAsia="方正仿宋_GB2312" w:cs="方正仿宋_GB2312"/>
          <w:color w:val="auto"/>
          <w:kern w:val="2"/>
          <w:sz w:val="32"/>
          <w:szCs w:val="32"/>
          <w:u w:val="none" w:color="auto"/>
          <w:lang w:eastAsia="zh-CN"/>
        </w:rPr>
        <w:t>优化平面布局，优先选择低噪声设备和工艺，采取减振、隔声、消声等措施有效控制噪声污染，加强厂区内固定设备、运输工具、货物装卸等噪声源管理，同时避免突发噪声扰民。</w:t>
      </w:r>
      <w:r>
        <w:rPr>
          <w:rFonts w:hint="eastAsia" w:ascii="方正仿宋_GB2312" w:hAnsi="方正仿宋_GB2312" w:eastAsia="方正仿宋_GB2312" w:cs="方正仿宋_GB2312"/>
          <w:color w:val="auto"/>
          <w:sz w:val="32"/>
          <w:szCs w:val="32"/>
          <w:u w:val="none" w:color="auto"/>
          <w:lang w:val="en-US" w:eastAsia="zh-CN"/>
        </w:rPr>
        <w:t>厂界噪声</w:t>
      </w:r>
      <w:r>
        <w:rPr>
          <w:rFonts w:hint="eastAsia" w:ascii="方正仿宋_GB2312" w:hAnsi="方正仿宋_GB2312" w:eastAsia="方正仿宋_GB2312" w:cs="方正仿宋_GB2312"/>
          <w:color w:val="auto"/>
          <w:sz w:val="32"/>
          <w:szCs w:val="32"/>
          <w:u w:val="none" w:color="auto"/>
          <w:lang w:eastAsia="zh-CN"/>
        </w:rPr>
        <w:t>执行《工业企业厂界环境噪声排放标准》（GB12348-2008）中的</w:t>
      </w:r>
      <w:r>
        <w:rPr>
          <w:rFonts w:hint="eastAsia" w:ascii="方正仿宋_GB2312" w:hAnsi="方正仿宋_GB2312" w:eastAsia="方正仿宋_GB2312" w:cs="方正仿宋_GB2312"/>
          <w:color w:val="auto"/>
          <w:sz w:val="32"/>
          <w:szCs w:val="32"/>
          <w:u w:val="none" w:color="auto"/>
          <w:lang w:val="en-US" w:eastAsia="zh-CN"/>
        </w:rPr>
        <w:t>3</w:t>
      </w:r>
      <w:r>
        <w:rPr>
          <w:rFonts w:hint="eastAsia" w:ascii="方正仿宋_GB2312" w:hAnsi="方正仿宋_GB2312" w:eastAsia="方正仿宋_GB2312" w:cs="方正仿宋_GB2312"/>
          <w:color w:val="auto"/>
          <w:sz w:val="32"/>
          <w:szCs w:val="32"/>
          <w:u w:val="none" w:color="auto"/>
          <w:lang w:eastAsia="zh-CN"/>
        </w:rPr>
        <w:t>类标准</w:t>
      </w:r>
      <w:r>
        <w:rPr>
          <w:rFonts w:hint="eastAsia" w:ascii="方正仿宋_GB2312" w:hAnsi="方正仿宋_GB2312" w:eastAsia="方正仿宋_GB2312" w:cs="方正仿宋_GB2312"/>
          <w:color w:val="auto"/>
          <w:kern w:val="2"/>
          <w:sz w:val="32"/>
          <w:szCs w:val="32"/>
          <w:u w:val="none" w:color="auto"/>
          <w:lang w:eastAsia="zh-CN"/>
        </w:rPr>
        <w:t>。</w:t>
      </w:r>
    </w:p>
    <w:p w14:paraId="0F24EDD1">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0" w:leftChars="0" w:firstLine="643" w:firstLineChars="20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b/>
          <w:bCs/>
          <w:color w:val="auto"/>
          <w:kern w:val="2"/>
          <w:sz w:val="32"/>
          <w:szCs w:val="32"/>
          <w:u w:val="none" w:color="auto"/>
          <w:lang w:val="en-US" w:eastAsia="zh-CN"/>
        </w:rPr>
        <w:t>4.</w:t>
      </w:r>
      <w:r>
        <w:rPr>
          <w:rFonts w:hint="eastAsia" w:ascii="方正仿宋_GB2312" w:hAnsi="方正仿宋_GB2312" w:eastAsia="方正仿宋_GB2312" w:cs="方正仿宋_GB2312"/>
          <w:b/>
          <w:bCs/>
          <w:color w:val="auto"/>
          <w:kern w:val="2"/>
          <w:sz w:val="32"/>
          <w:szCs w:val="32"/>
          <w:u w:val="none" w:color="auto"/>
          <w:lang w:eastAsia="zh-CN"/>
        </w:rPr>
        <w:t>落实固体废物管理措施。</w:t>
      </w:r>
      <w:r>
        <w:rPr>
          <w:rFonts w:hint="eastAsia" w:ascii="方正仿宋_GB2312" w:hAnsi="方正仿宋_GB2312" w:eastAsia="方正仿宋_GB2312" w:cs="方正仿宋_GB2312"/>
          <w:color w:val="auto"/>
          <w:kern w:val="2"/>
          <w:sz w:val="32"/>
          <w:szCs w:val="32"/>
          <w:u w:val="none" w:color="auto"/>
          <w:lang w:eastAsia="zh-CN"/>
        </w:rPr>
        <w:t>按照“减量化、资源化、无害化”原则，对固体废物进行分类收集、处理和处置，并建立健全固体废物管理台账。</w:t>
      </w:r>
      <w:r>
        <w:rPr>
          <w:rFonts w:hint="eastAsia" w:ascii="方正仿宋_GB2312" w:hAnsi="方正仿宋_GB2312" w:eastAsia="方正仿宋_GB2312" w:cs="方正仿宋_GB2312"/>
          <w:color w:val="auto"/>
          <w:sz w:val="32"/>
          <w:szCs w:val="32"/>
          <w:u w:val="none" w:color="auto"/>
          <w:lang w:val="en-US" w:eastAsia="zh-CN"/>
        </w:rPr>
        <w:t>生活垃圾</w:t>
      </w:r>
      <w:r>
        <w:rPr>
          <w:rFonts w:hint="eastAsia" w:ascii="方正仿宋_GB2312" w:hAnsi="方正仿宋_GB2312" w:eastAsia="方正仿宋_GB2312" w:cs="方正仿宋_GB2312"/>
          <w:color w:val="auto"/>
          <w:sz w:val="32"/>
          <w:szCs w:val="32"/>
          <w:u w:val="none" w:color="auto"/>
        </w:rPr>
        <w:t>交由环卫部门处理</w:t>
      </w:r>
      <w:r>
        <w:rPr>
          <w:rFonts w:hint="eastAsia" w:ascii="方正仿宋_GB2312" w:hAnsi="方正仿宋_GB2312" w:eastAsia="方正仿宋_GB2312" w:cs="方正仿宋_GB2312"/>
          <w:color w:val="auto"/>
          <w:sz w:val="32"/>
          <w:szCs w:val="32"/>
          <w:u w:val="none" w:color="auto"/>
          <w:lang w:eastAsia="zh-CN"/>
        </w:rPr>
        <w:t>。</w:t>
      </w:r>
      <w:r>
        <w:rPr>
          <w:rFonts w:hint="eastAsia" w:ascii="方正仿宋_GB2312" w:hAnsi="方正仿宋_GB2312" w:eastAsia="方正仿宋_GB2312" w:cs="方正仿宋_GB2312"/>
          <w:color w:val="auto"/>
          <w:sz w:val="32"/>
          <w:szCs w:val="32"/>
          <w:u w:val="none" w:color="auto"/>
          <w:lang w:val="en-US" w:eastAsia="zh-CN"/>
        </w:rPr>
        <w:t>废中药药渣、废薄荷药渣、废弃中药原药材渣及除尘渣收集暂存后外售用作肥料，RO膜由厂家回收，并</w:t>
      </w:r>
      <w:r>
        <w:rPr>
          <w:rFonts w:hint="eastAsia" w:ascii="方正仿宋_GB2312" w:hAnsi="方正仿宋_GB2312" w:eastAsia="方正仿宋_GB2312" w:cs="方正仿宋_GB2312"/>
          <w:bCs/>
          <w:color w:val="auto"/>
          <w:sz w:val="32"/>
          <w:szCs w:val="32"/>
          <w:lang w:val="en-US" w:eastAsia="zh-CN"/>
        </w:rPr>
        <w:t>按照《一般工业固体废物贮存和填埋污染控制标准》（GB18599-2020）要求设置一般工业固体废物暂存场所。废包装材料、废边角料、废滤芯、废溶剂、废水处理站污泥、废活性炭、废UV灯管</w:t>
      </w:r>
      <w:r>
        <w:rPr>
          <w:rFonts w:hint="eastAsia" w:ascii="方正仿宋_GB2312" w:hAnsi="方正仿宋_GB2312" w:eastAsia="方正仿宋_GB2312" w:cs="方正仿宋_GB2312"/>
          <w:color w:val="auto"/>
          <w:sz w:val="32"/>
          <w:szCs w:val="32"/>
          <w:u w:val="none" w:color="auto"/>
          <w:lang w:val="en-US" w:eastAsia="zh-CN"/>
        </w:rPr>
        <w:t>等危险废物</w:t>
      </w:r>
      <w:r>
        <w:rPr>
          <w:rFonts w:hint="eastAsia" w:ascii="方正仿宋_GB2312" w:hAnsi="方正仿宋_GB2312" w:eastAsia="方正仿宋_GB2312" w:cs="方正仿宋_GB2312"/>
          <w:bCs/>
          <w:color w:val="auto"/>
          <w:sz w:val="32"/>
          <w:szCs w:val="32"/>
          <w:lang w:val="en-US" w:eastAsia="zh-CN"/>
        </w:rPr>
        <w:t>严格按照《危险废物贮存污染控制标准》（GB18597-2023）要求</w:t>
      </w:r>
      <w:r>
        <w:rPr>
          <w:rFonts w:hint="eastAsia" w:ascii="方正仿宋_GB2312" w:hAnsi="方正仿宋_GB2312" w:eastAsia="方正仿宋_GB2312" w:cs="方正仿宋_GB2312"/>
          <w:color w:val="auto"/>
          <w:sz w:val="32"/>
          <w:szCs w:val="32"/>
          <w:u w:val="none" w:color="auto"/>
          <w:lang w:val="en-US" w:eastAsia="zh-CN"/>
        </w:rPr>
        <w:t>暂存危废暂存间，定期委托有资质的单位</w:t>
      </w:r>
      <w:r>
        <w:rPr>
          <w:rFonts w:hint="eastAsia" w:ascii="方正仿宋_GB2312" w:hAnsi="方正仿宋_GB2312" w:eastAsia="方正仿宋_GB2312" w:cs="方正仿宋_GB2312"/>
          <w:color w:val="auto"/>
          <w:sz w:val="32"/>
          <w:szCs w:val="32"/>
          <w:u w:val="none" w:color="auto"/>
        </w:rPr>
        <w:t>处理</w:t>
      </w:r>
      <w:r>
        <w:rPr>
          <w:rFonts w:hint="eastAsia" w:ascii="方正仿宋_GB2312" w:hAnsi="方正仿宋_GB2312" w:eastAsia="方正仿宋_GB2312" w:cs="方正仿宋_GB2312"/>
          <w:color w:val="auto"/>
          <w:sz w:val="32"/>
          <w:szCs w:val="32"/>
          <w:u w:val="none" w:color="auto"/>
          <w:lang w:eastAsia="zh-CN"/>
        </w:rPr>
        <w:t>。</w:t>
      </w:r>
    </w:p>
    <w:p w14:paraId="4E3AB0C5">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0" w:leftChars="0" w:firstLine="643" w:firstLineChars="20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b/>
          <w:bCs/>
          <w:color w:val="auto"/>
          <w:kern w:val="2"/>
          <w:sz w:val="32"/>
          <w:szCs w:val="32"/>
          <w:u w:val="none" w:color="auto"/>
          <w:lang w:val="en-US" w:eastAsia="zh-CN"/>
        </w:rPr>
        <w:t>5.</w:t>
      </w:r>
      <w:r>
        <w:rPr>
          <w:rFonts w:hint="eastAsia" w:ascii="方正仿宋_GB2312" w:hAnsi="方正仿宋_GB2312" w:eastAsia="方正仿宋_GB2312" w:cs="方正仿宋_GB2312"/>
          <w:b/>
          <w:bCs/>
          <w:color w:val="auto"/>
          <w:sz w:val="32"/>
          <w:szCs w:val="32"/>
          <w:lang w:val="en-US" w:eastAsia="zh-CN"/>
        </w:rPr>
        <w:t>落实环境风险防范措施</w:t>
      </w:r>
      <w:r>
        <w:rPr>
          <w:rFonts w:hint="eastAsia" w:ascii="方正仿宋_GB2312" w:hAnsi="方正仿宋_GB2312" w:eastAsia="方正仿宋_GB2312" w:cs="方正仿宋_GB2312"/>
          <w:b/>
          <w:bCs/>
          <w:color w:val="auto"/>
          <w:kern w:val="2"/>
          <w:sz w:val="32"/>
          <w:szCs w:val="32"/>
          <w:u w:val="none" w:color="auto"/>
          <w:lang w:eastAsia="zh-CN"/>
        </w:rPr>
        <w:t>。</w:t>
      </w:r>
      <w:r>
        <w:rPr>
          <w:rFonts w:hint="eastAsia" w:ascii="方正仿宋_GB2312" w:hAnsi="方正仿宋_GB2312" w:eastAsia="方正仿宋_GB2312" w:cs="方正仿宋_GB2312"/>
          <w:color w:val="auto"/>
          <w:kern w:val="2"/>
          <w:sz w:val="32"/>
          <w:szCs w:val="32"/>
          <w:u w:val="none" w:color="auto"/>
          <w:lang w:eastAsia="zh-CN"/>
        </w:rPr>
        <w:t>严格落实事故防范和应急措施并加强管理，加强各类生产设备的检修、保养及人员培训，储备相关应急物资并组织应急演练，</w:t>
      </w:r>
      <w:r>
        <w:rPr>
          <w:rFonts w:hint="eastAsia" w:ascii="方正仿宋_GB2312" w:hAnsi="方正仿宋_GB2312" w:eastAsia="方正仿宋_GB2312" w:cs="方正仿宋_GB2312"/>
          <w:bCs/>
          <w:color w:val="auto"/>
          <w:sz w:val="32"/>
          <w:szCs w:val="32"/>
          <w:lang w:val="en-US" w:eastAsia="zh-CN"/>
        </w:rPr>
        <w:t>确保环境风险得到有效控制。项目各项环保设施的设计、建设、运行、管理应符合安全生产要求</w:t>
      </w:r>
      <w:r>
        <w:rPr>
          <w:rFonts w:hint="eastAsia" w:ascii="方正仿宋_GB2312" w:hAnsi="方正仿宋_GB2312" w:eastAsia="方正仿宋_GB2312" w:cs="方正仿宋_GB2312"/>
          <w:color w:val="auto"/>
          <w:kern w:val="2"/>
          <w:sz w:val="32"/>
          <w:szCs w:val="32"/>
          <w:u w:val="none" w:color="auto"/>
          <w:lang w:eastAsia="zh-CN"/>
        </w:rPr>
        <w:t>。</w:t>
      </w:r>
    </w:p>
    <w:p w14:paraId="109A0457">
      <w:pPr>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rPr>
      </w:pPr>
      <w:r>
        <w:rPr>
          <w:rFonts w:hint="eastAsia" w:ascii="方正仿宋_GB2312" w:hAnsi="方正仿宋_GB2312" w:eastAsia="方正仿宋_GB2312" w:cs="方正仿宋_GB2312"/>
          <w:bCs/>
          <w:color w:val="auto"/>
          <w:sz w:val="32"/>
          <w:szCs w:val="32"/>
          <w:lang w:val="en-US" w:eastAsia="zh-CN"/>
        </w:rPr>
        <w:t>三、</w:t>
      </w:r>
      <w:r>
        <w:rPr>
          <w:rFonts w:hint="eastAsia" w:ascii="方正仿宋_GB2312" w:hAnsi="方正仿宋_GB2312" w:eastAsia="方正仿宋_GB2312" w:cs="方正仿宋_GB2312"/>
          <w:color w:val="auto"/>
          <w:kern w:val="2"/>
          <w:sz w:val="32"/>
          <w:szCs w:val="32"/>
          <w:u w:val="none" w:color="auto"/>
          <w:lang w:val="en-US" w:eastAsia="zh-CN"/>
        </w:rPr>
        <w:t>本期项目污染物年排放总量控制指标为：化学需氧量≤2.0</w:t>
      </w:r>
      <w:r>
        <w:rPr>
          <w:rFonts w:hint="eastAsia" w:ascii="方正仿宋_GB2312" w:hAnsi="方正仿宋_GB2312" w:eastAsia="方正仿宋_GB2312" w:cs="方正仿宋_GB2312"/>
          <w:color w:val="auto"/>
          <w:sz w:val="32"/>
          <w:szCs w:val="32"/>
          <w:u w:val="none" w:color="auto"/>
          <w:lang w:val="en-US" w:eastAsia="zh-CN"/>
        </w:rPr>
        <w:t>t/a</w:t>
      </w:r>
      <w:r>
        <w:rPr>
          <w:rFonts w:hint="eastAsia" w:ascii="方正仿宋_GB2312" w:hAnsi="方正仿宋_GB2312" w:eastAsia="方正仿宋_GB2312" w:cs="方正仿宋_GB2312"/>
          <w:color w:val="auto"/>
          <w:kern w:val="2"/>
          <w:sz w:val="32"/>
          <w:szCs w:val="32"/>
          <w:u w:val="none" w:color="auto"/>
          <w:lang w:val="en-US" w:eastAsia="zh-CN"/>
        </w:rPr>
        <w:t xml:space="preserve"> 、氨氮≤0.1</w:t>
      </w:r>
      <w:r>
        <w:rPr>
          <w:rFonts w:hint="eastAsia" w:ascii="方正仿宋_GB2312" w:hAnsi="方正仿宋_GB2312" w:eastAsia="方正仿宋_GB2312" w:cs="方正仿宋_GB2312"/>
          <w:color w:val="auto"/>
          <w:sz w:val="32"/>
          <w:szCs w:val="32"/>
          <w:u w:val="none" w:color="auto"/>
          <w:lang w:val="en-US" w:eastAsia="zh-CN"/>
        </w:rPr>
        <w:t>t/a</w:t>
      </w:r>
      <w:r>
        <w:rPr>
          <w:rFonts w:hint="eastAsia" w:ascii="方正仿宋_GB2312" w:hAnsi="方正仿宋_GB2312" w:eastAsia="方正仿宋_GB2312" w:cs="方正仿宋_GB2312"/>
          <w:color w:val="auto"/>
          <w:kern w:val="2"/>
          <w:sz w:val="32"/>
          <w:szCs w:val="32"/>
          <w:u w:val="none" w:color="auto"/>
          <w:lang w:val="en-US" w:eastAsia="zh-CN"/>
        </w:rPr>
        <w:t>、总磷≤0.1</w:t>
      </w:r>
      <w:r>
        <w:rPr>
          <w:rFonts w:hint="eastAsia" w:ascii="方正仿宋_GB2312" w:hAnsi="方正仿宋_GB2312" w:eastAsia="方正仿宋_GB2312" w:cs="方正仿宋_GB2312"/>
          <w:color w:val="auto"/>
          <w:sz w:val="32"/>
          <w:szCs w:val="32"/>
          <w:u w:val="none" w:color="auto"/>
          <w:lang w:val="en-US" w:eastAsia="zh-CN"/>
        </w:rPr>
        <w:t>t/a</w:t>
      </w:r>
      <w:r>
        <w:rPr>
          <w:rFonts w:hint="eastAsia" w:ascii="方正仿宋_GB2312" w:hAnsi="方正仿宋_GB2312" w:eastAsia="方正仿宋_GB2312" w:cs="方正仿宋_GB2312"/>
          <w:color w:val="auto"/>
          <w:kern w:val="2"/>
          <w:sz w:val="32"/>
          <w:szCs w:val="32"/>
          <w:u w:val="none" w:color="auto"/>
          <w:lang w:val="en-US" w:eastAsia="zh-CN"/>
        </w:rPr>
        <w:t>、挥发性有机物≤3.0</w:t>
      </w:r>
      <w:r>
        <w:rPr>
          <w:rFonts w:hint="eastAsia" w:ascii="方正仿宋_GB2312" w:hAnsi="方正仿宋_GB2312" w:eastAsia="方正仿宋_GB2312" w:cs="方正仿宋_GB2312"/>
          <w:color w:val="auto"/>
          <w:sz w:val="32"/>
          <w:szCs w:val="32"/>
          <w:u w:val="none" w:color="auto"/>
          <w:lang w:val="en-US" w:eastAsia="zh-CN"/>
        </w:rPr>
        <w:t>t/a；改扩建完成后全厂污染物年排放总量控制指标为：</w:t>
      </w:r>
      <w:r>
        <w:rPr>
          <w:rFonts w:hint="eastAsia" w:ascii="方正仿宋_GB2312" w:hAnsi="方正仿宋_GB2312" w:eastAsia="方正仿宋_GB2312" w:cs="方正仿宋_GB2312"/>
          <w:color w:val="auto"/>
          <w:kern w:val="2"/>
          <w:sz w:val="32"/>
          <w:szCs w:val="32"/>
          <w:u w:val="none" w:color="auto"/>
          <w:lang w:val="en-US" w:eastAsia="zh-CN"/>
        </w:rPr>
        <w:t>化学需氧量≤6.24</w:t>
      </w:r>
      <w:r>
        <w:rPr>
          <w:rFonts w:hint="eastAsia" w:ascii="方正仿宋_GB2312" w:hAnsi="方正仿宋_GB2312" w:eastAsia="方正仿宋_GB2312" w:cs="方正仿宋_GB2312"/>
          <w:color w:val="auto"/>
          <w:sz w:val="32"/>
          <w:szCs w:val="32"/>
          <w:u w:val="none" w:color="auto"/>
          <w:lang w:val="en-US" w:eastAsia="zh-CN"/>
        </w:rPr>
        <w:t>t/a</w:t>
      </w:r>
      <w:r>
        <w:rPr>
          <w:rFonts w:hint="eastAsia" w:ascii="方正仿宋_GB2312" w:hAnsi="方正仿宋_GB2312" w:eastAsia="方正仿宋_GB2312" w:cs="方正仿宋_GB2312"/>
          <w:color w:val="auto"/>
          <w:kern w:val="2"/>
          <w:sz w:val="32"/>
          <w:szCs w:val="32"/>
          <w:u w:val="none" w:color="auto"/>
          <w:lang w:val="en-US" w:eastAsia="zh-CN"/>
        </w:rPr>
        <w:t xml:space="preserve"> 、氨氮≤0.31</w:t>
      </w:r>
      <w:r>
        <w:rPr>
          <w:rFonts w:hint="eastAsia" w:ascii="方正仿宋_GB2312" w:hAnsi="方正仿宋_GB2312" w:eastAsia="方正仿宋_GB2312" w:cs="方正仿宋_GB2312"/>
          <w:color w:val="auto"/>
          <w:sz w:val="32"/>
          <w:szCs w:val="32"/>
          <w:u w:val="none" w:color="auto"/>
          <w:lang w:val="en-US" w:eastAsia="zh-CN"/>
        </w:rPr>
        <w:t>t/a</w:t>
      </w:r>
      <w:r>
        <w:rPr>
          <w:rFonts w:hint="eastAsia" w:ascii="方正仿宋_GB2312" w:hAnsi="方正仿宋_GB2312" w:eastAsia="方正仿宋_GB2312" w:cs="方正仿宋_GB2312"/>
          <w:color w:val="auto"/>
          <w:kern w:val="2"/>
          <w:sz w:val="32"/>
          <w:szCs w:val="32"/>
          <w:u w:val="none" w:color="auto"/>
          <w:lang w:val="en-US" w:eastAsia="zh-CN"/>
        </w:rPr>
        <w:t>、总磷≤0.1</w:t>
      </w:r>
      <w:r>
        <w:rPr>
          <w:rFonts w:hint="eastAsia" w:ascii="方正仿宋_GB2312" w:hAnsi="方正仿宋_GB2312" w:eastAsia="方正仿宋_GB2312" w:cs="方正仿宋_GB2312"/>
          <w:color w:val="auto"/>
          <w:sz w:val="32"/>
          <w:szCs w:val="32"/>
          <w:u w:val="none" w:color="auto"/>
          <w:lang w:val="en-US" w:eastAsia="zh-CN"/>
        </w:rPr>
        <w:t>t/a</w:t>
      </w:r>
      <w:r>
        <w:rPr>
          <w:rFonts w:hint="eastAsia" w:ascii="方正仿宋_GB2312" w:hAnsi="方正仿宋_GB2312" w:eastAsia="方正仿宋_GB2312" w:cs="方正仿宋_GB2312"/>
          <w:color w:val="auto"/>
          <w:kern w:val="2"/>
          <w:sz w:val="32"/>
          <w:szCs w:val="32"/>
          <w:u w:val="none" w:color="auto"/>
          <w:lang w:val="en-US" w:eastAsia="zh-CN"/>
        </w:rPr>
        <w:t>、挥发性有机物≤10.6</w:t>
      </w:r>
      <w:r>
        <w:rPr>
          <w:rFonts w:hint="eastAsia" w:ascii="方正仿宋_GB2312" w:hAnsi="方正仿宋_GB2312" w:eastAsia="方正仿宋_GB2312" w:cs="方正仿宋_GB2312"/>
          <w:color w:val="auto"/>
          <w:sz w:val="32"/>
          <w:szCs w:val="32"/>
          <w:u w:val="none" w:color="auto"/>
          <w:lang w:val="en-US" w:eastAsia="zh-CN"/>
        </w:rPr>
        <w:t>t/a，其中，你公司现有总磷总量指标满足要求，COD、氨氮指标须通过排污权交易的方式分别获得1.4t/a、0.1t/a。</w:t>
      </w:r>
    </w:p>
    <w:p w14:paraId="5C3A57C7">
      <w:pPr>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both"/>
        <w:textAlignment w:val="auto"/>
        <w:outlineLvl w:val="9"/>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color w:val="auto"/>
          <w:kern w:val="2"/>
          <w:sz w:val="32"/>
          <w:szCs w:val="32"/>
          <w:u w:val="none" w:color="auto"/>
          <w:lang w:val="en-US" w:eastAsia="zh-CN"/>
        </w:rPr>
        <w:t>四</w:t>
      </w:r>
      <w:r>
        <w:rPr>
          <w:rFonts w:hint="eastAsia" w:ascii="方正仿宋_GB2312" w:hAnsi="方正仿宋_GB2312" w:eastAsia="方正仿宋_GB2312" w:cs="方正仿宋_GB2312"/>
          <w:color w:val="auto"/>
          <w:kern w:val="2"/>
          <w:sz w:val="32"/>
          <w:szCs w:val="32"/>
          <w:u w:val="none" w:color="auto"/>
          <w:lang w:eastAsia="zh-CN"/>
        </w:rPr>
        <w:t>、</w:t>
      </w:r>
      <w:r>
        <w:rPr>
          <w:rFonts w:hint="eastAsia" w:ascii="方正仿宋_GB2312" w:hAnsi="方正仿宋_GB2312" w:eastAsia="方正仿宋_GB2312" w:cs="方正仿宋_GB2312"/>
          <w:bCs/>
          <w:color w:val="auto"/>
          <w:sz w:val="32"/>
          <w:szCs w:val="32"/>
          <w:lang w:val="en-US" w:eastAsia="zh-CN"/>
        </w:rPr>
        <w:t>项目环境影响报告表经批准后，项目的性质、规模、地点或者防治污染、防止生态破坏的措施发生重大变动的，应当重新报批该项目的环境影响报告表。</w:t>
      </w:r>
    </w:p>
    <w:p w14:paraId="02B60F83">
      <w:pPr>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bCs/>
          <w:color w:val="auto"/>
          <w:sz w:val="32"/>
          <w:szCs w:val="32"/>
          <w:lang w:val="en-US" w:eastAsia="zh-CN"/>
        </w:rPr>
        <w:t>五、</w:t>
      </w:r>
      <w:r>
        <w:rPr>
          <w:rFonts w:hint="eastAsia" w:ascii="方正仿宋_GB2312" w:hAnsi="方正仿宋_GB2312" w:eastAsia="方正仿宋_GB2312" w:cs="方正仿宋_GB2312"/>
          <w:color w:val="auto"/>
          <w:kern w:val="2"/>
          <w:sz w:val="32"/>
          <w:szCs w:val="32"/>
          <w:u w:val="none" w:color="auto"/>
          <w:lang w:eastAsia="zh-CN"/>
        </w:rPr>
        <w:t>按照《排污许可管理条例》《排污许可管理办法》等相关法律法规，</w:t>
      </w:r>
      <w:r>
        <w:rPr>
          <w:rFonts w:hint="eastAsia" w:ascii="方正仿宋_GB2312" w:hAnsi="方正仿宋_GB2312" w:eastAsia="方正仿宋_GB2312" w:cs="方正仿宋_GB2312"/>
          <w:color w:val="auto"/>
          <w:kern w:val="2"/>
          <w:sz w:val="32"/>
          <w:szCs w:val="32"/>
          <w:u w:val="none" w:color="auto"/>
          <w:lang w:val="en-US" w:eastAsia="zh-CN"/>
        </w:rPr>
        <w:t>项目投产前应按要求重新申领排污许可证，</w:t>
      </w:r>
      <w:r>
        <w:rPr>
          <w:rFonts w:hint="eastAsia" w:ascii="方正仿宋_GB2312" w:hAnsi="方正仿宋_GB2312" w:eastAsia="方正仿宋_GB2312" w:cs="方正仿宋_GB2312"/>
          <w:color w:val="auto"/>
          <w:kern w:val="2"/>
          <w:sz w:val="32"/>
          <w:szCs w:val="32"/>
          <w:u w:val="none" w:color="auto"/>
          <w:lang w:eastAsia="zh-CN"/>
        </w:rPr>
        <w:t>运营期</w:t>
      </w:r>
      <w:r>
        <w:rPr>
          <w:rFonts w:hint="eastAsia" w:ascii="方正仿宋_GB2312" w:hAnsi="方正仿宋_GB2312" w:eastAsia="方正仿宋_GB2312" w:cs="方正仿宋_GB2312"/>
          <w:color w:val="auto"/>
          <w:kern w:val="2"/>
          <w:sz w:val="32"/>
          <w:szCs w:val="32"/>
          <w:u w:val="none" w:color="auto"/>
          <w:lang w:val="en-US" w:eastAsia="zh-CN"/>
        </w:rPr>
        <w:t>应按证</w:t>
      </w:r>
      <w:r>
        <w:rPr>
          <w:rFonts w:hint="eastAsia" w:ascii="方正仿宋_GB2312" w:hAnsi="方正仿宋_GB2312" w:eastAsia="方正仿宋_GB2312" w:cs="方正仿宋_GB2312"/>
          <w:color w:val="auto"/>
          <w:kern w:val="2"/>
          <w:sz w:val="32"/>
          <w:szCs w:val="32"/>
          <w:u w:val="none" w:color="auto"/>
          <w:lang w:eastAsia="zh-CN"/>
        </w:rPr>
        <w:t>排污并公开相关信息。</w:t>
      </w:r>
    </w:p>
    <w:p w14:paraId="5FFF80EB">
      <w:pPr>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bCs/>
          <w:color w:val="auto"/>
          <w:sz w:val="32"/>
          <w:szCs w:val="32"/>
          <w:lang w:val="en-US" w:eastAsia="zh-CN"/>
        </w:rPr>
        <w:t>六、项目建设必须严格执行环境保护“三同时”等相关环境管理制度。项目建成后，须按规定要求及时开展建设项目竣工环境保护自主验收工作并报送相关验收信息。</w:t>
      </w:r>
    </w:p>
    <w:p w14:paraId="0C99D0A3">
      <w:pPr>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both"/>
        <w:textAlignment w:val="auto"/>
        <w:outlineLvl w:val="9"/>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七、你公司应在收到本批复后7个工作日内，</w:t>
      </w:r>
      <w:r>
        <w:rPr>
          <w:rFonts w:hint="eastAsia" w:ascii="方正仿宋_GB2312" w:hAnsi="方正仿宋_GB2312" w:eastAsia="方正仿宋_GB2312" w:cs="方正仿宋_GB2312"/>
          <w:b w:val="0"/>
          <w:bCs w:val="0"/>
          <w:color w:val="auto"/>
          <w:spacing w:val="0"/>
          <w:w w:val="100"/>
          <w:sz w:val="32"/>
          <w:szCs w:val="32"/>
          <w:highlight w:val="none"/>
          <w:u w:val="none" w:color="auto"/>
        </w:rPr>
        <w:t>将批复及批准的环评报告文本</w:t>
      </w:r>
      <w:r>
        <w:rPr>
          <w:rFonts w:hint="eastAsia" w:ascii="方正仿宋_GB2312" w:hAnsi="方正仿宋_GB2312" w:eastAsia="方正仿宋_GB2312" w:cs="方正仿宋_GB2312"/>
          <w:bCs/>
          <w:color w:val="auto"/>
          <w:sz w:val="32"/>
          <w:szCs w:val="32"/>
          <w:lang w:val="en-US" w:eastAsia="zh-CN"/>
        </w:rPr>
        <w:t>送至</w:t>
      </w:r>
      <w:r>
        <w:rPr>
          <w:rFonts w:hint="eastAsia" w:ascii="方正仿宋_GB2312" w:hAnsi="方正仿宋_GB2312" w:eastAsia="方正仿宋_GB2312" w:cs="方正仿宋_GB2312"/>
          <w:b w:val="0"/>
          <w:bCs w:val="0"/>
          <w:color w:val="auto"/>
          <w:spacing w:val="0"/>
          <w:w w:val="100"/>
          <w:sz w:val="32"/>
          <w:szCs w:val="32"/>
          <w:highlight w:val="none"/>
          <w:u w:val="none" w:color="auto"/>
        </w:rPr>
        <w:t>岳阳市生态环境局</w:t>
      </w:r>
      <w:r>
        <w:rPr>
          <w:rFonts w:hint="eastAsia" w:ascii="方正仿宋_GB2312" w:hAnsi="方正仿宋_GB2312" w:eastAsia="方正仿宋_GB2312" w:cs="方正仿宋_GB2312"/>
          <w:b w:val="0"/>
          <w:bCs w:val="0"/>
          <w:color w:val="auto"/>
          <w:spacing w:val="0"/>
          <w:w w:val="100"/>
          <w:sz w:val="32"/>
          <w:szCs w:val="32"/>
          <w:highlight w:val="none"/>
          <w:u w:val="none" w:color="auto"/>
          <w:lang w:val="en-US" w:eastAsia="zh-CN"/>
        </w:rPr>
        <w:t>岳阳县</w:t>
      </w:r>
      <w:r>
        <w:rPr>
          <w:rFonts w:hint="eastAsia" w:ascii="方正仿宋_GB2312" w:hAnsi="方正仿宋_GB2312" w:eastAsia="方正仿宋_GB2312" w:cs="方正仿宋_GB2312"/>
          <w:b w:val="0"/>
          <w:bCs w:val="0"/>
          <w:color w:val="auto"/>
          <w:spacing w:val="0"/>
          <w:w w:val="100"/>
          <w:sz w:val="32"/>
          <w:szCs w:val="32"/>
          <w:highlight w:val="none"/>
          <w:u w:val="none" w:color="auto"/>
        </w:rPr>
        <w:t>分局</w:t>
      </w:r>
      <w:r>
        <w:rPr>
          <w:rFonts w:hint="eastAsia" w:ascii="方正仿宋_GB2312" w:hAnsi="方正仿宋_GB2312" w:eastAsia="方正仿宋_GB2312" w:cs="方正仿宋_GB2312"/>
          <w:bCs/>
          <w:color w:val="auto"/>
          <w:sz w:val="32"/>
          <w:szCs w:val="32"/>
          <w:lang w:val="en-US" w:eastAsia="zh-CN"/>
        </w:rPr>
        <w:t>，</w:t>
      </w:r>
      <w:r>
        <w:rPr>
          <w:rFonts w:hint="eastAsia" w:ascii="方正仿宋_GB2312" w:hAnsi="方正仿宋_GB2312" w:eastAsia="方正仿宋_GB2312" w:cs="方正仿宋_GB2312"/>
          <w:b w:val="0"/>
          <w:bCs w:val="0"/>
          <w:color w:val="auto"/>
          <w:spacing w:val="0"/>
          <w:w w:val="100"/>
          <w:sz w:val="32"/>
          <w:szCs w:val="32"/>
          <w:highlight w:val="none"/>
          <w:u w:val="none" w:color="auto"/>
        </w:rPr>
        <w:t>运营期的日常环境监管</w:t>
      </w:r>
      <w:r>
        <w:rPr>
          <w:rFonts w:hint="eastAsia" w:ascii="方正仿宋_GB2312" w:hAnsi="方正仿宋_GB2312" w:eastAsia="方正仿宋_GB2312" w:cs="方正仿宋_GB2312"/>
          <w:bCs/>
          <w:color w:val="auto"/>
          <w:sz w:val="32"/>
          <w:szCs w:val="32"/>
          <w:lang w:val="en-US" w:eastAsia="zh-CN"/>
        </w:rPr>
        <w:t>由</w:t>
      </w:r>
      <w:r>
        <w:rPr>
          <w:rFonts w:hint="eastAsia" w:ascii="方正仿宋_GB2312" w:hAnsi="方正仿宋_GB2312" w:eastAsia="方正仿宋_GB2312" w:cs="方正仿宋_GB2312"/>
          <w:b w:val="0"/>
          <w:bCs w:val="0"/>
          <w:color w:val="auto"/>
          <w:spacing w:val="0"/>
          <w:w w:val="100"/>
          <w:sz w:val="32"/>
          <w:szCs w:val="32"/>
          <w:highlight w:val="none"/>
          <w:u w:val="none" w:color="auto"/>
        </w:rPr>
        <w:t>岳阳市生态环境局</w:t>
      </w:r>
      <w:r>
        <w:rPr>
          <w:rFonts w:hint="eastAsia" w:ascii="方正仿宋_GB2312" w:hAnsi="方正仿宋_GB2312" w:eastAsia="方正仿宋_GB2312" w:cs="方正仿宋_GB2312"/>
          <w:b w:val="0"/>
          <w:bCs w:val="0"/>
          <w:color w:val="auto"/>
          <w:spacing w:val="0"/>
          <w:w w:val="100"/>
          <w:sz w:val="32"/>
          <w:szCs w:val="32"/>
          <w:highlight w:val="none"/>
          <w:u w:val="none" w:color="auto"/>
          <w:lang w:val="en-US" w:eastAsia="zh-CN"/>
        </w:rPr>
        <w:t>岳阳县</w:t>
      </w:r>
      <w:r>
        <w:rPr>
          <w:rFonts w:hint="eastAsia" w:ascii="方正仿宋_GB2312" w:hAnsi="方正仿宋_GB2312" w:eastAsia="方正仿宋_GB2312" w:cs="方正仿宋_GB2312"/>
          <w:b w:val="0"/>
          <w:bCs w:val="0"/>
          <w:color w:val="auto"/>
          <w:spacing w:val="0"/>
          <w:w w:val="100"/>
          <w:sz w:val="32"/>
          <w:szCs w:val="32"/>
          <w:highlight w:val="none"/>
          <w:u w:val="none" w:color="auto"/>
        </w:rPr>
        <w:t>分局</w:t>
      </w:r>
      <w:r>
        <w:rPr>
          <w:rFonts w:hint="eastAsia" w:ascii="方正仿宋_GB2312" w:hAnsi="方正仿宋_GB2312" w:eastAsia="方正仿宋_GB2312" w:cs="方正仿宋_GB2312"/>
          <w:bCs/>
          <w:color w:val="auto"/>
          <w:sz w:val="32"/>
          <w:szCs w:val="32"/>
          <w:lang w:val="en-US" w:eastAsia="zh-CN"/>
        </w:rPr>
        <w:t>具体负责。</w:t>
      </w:r>
    </w:p>
    <w:p w14:paraId="642536D5">
      <w:pPr>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both"/>
        <w:textAlignment w:val="auto"/>
        <w:outlineLvl w:val="9"/>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你公司如对本批复不服，可以在接到决定书之日起六十日内向岳阳市人民政府申请行政复议；或者六个月内向岳阳市君山区人民法院依法提起行政诉讼。</w:t>
      </w:r>
    </w:p>
    <w:p w14:paraId="4B129CEE">
      <w:pPr>
        <w:keepNext w:val="0"/>
        <w:keepLines w:val="0"/>
        <w:pageBreakBefore w:val="0"/>
        <w:widowControl w:val="0"/>
        <w:kinsoku/>
        <w:wordWrap/>
        <w:overflowPunct/>
        <w:topLinePunct w:val="0"/>
        <w:autoSpaceDE w:val="0"/>
        <w:autoSpaceDN/>
        <w:bidi w:val="0"/>
        <w:adjustRightInd/>
        <w:snapToGrid/>
        <w:spacing w:after="0" w:line="579"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p>
    <w:p w14:paraId="0C6830FB">
      <w:pPr>
        <w:pStyle w:val="11"/>
        <w:keepNext w:val="0"/>
        <w:keepLines w:val="0"/>
        <w:pageBreakBefore w:val="0"/>
        <w:widowControl w:val="0"/>
        <w:kinsoku/>
        <w:wordWrap/>
        <w:overflowPunct/>
        <w:topLinePunct w:val="0"/>
        <w:bidi w:val="0"/>
        <w:adjustRightInd/>
        <w:snapToGrid/>
        <w:spacing w:line="579" w:lineRule="exact"/>
        <w:ind w:left="0" w:leftChars="0" w:firstLine="3200" w:firstLineChars="1000"/>
        <w:outlineLvl w:val="9"/>
        <w:rPr>
          <w:rFonts w:hint="eastAsia" w:ascii="方正仿宋_GB2312" w:hAnsi="方正仿宋_GB2312" w:eastAsia="方正仿宋_GB2312" w:cs="方正仿宋_GB2312"/>
          <w:color w:val="auto"/>
          <w:kern w:val="2"/>
          <w:sz w:val="32"/>
          <w:szCs w:val="32"/>
          <w:u w:val="none" w:color="auto"/>
          <w:lang w:val="en-US" w:eastAsia="zh-CN"/>
        </w:rPr>
      </w:pPr>
    </w:p>
    <w:p w14:paraId="5312ADE5">
      <w:pPr>
        <w:pStyle w:val="11"/>
        <w:keepNext w:val="0"/>
        <w:keepLines w:val="0"/>
        <w:pageBreakBefore w:val="0"/>
        <w:widowControl w:val="0"/>
        <w:kinsoku/>
        <w:wordWrap/>
        <w:overflowPunct/>
        <w:topLinePunct w:val="0"/>
        <w:bidi w:val="0"/>
        <w:adjustRightInd/>
        <w:snapToGrid/>
        <w:spacing w:line="579" w:lineRule="exact"/>
        <w:ind w:left="0" w:leftChars="0" w:firstLine="3200" w:firstLineChars="1000"/>
        <w:outlineLvl w:val="9"/>
        <w:rPr>
          <w:rFonts w:hint="eastAsia" w:ascii="方正仿宋_GB2312" w:hAnsi="方正仿宋_GB2312" w:eastAsia="方正仿宋_GB2312" w:cs="方正仿宋_GB2312"/>
          <w:color w:val="auto"/>
          <w:kern w:val="2"/>
          <w:sz w:val="32"/>
          <w:szCs w:val="32"/>
          <w:u w:val="none" w:color="auto"/>
          <w:lang w:val="en-US" w:eastAsia="zh-CN"/>
        </w:rPr>
      </w:pPr>
    </w:p>
    <w:p w14:paraId="490FE4E8">
      <w:pPr>
        <w:pStyle w:val="11"/>
        <w:keepNext w:val="0"/>
        <w:keepLines w:val="0"/>
        <w:pageBreakBefore w:val="0"/>
        <w:widowControl w:val="0"/>
        <w:kinsoku/>
        <w:wordWrap/>
        <w:overflowPunct/>
        <w:topLinePunct w:val="0"/>
        <w:bidi w:val="0"/>
        <w:adjustRightInd/>
        <w:snapToGrid/>
        <w:spacing w:line="579" w:lineRule="exact"/>
        <w:ind w:left="0" w:leftChars="0" w:firstLine="4800" w:firstLineChars="1500"/>
        <w:outlineLvl w:val="9"/>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kern w:val="2"/>
          <w:sz w:val="32"/>
          <w:szCs w:val="32"/>
          <w:u w:val="none" w:color="auto"/>
          <w:lang w:val="en-US" w:eastAsia="zh-CN"/>
        </w:rPr>
        <w:t>岳阳市生态环境局</w:t>
      </w:r>
    </w:p>
    <w:tbl>
      <w:tblPr>
        <w:tblStyle w:val="18"/>
        <w:tblpPr w:leftFromText="180" w:rightFromText="180" w:vertAnchor="text" w:horzAnchor="page" w:tblpX="1665" w:tblpY="3666"/>
        <w:tblW w:w="488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52"/>
      </w:tblGrid>
      <w:tr w14:paraId="366E89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5000" w:type="pct"/>
          </w:tcPr>
          <w:p w14:paraId="13E03B2D">
            <w:pPr>
              <w:keepNext w:val="0"/>
              <w:keepLines w:val="0"/>
              <w:pageBreakBefore w:val="0"/>
              <w:widowControl w:val="0"/>
              <w:kinsoku/>
              <w:wordWrap/>
              <w:overflowPunct/>
              <w:topLinePunct w:val="0"/>
              <w:autoSpaceDE w:val="0"/>
              <w:autoSpaceDN/>
              <w:bidi w:val="0"/>
              <w:adjustRightInd/>
              <w:snapToGrid/>
              <w:spacing w:after="0" w:line="579"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b w:val="0"/>
                <w:bCs/>
                <w:color w:val="auto"/>
                <w:sz w:val="28"/>
                <w:szCs w:val="28"/>
                <w:lang w:val="en-US" w:eastAsia="zh-CN"/>
              </w:rPr>
              <w:t>抄送：岳阳高新技术产业园区管理委员会、岳阳市生态环境局岳阳县分局、湖南联合泰泽环境科技有限公司</w:t>
            </w:r>
          </w:p>
        </w:tc>
      </w:tr>
    </w:tbl>
    <w:p w14:paraId="6796DD13">
      <w:pPr>
        <w:keepNext w:val="0"/>
        <w:keepLines w:val="0"/>
        <w:pageBreakBefore w:val="0"/>
        <w:widowControl w:val="0"/>
        <w:kinsoku/>
        <w:wordWrap/>
        <w:overflowPunct/>
        <w:topLinePunct w:val="0"/>
        <w:autoSpaceDE w:val="0"/>
        <w:autoSpaceDN/>
        <w:bidi w:val="0"/>
        <w:adjustRightInd/>
        <w:snapToGrid/>
        <w:spacing w:after="0" w:line="579" w:lineRule="exact"/>
        <w:ind w:left="0" w:leftChars="0" w:firstLine="1920" w:firstLineChars="60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color w:val="auto"/>
          <w:kern w:val="2"/>
          <w:sz w:val="32"/>
          <w:szCs w:val="32"/>
          <w:u w:val="none" w:color="auto"/>
          <w:lang w:eastAsia="zh-CN"/>
        </w:rPr>
        <w:t xml:space="preserve">          </w:t>
      </w:r>
      <w:r>
        <w:rPr>
          <w:rFonts w:hint="eastAsia" w:ascii="方正仿宋_GB2312" w:hAnsi="方正仿宋_GB2312" w:eastAsia="方正仿宋_GB2312" w:cs="方正仿宋_GB2312"/>
          <w:color w:val="auto"/>
          <w:kern w:val="2"/>
          <w:sz w:val="32"/>
          <w:szCs w:val="32"/>
          <w:u w:val="none" w:color="auto"/>
          <w:lang w:val="en-US" w:eastAsia="zh-CN"/>
        </w:rPr>
        <w:t xml:space="preserve">           </w:t>
      </w:r>
      <w:r>
        <w:rPr>
          <w:rFonts w:hint="eastAsia" w:ascii="方正仿宋_GB2312" w:hAnsi="方正仿宋_GB2312" w:eastAsia="方正仿宋_GB2312" w:cs="方正仿宋_GB2312"/>
          <w:color w:val="auto"/>
          <w:kern w:val="2"/>
          <w:sz w:val="32"/>
          <w:szCs w:val="32"/>
          <w:u w:val="none" w:color="auto"/>
          <w:lang w:eastAsia="zh-CN"/>
        </w:rPr>
        <w:t>202</w:t>
      </w:r>
      <w:r>
        <w:rPr>
          <w:rFonts w:hint="eastAsia" w:ascii="方正仿宋_GB2312" w:hAnsi="方正仿宋_GB2312" w:eastAsia="方正仿宋_GB2312" w:cs="方正仿宋_GB2312"/>
          <w:color w:val="auto"/>
          <w:kern w:val="2"/>
          <w:sz w:val="32"/>
          <w:szCs w:val="32"/>
          <w:u w:val="none" w:color="auto"/>
          <w:lang w:val="en-US" w:eastAsia="zh-CN"/>
        </w:rPr>
        <w:t>5</w:t>
      </w:r>
      <w:r>
        <w:rPr>
          <w:rFonts w:hint="eastAsia" w:ascii="方正仿宋_GB2312" w:hAnsi="方正仿宋_GB2312" w:eastAsia="方正仿宋_GB2312" w:cs="方正仿宋_GB2312"/>
          <w:color w:val="auto"/>
          <w:kern w:val="2"/>
          <w:sz w:val="32"/>
          <w:szCs w:val="32"/>
          <w:u w:val="none" w:color="auto"/>
          <w:lang w:eastAsia="zh-CN"/>
        </w:rPr>
        <w:t>年</w:t>
      </w:r>
      <w:r>
        <w:rPr>
          <w:rFonts w:hint="eastAsia" w:ascii="方正仿宋_GB2312" w:hAnsi="方正仿宋_GB2312" w:eastAsia="方正仿宋_GB2312" w:cs="方正仿宋_GB2312"/>
          <w:color w:val="auto"/>
          <w:kern w:val="2"/>
          <w:sz w:val="32"/>
          <w:szCs w:val="32"/>
          <w:u w:val="none" w:color="auto"/>
          <w:lang w:val="en-US" w:eastAsia="zh-CN"/>
        </w:rPr>
        <w:t>8</w:t>
      </w:r>
      <w:r>
        <w:rPr>
          <w:rFonts w:hint="eastAsia" w:ascii="方正仿宋_GB2312" w:hAnsi="方正仿宋_GB2312" w:eastAsia="方正仿宋_GB2312" w:cs="方正仿宋_GB2312"/>
          <w:color w:val="auto"/>
          <w:kern w:val="2"/>
          <w:sz w:val="32"/>
          <w:szCs w:val="32"/>
          <w:u w:val="none" w:color="auto"/>
          <w:lang w:eastAsia="zh-CN"/>
        </w:rPr>
        <w:t>月</w:t>
      </w:r>
      <w:r>
        <w:rPr>
          <w:rFonts w:hint="eastAsia" w:ascii="方正仿宋_GB2312" w:hAnsi="方正仿宋_GB2312" w:eastAsia="方正仿宋_GB2312" w:cs="方正仿宋_GB2312"/>
          <w:color w:val="auto"/>
          <w:kern w:val="2"/>
          <w:sz w:val="32"/>
          <w:szCs w:val="32"/>
          <w:u w:val="none" w:color="auto"/>
          <w:lang w:val="en-US" w:eastAsia="zh-CN"/>
        </w:rPr>
        <w:t>15</w:t>
      </w:r>
      <w:r>
        <w:rPr>
          <w:rFonts w:hint="eastAsia" w:ascii="方正仿宋_GB2312" w:hAnsi="方正仿宋_GB2312" w:eastAsia="方正仿宋_GB2312" w:cs="方正仿宋_GB2312"/>
          <w:color w:val="auto"/>
          <w:kern w:val="2"/>
          <w:sz w:val="32"/>
          <w:szCs w:val="32"/>
          <w:u w:val="none" w:color="auto"/>
          <w:lang w:eastAsia="zh-CN"/>
        </w:rPr>
        <w:t>日</w:t>
      </w:r>
    </w:p>
    <w:sectPr>
      <w:headerReference r:id="rId4" w:type="default"/>
      <w:footerReference r:id="rId5" w:type="default"/>
      <w:pgSz w:w="11906" w:h="16838"/>
      <w:pgMar w:top="2098" w:right="1531" w:bottom="1984" w:left="1531"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4AB67D4-8326-42B9-89E7-FF5D0C183BA7}"/>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3257270B-10DD-447E-85AB-A62F45DFF7C1}"/>
  </w:font>
  <w:font w:name="方正小标宋简体">
    <w:panose1 w:val="02000000000000000000"/>
    <w:charset w:val="86"/>
    <w:family w:val="auto"/>
    <w:pitch w:val="default"/>
    <w:sig w:usb0="00000001" w:usb1="08000000" w:usb2="00000000" w:usb3="00000000" w:csb0="00040000" w:csb1="00000000"/>
    <w:embedRegular r:id="rId3" w:fontKey="{128472FB-C7A3-4EC9-9A15-5E0F6ADBBD05}"/>
  </w:font>
  <w:font w:name="仿宋_GB2312">
    <w:panose1 w:val="02010609030101010101"/>
    <w:charset w:val="86"/>
    <w:family w:val="modern"/>
    <w:pitch w:val="default"/>
    <w:sig w:usb0="00000001" w:usb1="080E0000" w:usb2="00000000" w:usb3="00000000" w:csb0="00040000" w:csb1="00000000"/>
    <w:embedRegular r:id="rId4" w:fontKey="{16AB6CBE-7851-4624-9B67-038E1340C1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7"/>
      <w:lvlText w:val="%3."/>
      <w:lvlJc w:val="right"/>
      <w:pPr>
        <w:tabs>
          <w:tab w:val="left" w:pos="1260"/>
        </w:tabs>
        <w:ind w:left="1260" w:hanging="420"/>
      </w:pPr>
    </w:lvl>
    <w:lvl w:ilvl="3" w:tentative="0">
      <w:start w:val="1"/>
      <w:numFmt w:val="decimal"/>
      <w:pStyle w:val="2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AC6DF5"/>
    <w:rsid w:val="01BD7A4F"/>
    <w:rsid w:val="01BE3166"/>
    <w:rsid w:val="01FF7C32"/>
    <w:rsid w:val="0213068F"/>
    <w:rsid w:val="023E272A"/>
    <w:rsid w:val="025A79EB"/>
    <w:rsid w:val="025F4662"/>
    <w:rsid w:val="026F1557"/>
    <w:rsid w:val="02842376"/>
    <w:rsid w:val="02CB619B"/>
    <w:rsid w:val="02DF57A3"/>
    <w:rsid w:val="02F049A8"/>
    <w:rsid w:val="03062ED6"/>
    <w:rsid w:val="031D766C"/>
    <w:rsid w:val="0338201E"/>
    <w:rsid w:val="03511C9F"/>
    <w:rsid w:val="03561F09"/>
    <w:rsid w:val="035F24F7"/>
    <w:rsid w:val="03CB65F1"/>
    <w:rsid w:val="03CC6E75"/>
    <w:rsid w:val="03EE0393"/>
    <w:rsid w:val="0413326D"/>
    <w:rsid w:val="043E1FEF"/>
    <w:rsid w:val="044612E1"/>
    <w:rsid w:val="044D4CF3"/>
    <w:rsid w:val="04B93324"/>
    <w:rsid w:val="050A007D"/>
    <w:rsid w:val="057E0254"/>
    <w:rsid w:val="057E74F5"/>
    <w:rsid w:val="05A04185"/>
    <w:rsid w:val="05A351AD"/>
    <w:rsid w:val="05B66C8F"/>
    <w:rsid w:val="05C515E8"/>
    <w:rsid w:val="063F1D1F"/>
    <w:rsid w:val="064C0FFA"/>
    <w:rsid w:val="06A157E8"/>
    <w:rsid w:val="06A65CED"/>
    <w:rsid w:val="06AA36D4"/>
    <w:rsid w:val="06E320FF"/>
    <w:rsid w:val="06F07F7E"/>
    <w:rsid w:val="06FC4B75"/>
    <w:rsid w:val="073A2466"/>
    <w:rsid w:val="074A1D85"/>
    <w:rsid w:val="07506C6F"/>
    <w:rsid w:val="077C3DB2"/>
    <w:rsid w:val="079C288F"/>
    <w:rsid w:val="07D45A45"/>
    <w:rsid w:val="07DD536D"/>
    <w:rsid w:val="07F9103A"/>
    <w:rsid w:val="08034185"/>
    <w:rsid w:val="08134020"/>
    <w:rsid w:val="0869348D"/>
    <w:rsid w:val="087723D8"/>
    <w:rsid w:val="089112ED"/>
    <w:rsid w:val="0899026A"/>
    <w:rsid w:val="08BB636A"/>
    <w:rsid w:val="08DD43F8"/>
    <w:rsid w:val="08E03040"/>
    <w:rsid w:val="08FD5135"/>
    <w:rsid w:val="091A12E3"/>
    <w:rsid w:val="09214CCE"/>
    <w:rsid w:val="096802A0"/>
    <w:rsid w:val="097C485E"/>
    <w:rsid w:val="0985037D"/>
    <w:rsid w:val="098A45D8"/>
    <w:rsid w:val="09A247D0"/>
    <w:rsid w:val="09A31262"/>
    <w:rsid w:val="09A35A12"/>
    <w:rsid w:val="0A0600E2"/>
    <w:rsid w:val="0A2D14EA"/>
    <w:rsid w:val="0A5C568E"/>
    <w:rsid w:val="0A6A05DC"/>
    <w:rsid w:val="0AB96B2B"/>
    <w:rsid w:val="0AC70E39"/>
    <w:rsid w:val="0AD100C7"/>
    <w:rsid w:val="0B381467"/>
    <w:rsid w:val="0B76450E"/>
    <w:rsid w:val="0BDB07C3"/>
    <w:rsid w:val="0C00696A"/>
    <w:rsid w:val="0C3E2112"/>
    <w:rsid w:val="0C4F3999"/>
    <w:rsid w:val="0C963102"/>
    <w:rsid w:val="0CED3C33"/>
    <w:rsid w:val="0D040924"/>
    <w:rsid w:val="0D501777"/>
    <w:rsid w:val="0D621D65"/>
    <w:rsid w:val="0D74395F"/>
    <w:rsid w:val="0DA11135"/>
    <w:rsid w:val="0DBB4191"/>
    <w:rsid w:val="0DEC10E5"/>
    <w:rsid w:val="0E0B61DD"/>
    <w:rsid w:val="0E5E092C"/>
    <w:rsid w:val="0E803C6F"/>
    <w:rsid w:val="0EBE1322"/>
    <w:rsid w:val="0EDF4D64"/>
    <w:rsid w:val="0F26281D"/>
    <w:rsid w:val="0F4E1CE6"/>
    <w:rsid w:val="0F5764BE"/>
    <w:rsid w:val="0F645140"/>
    <w:rsid w:val="0FD618E0"/>
    <w:rsid w:val="0FF7347F"/>
    <w:rsid w:val="104E17D7"/>
    <w:rsid w:val="1051635E"/>
    <w:rsid w:val="10541406"/>
    <w:rsid w:val="105B6114"/>
    <w:rsid w:val="10857989"/>
    <w:rsid w:val="10CA1840"/>
    <w:rsid w:val="10DB57FB"/>
    <w:rsid w:val="11000D9F"/>
    <w:rsid w:val="11627BB4"/>
    <w:rsid w:val="116E526D"/>
    <w:rsid w:val="11FC5AF2"/>
    <w:rsid w:val="124D4C3E"/>
    <w:rsid w:val="126104A5"/>
    <w:rsid w:val="12EC59F8"/>
    <w:rsid w:val="12FB2C35"/>
    <w:rsid w:val="139454AD"/>
    <w:rsid w:val="13A9082F"/>
    <w:rsid w:val="13AD740A"/>
    <w:rsid w:val="140A109B"/>
    <w:rsid w:val="140C087D"/>
    <w:rsid w:val="143D67CD"/>
    <w:rsid w:val="147F6DE6"/>
    <w:rsid w:val="148D505F"/>
    <w:rsid w:val="14BC76F2"/>
    <w:rsid w:val="14CA4CFE"/>
    <w:rsid w:val="15820C4A"/>
    <w:rsid w:val="15862342"/>
    <w:rsid w:val="15C404EB"/>
    <w:rsid w:val="15C97C77"/>
    <w:rsid w:val="162D761F"/>
    <w:rsid w:val="164459DE"/>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792055"/>
    <w:rsid w:val="19A67C12"/>
    <w:rsid w:val="19BA441C"/>
    <w:rsid w:val="19F33BB6"/>
    <w:rsid w:val="1A113951"/>
    <w:rsid w:val="1A4C760D"/>
    <w:rsid w:val="1A6E25BB"/>
    <w:rsid w:val="1A9D14C5"/>
    <w:rsid w:val="1AD05767"/>
    <w:rsid w:val="1B462E07"/>
    <w:rsid w:val="1B656D35"/>
    <w:rsid w:val="1B9F76DE"/>
    <w:rsid w:val="1BA70798"/>
    <w:rsid w:val="1C295FB5"/>
    <w:rsid w:val="1C4A6D5F"/>
    <w:rsid w:val="1C59260F"/>
    <w:rsid w:val="1C5D101A"/>
    <w:rsid w:val="1C6568C1"/>
    <w:rsid w:val="1C8956D6"/>
    <w:rsid w:val="1C911524"/>
    <w:rsid w:val="1C9B72E6"/>
    <w:rsid w:val="1CA64B79"/>
    <w:rsid w:val="1CDF74BF"/>
    <w:rsid w:val="1D1F4CC2"/>
    <w:rsid w:val="1D235D75"/>
    <w:rsid w:val="1D24052A"/>
    <w:rsid w:val="1D2422D8"/>
    <w:rsid w:val="1D4C1EFC"/>
    <w:rsid w:val="1D60599D"/>
    <w:rsid w:val="1D684B88"/>
    <w:rsid w:val="1DAA7455"/>
    <w:rsid w:val="1DB16262"/>
    <w:rsid w:val="1DC55976"/>
    <w:rsid w:val="1DF62001"/>
    <w:rsid w:val="1E1037B0"/>
    <w:rsid w:val="1E4852D2"/>
    <w:rsid w:val="1E4A3FC0"/>
    <w:rsid w:val="1E5D127C"/>
    <w:rsid w:val="1EA97806"/>
    <w:rsid w:val="1EAD3EF6"/>
    <w:rsid w:val="1EE461C3"/>
    <w:rsid w:val="1EE63371"/>
    <w:rsid w:val="1F6339D0"/>
    <w:rsid w:val="1FDD6B7C"/>
    <w:rsid w:val="206F42A1"/>
    <w:rsid w:val="208009CB"/>
    <w:rsid w:val="21167FF4"/>
    <w:rsid w:val="213A47C0"/>
    <w:rsid w:val="214B42D7"/>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B73349"/>
    <w:rsid w:val="2504136D"/>
    <w:rsid w:val="256166A7"/>
    <w:rsid w:val="256C0CC0"/>
    <w:rsid w:val="25982BAC"/>
    <w:rsid w:val="25C26D29"/>
    <w:rsid w:val="26217CFD"/>
    <w:rsid w:val="262B521C"/>
    <w:rsid w:val="266C291D"/>
    <w:rsid w:val="26B7248D"/>
    <w:rsid w:val="26EF057C"/>
    <w:rsid w:val="27157D3C"/>
    <w:rsid w:val="274C0DA9"/>
    <w:rsid w:val="27684CB5"/>
    <w:rsid w:val="27786E27"/>
    <w:rsid w:val="279D1605"/>
    <w:rsid w:val="27C941A8"/>
    <w:rsid w:val="27F655C1"/>
    <w:rsid w:val="27FB6855"/>
    <w:rsid w:val="28164F13"/>
    <w:rsid w:val="282910EA"/>
    <w:rsid w:val="28303C1A"/>
    <w:rsid w:val="28580831"/>
    <w:rsid w:val="28602EAC"/>
    <w:rsid w:val="28641ABE"/>
    <w:rsid w:val="2898158E"/>
    <w:rsid w:val="291475E8"/>
    <w:rsid w:val="296631C1"/>
    <w:rsid w:val="296D0128"/>
    <w:rsid w:val="29720105"/>
    <w:rsid w:val="29B474E1"/>
    <w:rsid w:val="29B9024C"/>
    <w:rsid w:val="2A0A2243"/>
    <w:rsid w:val="2A187669"/>
    <w:rsid w:val="2A280EB2"/>
    <w:rsid w:val="2A3B53D2"/>
    <w:rsid w:val="2A6826AA"/>
    <w:rsid w:val="2A875A05"/>
    <w:rsid w:val="2B4C75CA"/>
    <w:rsid w:val="2B710C95"/>
    <w:rsid w:val="2B902987"/>
    <w:rsid w:val="2B9351F9"/>
    <w:rsid w:val="2C301C58"/>
    <w:rsid w:val="2C385E66"/>
    <w:rsid w:val="2C4E7372"/>
    <w:rsid w:val="2CB12A62"/>
    <w:rsid w:val="2CD755B9"/>
    <w:rsid w:val="2CDC2BCF"/>
    <w:rsid w:val="2CF21AC4"/>
    <w:rsid w:val="2D2A56E9"/>
    <w:rsid w:val="2D364985"/>
    <w:rsid w:val="2D930288"/>
    <w:rsid w:val="2DB023AA"/>
    <w:rsid w:val="2DB14564"/>
    <w:rsid w:val="2DEA745F"/>
    <w:rsid w:val="2E2A302D"/>
    <w:rsid w:val="2E3F61C3"/>
    <w:rsid w:val="2EC27BA3"/>
    <w:rsid w:val="2EED2E72"/>
    <w:rsid w:val="2F096E91"/>
    <w:rsid w:val="2F5C7FF7"/>
    <w:rsid w:val="2F633134"/>
    <w:rsid w:val="2F75482D"/>
    <w:rsid w:val="2F807842"/>
    <w:rsid w:val="2FCE6157"/>
    <w:rsid w:val="2FD63906"/>
    <w:rsid w:val="2FED0C50"/>
    <w:rsid w:val="3034062C"/>
    <w:rsid w:val="306F2997"/>
    <w:rsid w:val="30CB0F91"/>
    <w:rsid w:val="30E20088"/>
    <w:rsid w:val="311D7312"/>
    <w:rsid w:val="31466E8B"/>
    <w:rsid w:val="3196159F"/>
    <w:rsid w:val="31D3616A"/>
    <w:rsid w:val="324D7348"/>
    <w:rsid w:val="32A54152"/>
    <w:rsid w:val="32AB72CC"/>
    <w:rsid w:val="32DA1DBA"/>
    <w:rsid w:val="33147A5D"/>
    <w:rsid w:val="331B3C61"/>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E87EEF"/>
    <w:rsid w:val="36050F29"/>
    <w:rsid w:val="360B3AD4"/>
    <w:rsid w:val="361C52BB"/>
    <w:rsid w:val="361D7638"/>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91E1E7A"/>
    <w:rsid w:val="39B47A40"/>
    <w:rsid w:val="39E6202B"/>
    <w:rsid w:val="39F218E4"/>
    <w:rsid w:val="39FA0B89"/>
    <w:rsid w:val="3A0B2583"/>
    <w:rsid w:val="3A2E433E"/>
    <w:rsid w:val="3A66569A"/>
    <w:rsid w:val="3A920D71"/>
    <w:rsid w:val="3A997AF1"/>
    <w:rsid w:val="3A9B37A6"/>
    <w:rsid w:val="3AA27206"/>
    <w:rsid w:val="3AB72586"/>
    <w:rsid w:val="3BCA0854"/>
    <w:rsid w:val="3BD333EF"/>
    <w:rsid w:val="3BF84CC8"/>
    <w:rsid w:val="3C095928"/>
    <w:rsid w:val="3C25627C"/>
    <w:rsid w:val="3C2A6DE5"/>
    <w:rsid w:val="3C32609B"/>
    <w:rsid w:val="3C8A3B4D"/>
    <w:rsid w:val="3C922B13"/>
    <w:rsid w:val="3C9B2663"/>
    <w:rsid w:val="3CA60B04"/>
    <w:rsid w:val="3CBC6CA3"/>
    <w:rsid w:val="3CC80B75"/>
    <w:rsid w:val="3CCD2793"/>
    <w:rsid w:val="3CFA2A4A"/>
    <w:rsid w:val="3D62079E"/>
    <w:rsid w:val="3D8726E3"/>
    <w:rsid w:val="3DB07127"/>
    <w:rsid w:val="3DFF7EA5"/>
    <w:rsid w:val="3E1A387D"/>
    <w:rsid w:val="3E2D0960"/>
    <w:rsid w:val="3E3A651A"/>
    <w:rsid w:val="3E3E08AE"/>
    <w:rsid w:val="3E487D2A"/>
    <w:rsid w:val="3E6F7B87"/>
    <w:rsid w:val="3E79523A"/>
    <w:rsid w:val="3E7A6366"/>
    <w:rsid w:val="3E9D4B5C"/>
    <w:rsid w:val="3EAE3C1F"/>
    <w:rsid w:val="3EE12D6D"/>
    <w:rsid w:val="3EF913BF"/>
    <w:rsid w:val="3F2F7F48"/>
    <w:rsid w:val="3F536E9A"/>
    <w:rsid w:val="3F6472E0"/>
    <w:rsid w:val="3F6B44E7"/>
    <w:rsid w:val="3FA23805"/>
    <w:rsid w:val="3FB6105E"/>
    <w:rsid w:val="404A7B97"/>
    <w:rsid w:val="40515C61"/>
    <w:rsid w:val="40673BF4"/>
    <w:rsid w:val="409D3379"/>
    <w:rsid w:val="40E02836"/>
    <w:rsid w:val="40EA7BCC"/>
    <w:rsid w:val="40F55BB6"/>
    <w:rsid w:val="40F736DC"/>
    <w:rsid w:val="40F82764"/>
    <w:rsid w:val="41092C89"/>
    <w:rsid w:val="41156A5C"/>
    <w:rsid w:val="4171348E"/>
    <w:rsid w:val="41BE6C54"/>
    <w:rsid w:val="41E04E0C"/>
    <w:rsid w:val="41E45F48"/>
    <w:rsid w:val="41F35D8B"/>
    <w:rsid w:val="41F91AF3"/>
    <w:rsid w:val="420E5181"/>
    <w:rsid w:val="42500DFE"/>
    <w:rsid w:val="42682AE5"/>
    <w:rsid w:val="426C4BF7"/>
    <w:rsid w:val="42BA2048"/>
    <w:rsid w:val="42E17EF5"/>
    <w:rsid w:val="42E64203"/>
    <w:rsid w:val="431C742A"/>
    <w:rsid w:val="43705CC8"/>
    <w:rsid w:val="439F5B10"/>
    <w:rsid w:val="43DF35A3"/>
    <w:rsid w:val="43EE04C7"/>
    <w:rsid w:val="43FD2DB8"/>
    <w:rsid w:val="44140FAD"/>
    <w:rsid w:val="441B2154"/>
    <w:rsid w:val="442440CF"/>
    <w:rsid w:val="445175A7"/>
    <w:rsid w:val="44746DAE"/>
    <w:rsid w:val="44AB6361"/>
    <w:rsid w:val="44C06FEF"/>
    <w:rsid w:val="44D2693A"/>
    <w:rsid w:val="45451E45"/>
    <w:rsid w:val="45466813"/>
    <w:rsid w:val="45536545"/>
    <w:rsid w:val="459D62AC"/>
    <w:rsid w:val="45DC000C"/>
    <w:rsid w:val="45F44CA7"/>
    <w:rsid w:val="465B6E12"/>
    <w:rsid w:val="467A2DE5"/>
    <w:rsid w:val="4682766C"/>
    <w:rsid w:val="46DF6675"/>
    <w:rsid w:val="46F26E20"/>
    <w:rsid w:val="46FF32EA"/>
    <w:rsid w:val="472052AE"/>
    <w:rsid w:val="475734B5"/>
    <w:rsid w:val="47574ED5"/>
    <w:rsid w:val="475F23DC"/>
    <w:rsid w:val="47615D53"/>
    <w:rsid w:val="477105F3"/>
    <w:rsid w:val="478A23A7"/>
    <w:rsid w:val="47D3043F"/>
    <w:rsid w:val="481E13CC"/>
    <w:rsid w:val="481E1E96"/>
    <w:rsid w:val="483E7E42"/>
    <w:rsid w:val="48825CA5"/>
    <w:rsid w:val="48AE3165"/>
    <w:rsid w:val="49204116"/>
    <w:rsid w:val="4924528A"/>
    <w:rsid w:val="493475C8"/>
    <w:rsid w:val="4961203A"/>
    <w:rsid w:val="49755955"/>
    <w:rsid w:val="499624A2"/>
    <w:rsid w:val="4A0C644A"/>
    <w:rsid w:val="4A2D43AB"/>
    <w:rsid w:val="4A30453E"/>
    <w:rsid w:val="4ADD3943"/>
    <w:rsid w:val="4AE235D1"/>
    <w:rsid w:val="4AE747C1"/>
    <w:rsid w:val="4B611D5C"/>
    <w:rsid w:val="4B906C07"/>
    <w:rsid w:val="4B947C11"/>
    <w:rsid w:val="4BCE14DD"/>
    <w:rsid w:val="4BEC5B04"/>
    <w:rsid w:val="4C0B4C6C"/>
    <w:rsid w:val="4C2309AA"/>
    <w:rsid w:val="4C271545"/>
    <w:rsid w:val="4C4C343B"/>
    <w:rsid w:val="4C6813E7"/>
    <w:rsid w:val="4C6A1041"/>
    <w:rsid w:val="4C7B10AA"/>
    <w:rsid w:val="4CD40EDA"/>
    <w:rsid w:val="4CD6689C"/>
    <w:rsid w:val="4CDE39A2"/>
    <w:rsid w:val="4CF213BF"/>
    <w:rsid w:val="4D0311BE"/>
    <w:rsid w:val="4D2E086B"/>
    <w:rsid w:val="4D7560B4"/>
    <w:rsid w:val="4D795F1D"/>
    <w:rsid w:val="4DD17574"/>
    <w:rsid w:val="4DE03F72"/>
    <w:rsid w:val="4DE66FB2"/>
    <w:rsid w:val="4E1E499E"/>
    <w:rsid w:val="4E771E1B"/>
    <w:rsid w:val="4E813215"/>
    <w:rsid w:val="4EA50069"/>
    <w:rsid w:val="4EEE303D"/>
    <w:rsid w:val="4EFB1955"/>
    <w:rsid w:val="4F304531"/>
    <w:rsid w:val="4F433012"/>
    <w:rsid w:val="4F617011"/>
    <w:rsid w:val="4F675A90"/>
    <w:rsid w:val="4F77574C"/>
    <w:rsid w:val="502A587C"/>
    <w:rsid w:val="503E21BB"/>
    <w:rsid w:val="5051480E"/>
    <w:rsid w:val="50B72EA8"/>
    <w:rsid w:val="512A18AC"/>
    <w:rsid w:val="513C0D41"/>
    <w:rsid w:val="5176064D"/>
    <w:rsid w:val="5183308C"/>
    <w:rsid w:val="51C66F43"/>
    <w:rsid w:val="51CD6957"/>
    <w:rsid w:val="52174C68"/>
    <w:rsid w:val="526B5CD8"/>
    <w:rsid w:val="52902274"/>
    <w:rsid w:val="52A445CA"/>
    <w:rsid w:val="52A511EA"/>
    <w:rsid w:val="52AF332A"/>
    <w:rsid w:val="52C218D9"/>
    <w:rsid w:val="52D25D57"/>
    <w:rsid w:val="52EB476D"/>
    <w:rsid w:val="52EC1163"/>
    <w:rsid w:val="52F757BE"/>
    <w:rsid w:val="53303F2B"/>
    <w:rsid w:val="53B37937"/>
    <w:rsid w:val="541F15BF"/>
    <w:rsid w:val="54322F51"/>
    <w:rsid w:val="54632732"/>
    <w:rsid w:val="548B2661"/>
    <w:rsid w:val="54C61875"/>
    <w:rsid w:val="54C61E2C"/>
    <w:rsid w:val="54C74C42"/>
    <w:rsid w:val="54DB18B7"/>
    <w:rsid w:val="54F2180D"/>
    <w:rsid w:val="550D6174"/>
    <w:rsid w:val="551045DB"/>
    <w:rsid w:val="552661B5"/>
    <w:rsid w:val="55323100"/>
    <w:rsid w:val="55344F04"/>
    <w:rsid w:val="556A6D47"/>
    <w:rsid w:val="5596306C"/>
    <w:rsid w:val="55B313A7"/>
    <w:rsid w:val="55FA2AB8"/>
    <w:rsid w:val="56114DE8"/>
    <w:rsid w:val="561A06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E31E69"/>
    <w:rsid w:val="58FE6FEB"/>
    <w:rsid w:val="59676643"/>
    <w:rsid w:val="59BE0066"/>
    <w:rsid w:val="59C03AED"/>
    <w:rsid w:val="59D1568E"/>
    <w:rsid w:val="59E707A4"/>
    <w:rsid w:val="59FD7B5D"/>
    <w:rsid w:val="5A822260"/>
    <w:rsid w:val="5A843DDB"/>
    <w:rsid w:val="5A955FE8"/>
    <w:rsid w:val="5ABC3575"/>
    <w:rsid w:val="5ABF6AC1"/>
    <w:rsid w:val="5B0959EC"/>
    <w:rsid w:val="5B783826"/>
    <w:rsid w:val="5BC86634"/>
    <w:rsid w:val="5C683B65"/>
    <w:rsid w:val="5CD8488B"/>
    <w:rsid w:val="5D7C5EAE"/>
    <w:rsid w:val="5DB80F79"/>
    <w:rsid w:val="5EF24640"/>
    <w:rsid w:val="5F261904"/>
    <w:rsid w:val="5F6D4912"/>
    <w:rsid w:val="5F7D78A8"/>
    <w:rsid w:val="5F903222"/>
    <w:rsid w:val="5F912F4D"/>
    <w:rsid w:val="5FA34F4D"/>
    <w:rsid w:val="5FC1162D"/>
    <w:rsid w:val="60BE2C44"/>
    <w:rsid w:val="60E31383"/>
    <w:rsid w:val="610A2B60"/>
    <w:rsid w:val="61190980"/>
    <w:rsid w:val="61795FBE"/>
    <w:rsid w:val="619568CD"/>
    <w:rsid w:val="61B74A96"/>
    <w:rsid w:val="61BF548E"/>
    <w:rsid w:val="61DA6504"/>
    <w:rsid w:val="62176272"/>
    <w:rsid w:val="623A31B8"/>
    <w:rsid w:val="62DA4EE0"/>
    <w:rsid w:val="636724EC"/>
    <w:rsid w:val="63835861"/>
    <w:rsid w:val="63E3341E"/>
    <w:rsid w:val="64455F3B"/>
    <w:rsid w:val="64750536"/>
    <w:rsid w:val="64B14D8B"/>
    <w:rsid w:val="64CB4AEA"/>
    <w:rsid w:val="64D96C0F"/>
    <w:rsid w:val="6524775C"/>
    <w:rsid w:val="655979E2"/>
    <w:rsid w:val="655C477C"/>
    <w:rsid w:val="6562264B"/>
    <w:rsid w:val="65670279"/>
    <w:rsid w:val="661F067B"/>
    <w:rsid w:val="66482160"/>
    <w:rsid w:val="66486845"/>
    <w:rsid w:val="66611A7D"/>
    <w:rsid w:val="667B5BE7"/>
    <w:rsid w:val="66B912B0"/>
    <w:rsid w:val="66CE5F5E"/>
    <w:rsid w:val="66F425DE"/>
    <w:rsid w:val="6759214B"/>
    <w:rsid w:val="67795BE8"/>
    <w:rsid w:val="681F6013"/>
    <w:rsid w:val="68212C69"/>
    <w:rsid w:val="68AF4354"/>
    <w:rsid w:val="68B74DF5"/>
    <w:rsid w:val="68CF0917"/>
    <w:rsid w:val="68E1064A"/>
    <w:rsid w:val="69143BC8"/>
    <w:rsid w:val="695B03FD"/>
    <w:rsid w:val="698C2EE8"/>
    <w:rsid w:val="69AA4EE0"/>
    <w:rsid w:val="69B838BB"/>
    <w:rsid w:val="69D012B2"/>
    <w:rsid w:val="69F108B1"/>
    <w:rsid w:val="6A2133F4"/>
    <w:rsid w:val="6A2953FE"/>
    <w:rsid w:val="6A2E5DB0"/>
    <w:rsid w:val="6A726EEE"/>
    <w:rsid w:val="6A73045B"/>
    <w:rsid w:val="6A8A28EE"/>
    <w:rsid w:val="6A9E17D6"/>
    <w:rsid w:val="6AB417B5"/>
    <w:rsid w:val="6ABF6769"/>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93DB8"/>
    <w:rsid w:val="6CC013A9"/>
    <w:rsid w:val="6CDC5203"/>
    <w:rsid w:val="6CE13944"/>
    <w:rsid w:val="6D0A227B"/>
    <w:rsid w:val="6DCA0612"/>
    <w:rsid w:val="6DD8026E"/>
    <w:rsid w:val="6DFD1A54"/>
    <w:rsid w:val="6E03355E"/>
    <w:rsid w:val="6E176337"/>
    <w:rsid w:val="6E235D5F"/>
    <w:rsid w:val="6E2420BF"/>
    <w:rsid w:val="6E59029D"/>
    <w:rsid w:val="6E6111A1"/>
    <w:rsid w:val="6E704B85"/>
    <w:rsid w:val="6E851A78"/>
    <w:rsid w:val="6E93207D"/>
    <w:rsid w:val="6E932C1C"/>
    <w:rsid w:val="6F0C55B6"/>
    <w:rsid w:val="6F285225"/>
    <w:rsid w:val="6F2F6BE9"/>
    <w:rsid w:val="6F5C26EC"/>
    <w:rsid w:val="6F8B7FB3"/>
    <w:rsid w:val="7048104D"/>
    <w:rsid w:val="70F34949"/>
    <w:rsid w:val="710D7763"/>
    <w:rsid w:val="71172C34"/>
    <w:rsid w:val="715C7408"/>
    <w:rsid w:val="718D56D9"/>
    <w:rsid w:val="71AA7506"/>
    <w:rsid w:val="71AD21A3"/>
    <w:rsid w:val="71DA0B5A"/>
    <w:rsid w:val="71FB4625"/>
    <w:rsid w:val="72083B4D"/>
    <w:rsid w:val="725A7D17"/>
    <w:rsid w:val="728574F4"/>
    <w:rsid w:val="72C65703"/>
    <w:rsid w:val="73193DEC"/>
    <w:rsid w:val="734931FB"/>
    <w:rsid w:val="737A29C8"/>
    <w:rsid w:val="73A36AB1"/>
    <w:rsid w:val="73A63C37"/>
    <w:rsid w:val="73BC0E66"/>
    <w:rsid w:val="73F676A0"/>
    <w:rsid w:val="743027C5"/>
    <w:rsid w:val="746266C3"/>
    <w:rsid w:val="747A72CF"/>
    <w:rsid w:val="748E5B2A"/>
    <w:rsid w:val="74B6359C"/>
    <w:rsid w:val="74DA0989"/>
    <w:rsid w:val="74DB2A67"/>
    <w:rsid w:val="74E41BEE"/>
    <w:rsid w:val="74EC45FF"/>
    <w:rsid w:val="750D549E"/>
    <w:rsid w:val="75216649"/>
    <w:rsid w:val="75226272"/>
    <w:rsid w:val="754601B3"/>
    <w:rsid w:val="75DF6321"/>
    <w:rsid w:val="75F8738A"/>
    <w:rsid w:val="76571277"/>
    <w:rsid w:val="76725133"/>
    <w:rsid w:val="76F45E0A"/>
    <w:rsid w:val="77115F1A"/>
    <w:rsid w:val="7781145A"/>
    <w:rsid w:val="77B01CE7"/>
    <w:rsid w:val="77B92B54"/>
    <w:rsid w:val="77E233DF"/>
    <w:rsid w:val="78107B3D"/>
    <w:rsid w:val="78126A72"/>
    <w:rsid w:val="784D6F97"/>
    <w:rsid w:val="78C0202A"/>
    <w:rsid w:val="78C4725D"/>
    <w:rsid w:val="79297BE8"/>
    <w:rsid w:val="796230E1"/>
    <w:rsid w:val="797E0817"/>
    <w:rsid w:val="79FB1858"/>
    <w:rsid w:val="7A6F538E"/>
    <w:rsid w:val="7AE80322"/>
    <w:rsid w:val="7B0402DA"/>
    <w:rsid w:val="7B1B0A5C"/>
    <w:rsid w:val="7BBA0721"/>
    <w:rsid w:val="7BD55DED"/>
    <w:rsid w:val="7BD9150F"/>
    <w:rsid w:val="7BDD1298"/>
    <w:rsid w:val="7BE26613"/>
    <w:rsid w:val="7C0148BF"/>
    <w:rsid w:val="7C06069C"/>
    <w:rsid w:val="7C077F70"/>
    <w:rsid w:val="7CAB4087"/>
    <w:rsid w:val="7CCD740C"/>
    <w:rsid w:val="7D7805FA"/>
    <w:rsid w:val="7D790DF2"/>
    <w:rsid w:val="7D977508"/>
    <w:rsid w:val="7DA617D2"/>
    <w:rsid w:val="7DEC6A9C"/>
    <w:rsid w:val="7E085630"/>
    <w:rsid w:val="7E1370A0"/>
    <w:rsid w:val="7E14077C"/>
    <w:rsid w:val="7EC80CAB"/>
    <w:rsid w:val="7ECF2FC7"/>
    <w:rsid w:val="7F1B620C"/>
    <w:rsid w:val="7F3545E7"/>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2"/>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4"/>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39"/>
    <w:autoRedefine/>
    <w:semiHidden/>
    <w:unhideWhenUsed/>
    <w:qFormat/>
    <w:uiPriority w:val="99"/>
    <w:pPr>
      <w:spacing w:after="0"/>
    </w:pPr>
    <w:rPr>
      <w:sz w:val="18"/>
      <w:szCs w:val="18"/>
    </w:rPr>
  </w:style>
  <w:style w:type="paragraph" w:styleId="14">
    <w:name w:val="footer"/>
    <w:basedOn w:val="1"/>
    <w:link w:val="31"/>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3"/>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四级条标题"/>
    <w:basedOn w:val="25"/>
    <w:next w:val="29"/>
    <w:autoRedefine/>
    <w:qFormat/>
    <w:uiPriority w:val="0"/>
    <w:pPr>
      <w:tabs>
        <w:tab w:val="left" w:pos="1260"/>
      </w:tabs>
      <w:outlineLvl w:val="5"/>
    </w:pPr>
    <w:rPr>
      <w:szCs w:val="20"/>
    </w:rPr>
  </w:style>
  <w:style w:type="paragraph" w:customStyle="1" w:styleId="25">
    <w:name w:val="三级条标题"/>
    <w:basedOn w:val="26"/>
    <w:next w:val="29"/>
    <w:autoRedefine/>
    <w:qFormat/>
    <w:uiPriority w:val="0"/>
    <w:pPr>
      <w:numPr>
        <w:ilvl w:val="0"/>
        <w:numId w:val="0"/>
      </w:numPr>
      <w:tabs>
        <w:tab w:val="left" w:pos="1260"/>
      </w:tabs>
      <w:outlineLvl w:val="4"/>
    </w:pPr>
  </w:style>
  <w:style w:type="paragraph" w:customStyle="1" w:styleId="26">
    <w:name w:val="二级条标题"/>
    <w:basedOn w:val="27"/>
    <w:next w:val="29"/>
    <w:autoRedefine/>
    <w:qFormat/>
    <w:uiPriority w:val="0"/>
    <w:pPr>
      <w:numPr>
        <w:ilvl w:val="3"/>
      </w:numPr>
      <w:tabs>
        <w:tab w:val="left" w:pos="1260"/>
      </w:tabs>
      <w:outlineLvl w:val="3"/>
    </w:pPr>
  </w:style>
  <w:style w:type="paragraph" w:customStyle="1" w:styleId="27">
    <w:name w:val="一级条标题"/>
    <w:basedOn w:val="28"/>
    <w:next w:val="29"/>
    <w:autoRedefine/>
    <w:qFormat/>
    <w:uiPriority w:val="0"/>
    <w:pPr>
      <w:numPr>
        <w:ilvl w:val="2"/>
        <w:numId w:val="1"/>
      </w:numPr>
      <w:spacing w:beforeLines="0" w:afterLines="0"/>
      <w:outlineLvl w:val="2"/>
    </w:pPr>
  </w:style>
  <w:style w:type="paragraph" w:customStyle="1" w:styleId="28">
    <w:name w:val="章标题"/>
    <w:next w:val="29"/>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9">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1">
    <w:name w:val="页脚 Char"/>
    <w:basedOn w:val="20"/>
    <w:link w:val="14"/>
    <w:autoRedefine/>
    <w:qFormat/>
    <w:uiPriority w:val="99"/>
    <w:rPr>
      <w:rFonts w:ascii="Times New Roman" w:hAnsi="Times New Roman" w:eastAsia="宋体" w:cs="Times New Roman"/>
      <w:kern w:val="2"/>
      <w:sz w:val="18"/>
      <w:szCs w:val="18"/>
    </w:rPr>
  </w:style>
  <w:style w:type="character" w:customStyle="1" w:styleId="32">
    <w:name w:val="正文缩进 Char"/>
    <w:link w:val="5"/>
    <w:autoRedefine/>
    <w:qFormat/>
    <w:uiPriority w:val="0"/>
    <w:rPr>
      <w:rFonts w:ascii="Times New Roman" w:hAnsi="Times New Roman" w:eastAsia="宋体"/>
      <w:kern w:val="2"/>
      <w:sz w:val="21"/>
    </w:rPr>
  </w:style>
  <w:style w:type="character" w:customStyle="1" w:styleId="33">
    <w:name w:val="页眉 Char"/>
    <w:basedOn w:val="20"/>
    <w:link w:val="15"/>
    <w:autoRedefine/>
    <w:semiHidden/>
    <w:qFormat/>
    <w:uiPriority w:val="99"/>
    <w:rPr>
      <w:rFonts w:ascii="Tahoma" w:hAnsi="Tahoma"/>
      <w:sz w:val="18"/>
      <w:szCs w:val="18"/>
    </w:rPr>
  </w:style>
  <w:style w:type="character" w:customStyle="1" w:styleId="34">
    <w:name w:val="文档结构图 Char"/>
    <w:basedOn w:val="20"/>
    <w:link w:val="6"/>
    <w:autoRedefine/>
    <w:semiHidden/>
    <w:qFormat/>
    <w:uiPriority w:val="99"/>
    <w:rPr>
      <w:rFonts w:ascii="宋体" w:hAnsi="Tahoma" w:eastAsia="宋体"/>
      <w:sz w:val="18"/>
      <w:szCs w:val="18"/>
    </w:rPr>
  </w:style>
  <w:style w:type="paragraph" w:customStyle="1" w:styleId="35">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6">
    <w:name w:val="List Paragraph"/>
    <w:basedOn w:val="1"/>
    <w:autoRedefine/>
    <w:qFormat/>
    <w:uiPriority w:val="34"/>
    <w:pPr>
      <w:ind w:firstLine="420" w:firstLineChars="200"/>
    </w:pPr>
  </w:style>
  <w:style w:type="paragraph" w:customStyle="1" w:styleId="37">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9">
    <w:name w:val="批注框文本 Char"/>
    <w:basedOn w:val="20"/>
    <w:link w:val="13"/>
    <w:autoRedefine/>
    <w:semiHidden/>
    <w:qFormat/>
    <w:uiPriority w:val="99"/>
    <w:rPr>
      <w:rFonts w:ascii="Tahoma" w:hAnsi="Tahoma" w:eastAsia="微软雅黑" w:cstheme="minorBidi"/>
      <w:sz w:val="18"/>
      <w:szCs w:val="18"/>
    </w:rPr>
  </w:style>
  <w:style w:type="paragraph" w:customStyle="1" w:styleId="40">
    <w:name w:val="正文1"/>
    <w:next w:val="1"/>
    <w:link w:val="4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1">
    <w:name w:val="正文1 Char"/>
    <w:link w:val="40"/>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2748</Words>
  <Characters>3055</Characters>
  <Lines>11</Lines>
  <Paragraphs>3</Paragraphs>
  <TotalTime>11</TotalTime>
  <ScaleCrop>false</ScaleCrop>
  <LinksUpToDate>false</LinksUpToDate>
  <CharactersWithSpaces>3078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2025-08-18T02:57:06Z</cp:lastPrinted>
  <dcterms:modified xsi:type="dcterms:W3CDTF">2025-08-18T03:12:04Z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E37B3901049C4BAFA8925FEE6974EA08_13</vt:lpwstr>
  </property>
  <property fmtid="{D5CDD505-2E9C-101B-9397-08002B2CF9AE}" pid="4" name="KSOTemplateDocerSaveRecord">
    <vt:lpwstr>eyJoZGlkIjoiN2U5ODUwNGE2YjA2ZGVjM2MxMWQ3YzVhMjMyMjQ5ZjciLCJ1c2VySWQiOiIyMjgxMjk1OTUifQ==</vt:lpwstr>
  </property>
</Properties>
</file>