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982A">
      <w:pPr>
        <w:spacing w:line="240" w:lineRule="auto"/>
        <w:ind w:firstLine="0" w:firstLineChars="0"/>
        <w:rPr>
          <w:sz w:val="36"/>
          <w:szCs w:val="36"/>
        </w:rPr>
      </w:pPr>
    </w:p>
    <w:p w14:paraId="294C194F">
      <w:pPr>
        <w:ind w:firstLine="480"/>
      </w:pPr>
    </w:p>
    <w:p w14:paraId="44FDA52E">
      <w:pPr>
        <w:spacing w:line="240" w:lineRule="auto"/>
        <w:ind w:firstLine="0" w:firstLineChars="0"/>
        <w:rPr>
          <w:sz w:val="36"/>
          <w:szCs w:val="36"/>
        </w:rPr>
      </w:pPr>
    </w:p>
    <w:p w14:paraId="54637FE3">
      <w:pPr>
        <w:ind w:firstLine="480"/>
      </w:pPr>
      <w:bookmarkStart w:id="0" w:name="_Toc29258"/>
      <w:bookmarkStart w:id="1" w:name="_Toc12852"/>
    </w:p>
    <w:p w14:paraId="6474924F">
      <w:pPr>
        <w:adjustRightInd w:val="0"/>
        <w:snapToGrid w:val="0"/>
        <w:spacing w:line="240" w:lineRule="auto"/>
        <w:ind w:firstLine="0" w:firstLineChars="0"/>
        <w:jc w:val="center"/>
        <w:outlineLvl w:val="0"/>
        <w:rPr>
          <w:b/>
          <w:sz w:val="72"/>
          <w:szCs w:val="72"/>
        </w:rPr>
      </w:pPr>
      <w:bookmarkStart w:id="2" w:name="_Toc17971"/>
      <w:r>
        <w:rPr>
          <w:b/>
          <w:sz w:val="72"/>
          <w:szCs w:val="72"/>
        </w:rPr>
        <w:t>建设项目环境影响报告表</w:t>
      </w:r>
      <w:bookmarkEnd w:id="0"/>
      <w:bookmarkEnd w:id="1"/>
      <w:bookmarkEnd w:id="2"/>
    </w:p>
    <w:p w14:paraId="2E925E8E">
      <w:pPr>
        <w:adjustRightInd w:val="0"/>
        <w:snapToGrid w:val="0"/>
        <w:spacing w:before="249" w:beforeLines="80" w:line="240" w:lineRule="auto"/>
        <w:ind w:firstLine="0" w:firstLineChars="0"/>
        <w:jc w:val="center"/>
        <w:rPr>
          <w:b/>
          <w:sz w:val="48"/>
          <w:szCs w:val="48"/>
        </w:rPr>
      </w:pPr>
      <w:r>
        <w:rPr>
          <w:rFonts w:hint="eastAsia"/>
          <w:b/>
          <w:sz w:val="48"/>
          <w:szCs w:val="48"/>
        </w:rPr>
        <w:t>（</w:t>
      </w:r>
      <w:r>
        <w:rPr>
          <w:b/>
          <w:sz w:val="48"/>
          <w:szCs w:val="48"/>
        </w:rPr>
        <w:t>污染影响类）</w:t>
      </w:r>
    </w:p>
    <w:p w14:paraId="08CD42FE">
      <w:pPr>
        <w:adjustRightInd w:val="0"/>
        <w:snapToGrid w:val="0"/>
        <w:spacing w:line="288" w:lineRule="auto"/>
        <w:ind w:firstLine="0" w:firstLineChars="0"/>
        <w:jc w:val="center"/>
        <w:rPr>
          <w:b/>
          <w:kern w:val="44"/>
          <w:sz w:val="44"/>
          <w:szCs w:val="44"/>
        </w:rPr>
      </w:pPr>
    </w:p>
    <w:p w14:paraId="25F736E5">
      <w:pPr>
        <w:spacing w:line="240" w:lineRule="auto"/>
        <w:ind w:firstLine="0" w:firstLineChars="0"/>
        <w:jc w:val="center"/>
        <w:rPr>
          <w:b/>
          <w:sz w:val="52"/>
          <w:szCs w:val="52"/>
        </w:rPr>
      </w:pPr>
    </w:p>
    <w:p w14:paraId="62E4FE7D">
      <w:pPr>
        <w:spacing w:line="240" w:lineRule="auto"/>
        <w:ind w:firstLine="1040" w:firstLineChars="0"/>
        <w:rPr>
          <w:b/>
          <w:sz w:val="44"/>
          <w:szCs w:val="44"/>
        </w:rPr>
      </w:pPr>
    </w:p>
    <w:p w14:paraId="24F240AA">
      <w:pPr>
        <w:spacing w:line="240" w:lineRule="auto"/>
        <w:ind w:firstLine="1040" w:firstLineChars="0"/>
        <w:rPr>
          <w:b/>
          <w:sz w:val="44"/>
          <w:szCs w:val="44"/>
        </w:rPr>
      </w:pPr>
    </w:p>
    <w:p w14:paraId="28D02132">
      <w:pPr>
        <w:spacing w:line="240" w:lineRule="auto"/>
        <w:ind w:firstLine="0" w:firstLineChars="0"/>
        <w:rPr>
          <w:b/>
          <w:sz w:val="44"/>
          <w:szCs w:val="44"/>
        </w:rPr>
      </w:pPr>
    </w:p>
    <w:p w14:paraId="59ADE205">
      <w:pPr>
        <w:spacing w:line="240" w:lineRule="auto"/>
        <w:ind w:firstLine="1040" w:firstLineChars="0"/>
        <w:rPr>
          <w:b/>
          <w:sz w:val="44"/>
          <w:szCs w:val="44"/>
        </w:rPr>
      </w:pPr>
    </w:p>
    <w:p w14:paraId="2E25EA1F">
      <w:pPr>
        <w:adjustRightInd w:val="0"/>
        <w:snapToGrid w:val="0"/>
        <w:ind w:firstLine="0" w:firstLineChars="0"/>
        <w:rPr>
          <w:b/>
          <w:sz w:val="32"/>
          <w:szCs w:val="32"/>
        </w:rPr>
      </w:pPr>
      <w:r>
        <w:rPr>
          <w:rFonts w:hint="eastAsia"/>
          <w:b/>
          <w:sz w:val="32"/>
          <w:szCs w:val="32"/>
        </w:rPr>
        <w:t>项  目  名  称 ：</w:t>
      </w:r>
      <w:r>
        <w:rPr>
          <w:rFonts w:hint="eastAsia"/>
          <w:b/>
          <w:sz w:val="32"/>
          <w:szCs w:val="32"/>
          <w:u w:val="single"/>
        </w:rPr>
        <w:t xml:space="preserve"> </w:t>
      </w:r>
      <w:r>
        <w:rPr>
          <w:rFonts w:hint="eastAsia"/>
          <w:b/>
          <w:sz w:val="32"/>
          <w:szCs w:val="32"/>
          <w:u w:val="single"/>
          <w:lang w:val="en-US" w:eastAsia="zh-CN"/>
        </w:rPr>
        <w:t xml:space="preserve"> </w:t>
      </w:r>
      <w:r>
        <w:rPr>
          <w:rFonts w:hint="eastAsia"/>
          <w:b/>
          <w:sz w:val="32"/>
          <w:szCs w:val="32"/>
          <w:u w:val="single"/>
          <w:lang w:eastAsia="zh-CN"/>
        </w:rPr>
        <w:t>年产6000吨玻璃纤维颗粒建设项目</w:t>
      </w:r>
      <w:r>
        <w:rPr>
          <w:rFonts w:hint="eastAsia"/>
          <w:b/>
          <w:sz w:val="32"/>
          <w:szCs w:val="32"/>
          <w:u w:val="single"/>
        </w:rPr>
        <w:t xml:space="preserve">       </w:t>
      </w:r>
      <w:r>
        <w:rPr>
          <w:rFonts w:hint="eastAsia"/>
          <w:b/>
          <w:sz w:val="32"/>
          <w:szCs w:val="32"/>
        </w:rPr>
        <w:t xml:space="preserve">           </w:t>
      </w:r>
    </w:p>
    <w:p w14:paraId="6BE5C7BF">
      <w:pPr>
        <w:adjustRightInd w:val="0"/>
        <w:snapToGrid w:val="0"/>
        <w:ind w:firstLine="0" w:firstLineChars="0"/>
        <w:rPr>
          <w:b/>
          <w:sz w:val="32"/>
          <w:szCs w:val="32"/>
          <w:u w:val="single"/>
        </w:rPr>
      </w:pPr>
      <w:r>
        <w:rPr>
          <w:rFonts w:hint="eastAsia"/>
          <w:b/>
          <w:sz w:val="32"/>
          <w:szCs w:val="32"/>
        </w:rPr>
        <w:t>建设单位（盖章）：</w:t>
      </w:r>
      <w:r>
        <w:rPr>
          <w:rFonts w:hint="eastAsia"/>
          <w:b/>
          <w:sz w:val="32"/>
          <w:szCs w:val="32"/>
          <w:u w:val="single"/>
        </w:rPr>
        <w:t xml:space="preserve">   </w:t>
      </w:r>
      <w:r>
        <w:rPr>
          <w:rFonts w:hint="eastAsia"/>
          <w:b/>
          <w:sz w:val="32"/>
          <w:szCs w:val="32"/>
          <w:u w:val="single"/>
          <w:lang w:val="en-US" w:eastAsia="zh-CN"/>
        </w:rPr>
        <w:t xml:space="preserve">  </w:t>
      </w:r>
      <w:r>
        <w:rPr>
          <w:rFonts w:hint="eastAsia"/>
          <w:b/>
          <w:sz w:val="32"/>
          <w:szCs w:val="32"/>
          <w:u w:val="single"/>
          <w:lang w:eastAsia="zh-CN"/>
        </w:rPr>
        <w:t>岳阳县日辰新材料有限公司</w:t>
      </w:r>
      <w:r>
        <w:rPr>
          <w:rFonts w:hint="eastAsia"/>
          <w:b/>
          <w:sz w:val="32"/>
          <w:szCs w:val="32"/>
          <w:u w:val="single"/>
        </w:rPr>
        <w:t xml:space="preserve">       </w:t>
      </w:r>
    </w:p>
    <w:p w14:paraId="7F1B6E83">
      <w:pPr>
        <w:adjustRightInd w:val="0"/>
        <w:snapToGrid w:val="0"/>
        <w:ind w:firstLine="0" w:firstLineChars="0"/>
        <w:rPr>
          <w:b/>
          <w:sz w:val="32"/>
          <w:szCs w:val="32"/>
          <w:u w:val="thick"/>
        </w:rPr>
      </w:pPr>
      <w:r>
        <w:rPr>
          <w:rFonts w:hint="eastAsia"/>
          <w:b/>
          <w:sz w:val="32"/>
          <w:szCs w:val="32"/>
        </w:rPr>
        <w:t>编  制  日  期 ：</w:t>
      </w:r>
      <w:r>
        <w:rPr>
          <w:rFonts w:hint="eastAsia"/>
          <w:b/>
          <w:sz w:val="32"/>
          <w:szCs w:val="32"/>
          <w:u w:val="single"/>
        </w:rPr>
        <w:t xml:space="preserve">           </w:t>
      </w:r>
      <w:r>
        <w:rPr>
          <w:rFonts w:hint="eastAsia"/>
          <w:b/>
          <w:sz w:val="32"/>
          <w:szCs w:val="32"/>
          <w:u w:val="single"/>
          <w:lang w:val="en-US" w:eastAsia="zh-CN"/>
        </w:rPr>
        <w:t xml:space="preserve"> </w:t>
      </w:r>
      <w:r>
        <w:rPr>
          <w:rFonts w:hint="eastAsia"/>
          <w:b/>
          <w:sz w:val="32"/>
          <w:szCs w:val="32"/>
          <w:u w:val="single"/>
        </w:rPr>
        <w:t xml:space="preserve"> 202</w:t>
      </w:r>
      <w:r>
        <w:rPr>
          <w:rFonts w:hint="eastAsia"/>
          <w:b/>
          <w:sz w:val="32"/>
          <w:szCs w:val="32"/>
          <w:u w:val="single"/>
          <w:lang w:val="en-US" w:eastAsia="zh-CN"/>
        </w:rPr>
        <w:t>5</w:t>
      </w:r>
      <w:r>
        <w:rPr>
          <w:rFonts w:hint="eastAsia"/>
          <w:b/>
          <w:sz w:val="32"/>
          <w:szCs w:val="32"/>
          <w:u w:val="single"/>
        </w:rPr>
        <w:t>年</w:t>
      </w:r>
      <w:r>
        <w:rPr>
          <w:rFonts w:hint="eastAsia"/>
          <w:b/>
          <w:sz w:val="32"/>
          <w:szCs w:val="32"/>
          <w:u w:val="single"/>
          <w:lang w:val="en-US" w:eastAsia="zh-CN"/>
        </w:rPr>
        <w:t>8</w:t>
      </w:r>
      <w:r>
        <w:rPr>
          <w:rFonts w:hint="eastAsia"/>
          <w:b/>
          <w:sz w:val="32"/>
          <w:szCs w:val="32"/>
          <w:u w:val="single"/>
        </w:rPr>
        <w:t xml:space="preserve">月        </w:t>
      </w:r>
      <w:r>
        <w:rPr>
          <w:rFonts w:hint="eastAsia"/>
          <w:b/>
          <w:sz w:val="32"/>
          <w:szCs w:val="32"/>
          <w:u w:val="single"/>
          <w:lang w:val="en-US" w:eastAsia="zh-CN"/>
        </w:rPr>
        <w:t xml:space="preserve"> </w:t>
      </w:r>
      <w:r>
        <w:rPr>
          <w:rFonts w:hint="eastAsia"/>
          <w:b/>
          <w:sz w:val="32"/>
          <w:szCs w:val="32"/>
          <w:u w:val="single"/>
        </w:rPr>
        <w:t xml:space="preserve">    </w:t>
      </w:r>
    </w:p>
    <w:p w14:paraId="0A95429C">
      <w:pPr>
        <w:adjustRightInd w:val="0"/>
        <w:snapToGrid w:val="0"/>
        <w:ind w:firstLineChars="300"/>
        <w:rPr>
          <w:b/>
          <w:sz w:val="32"/>
          <w:szCs w:val="32"/>
        </w:rPr>
      </w:pPr>
      <w:r>
        <w:rPr>
          <w:rFonts w:hint="eastAsia"/>
          <w:b/>
          <w:sz w:val="32"/>
          <w:szCs w:val="32"/>
        </w:rPr>
        <w:t xml:space="preserve">        </w:t>
      </w:r>
    </w:p>
    <w:p w14:paraId="62D5467D">
      <w:pPr>
        <w:adjustRightInd w:val="0"/>
        <w:snapToGrid w:val="0"/>
        <w:spacing w:line="288" w:lineRule="auto"/>
        <w:ind w:firstLine="1040" w:firstLineChars="0"/>
        <w:rPr>
          <w:b/>
          <w:sz w:val="36"/>
          <w:szCs w:val="36"/>
        </w:rPr>
      </w:pPr>
      <w:bookmarkStart w:id="3" w:name="_Hlk57884087"/>
    </w:p>
    <w:p w14:paraId="6ED2E79B">
      <w:pPr>
        <w:adjustRightInd w:val="0"/>
        <w:snapToGrid w:val="0"/>
        <w:spacing w:line="288" w:lineRule="auto"/>
        <w:ind w:firstLine="0" w:firstLineChars="0"/>
        <w:rPr>
          <w:b/>
          <w:sz w:val="36"/>
          <w:szCs w:val="36"/>
        </w:rPr>
      </w:pPr>
    </w:p>
    <w:bookmarkEnd w:id="3"/>
    <w:p w14:paraId="3B62CA7E">
      <w:pPr>
        <w:adjustRightInd w:val="0"/>
        <w:snapToGrid w:val="0"/>
        <w:spacing w:line="288" w:lineRule="auto"/>
        <w:ind w:firstLine="0" w:firstLineChars="0"/>
        <w:rPr>
          <w:b/>
          <w:sz w:val="36"/>
          <w:szCs w:val="36"/>
        </w:rPr>
      </w:pPr>
    </w:p>
    <w:p w14:paraId="025C5172">
      <w:pPr>
        <w:adjustRightInd w:val="0"/>
        <w:snapToGrid w:val="0"/>
        <w:spacing w:line="288" w:lineRule="auto"/>
        <w:ind w:firstLine="0" w:firstLineChars="0"/>
        <w:rPr>
          <w:b/>
          <w:sz w:val="36"/>
          <w:szCs w:val="36"/>
        </w:rPr>
      </w:pPr>
    </w:p>
    <w:p w14:paraId="1CC3C659">
      <w:pPr>
        <w:adjustRightInd w:val="0"/>
        <w:snapToGrid w:val="0"/>
        <w:spacing w:line="288" w:lineRule="auto"/>
        <w:ind w:firstLine="0" w:firstLineChars="0"/>
        <w:rPr>
          <w:b/>
          <w:sz w:val="36"/>
          <w:szCs w:val="36"/>
        </w:rPr>
      </w:pPr>
    </w:p>
    <w:p w14:paraId="313F3D0A">
      <w:pPr>
        <w:widowControl/>
        <w:spacing w:line="240" w:lineRule="auto"/>
        <w:ind w:firstLine="0" w:firstLineChars="0"/>
        <w:jc w:val="center"/>
        <w:outlineLvl w:val="0"/>
        <w:rPr>
          <w:b/>
          <w:sz w:val="36"/>
          <w:szCs w:val="36"/>
        </w:rPr>
      </w:pPr>
      <w:bookmarkStart w:id="4" w:name="_Toc31648"/>
      <w:bookmarkStart w:id="5" w:name="_Toc19537"/>
      <w:r>
        <w:rPr>
          <w:b/>
          <w:sz w:val="36"/>
          <w:szCs w:val="36"/>
        </w:rPr>
        <w:t>中华人民共和国生态环境部制</w:t>
      </w:r>
      <w:bookmarkEnd w:id="4"/>
      <w:bookmarkEnd w:id="5"/>
    </w:p>
    <w:p w14:paraId="38F10F7C">
      <w:pPr>
        <w:ind w:firstLine="480"/>
      </w:pPr>
      <w:r>
        <w:br w:type="page"/>
      </w:r>
    </w:p>
    <w:sdt>
      <w:sdtPr>
        <w:rPr>
          <w:rFonts w:ascii="宋体" w:hAnsi="宋体"/>
          <w:b/>
          <w:bCs/>
          <w:sz w:val="32"/>
          <w:szCs w:val="32"/>
        </w:rPr>
        <w:id w:val="147472210"/>
        <w:docPartObj>
          <w:docPartGallery w:val="Table of Contents"/>
          <w:docPartUnique/>
        </w:docPartObj>
      </w:sdtPr>
      <w:sdtEndPr>
        <w:rPr>
          <w:rFonts w:hint="eastAsia" w:ascii="Times New Roman" w:hAnsi="Times New Roman"/>
          <w:b/>
          <w:bCs/>
          <w:sz w:val="24"/>
          <w:szCs w:val="24"/>
        </w:rPr>
      </w:sdtEndPr>
      <w:sdtContent>
        <w:p w14:paraId="21C916C1">
          <w:pPr>
            <w:spacing w:line="240" w:lineRule="auto"/>
            <w:ind w:firstLine="0" w:firstLineChars="0"/>
            <w:jc w:val="center"/>
          </w:pPr>
          <w:r>
            <w:rPr>
              <w:rFonts w:ascii="宋体" w:hAnsi="宋体"/>
              <w:b/>
              <w:bCs/>
              <w:sz w:val="32"/>
              <w:szCs w:val="32"/>
            </w:rPr>
            <w:t>目录</w:t>
          </w: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p>
        <w:p w14:paraId="3C6F51B0">
          <w:pPr>
            <w:pStyle w:val="9"/>
            <w:tabs>
              <w:tab w:val="right" w:leader="dot" w:pos="8306"/>
            </w:tabs>
            <w:ind w:firstLine="482"/>
            <w:rPr>
              <w:b/>
              <w:bCs/>
            </w:rPr>
          </w:pPr>
          <w:r>
            <w:fldChar w:fldCharType="begin"/>
          </w:r>
          <w:r>
            <w:instrText xml:space="preserve"> HYPERLINK \l "_Toc9985" </w:instrText>
          </w:r>
          <w:r>
            <w:fldChar w:fldCharType="separate"/>
          </w:r>
          <w:r>
            <w:rPr>
              <w:b/>
              <w:bCs/>
            </w:rPr>
            <w:t>一、建设项目基本情况</w:t>
          </w:r>
          <w:r>
            <w:rPr>
              <w:b/>
              <w:bCs/>
            </w:rPr>
            <w:tab/>
          </w:r>
          <w:r>
            <w:rPr>
              <w:b/>
              <w:bCs/>
            </w:rPr>
            <w:fldChar w:fldCharType="begin"/>
          </w:r>
          <w:r>
            <w:rPr>
              <w:b/>
              <w:bCs/>
            </w:rPr>
            <w:instrText xml:space="preserve"> PAGEREF _Toc9985 \h </w:instrText>
          </w:r>
          <w:r>
            <w:rPr>
              <w:b/>
              <w:bCs/>
            </w:rPr>
            <w:fldChar w:fldCharType="separate"/>
          </w:r>
          <w:r>
            <w:rPr>
              <w:b/>
              <w:bCs/>
            </w:rPr>
            <w:t>1</w:t>
          </w:r>
          <w:r>
            <w:rPr>
              <w:b/>
              <w:bCs/>
            </w:rPr>
            <w:fldChar w:fldCharType="end"/>
          </w:r>
          <w:r>
            <w:rPr>
              <w:b/>
              <w:bCs/>
            </w:rPr>
            <w:fldChar w:fldCharType="end"/>
          </w:r>
        </w:p>
        <w:p w14:paraId="18DDF3E2">
          <w:pPr>
            <w:pStyle w:val="9"/>
            <w:tabs>
              <w:tab w:val="right" w:leader="dot" w:pos="8306"/>
            </w:tabs>
            <w:ind w:firstLine="482"/>
            <w:rPr>
              <w:b/>
              <w:bCs/>
            </w:rPr>
          </w:pPr>
          <w:r>
            <w:fldChar w:fldCharType="begin"/>
          </w:r>
          <w:r>
            <w:instrText xml:space="preserve"> HYPERLINK \l "_Toc21316" </w:instrText>
          </w:r>
          <w:r>
            <w:fldChar w:fldCharType="separate"/>
          </w:r>
          <w:r>
            <w:rPr>
              <w:b/>
              <w:bCs/>
            </w:rPr>
            <w:t>二、建设项目工程分析</w:t>
          </w:r>
          <w:r>
            <w:rPr>
              <w:b/>
              <w:bCs/>
            </w:rPr>
            <w:tab/>
          </w:r>
          <w:r>
            <w:rPr>
              <w:b/>
              <w:bCs/>
            </w:rPr>
            <w:fldChar w:fldCharType="begin"/>
          </w:r>
          <w:r>
            <w:rPr>
              <w:b/>
              <w:bCs/>
            </w:rPr>
            <w:instrText xml:space="preserve"> PAGEREF _Toc21316 \h </w:instrText>
          </w:r>
          <w:r>
            <w:rPr>
              <w:b/>
              <w:bCs/>
            </w:rPr>
            <w:fldChar w:fldCharType="separate"/>
          </w:r>
          <w:r>
            <w:rPr>
              <w:b/>
              <w:bCs/>
            </w:rPr>
            <w:t>9</w:t>
          </w:r>
          <w:r>
            <w:rPr>
              <w:b/>
              <w:bCs/>
            </w:rPr>
            <w:fldChar w:fldCharType="end"/>
          </w:r>
          <w:r>
            <w:rPr>
              <w:b/>
              <w:bCs/>
            </w:rPr>
            <w:fldChar w:fldCharType="end"/>
          </w:r>
        </w:p>
        <w:p w14:paraId="3FA31351">
          <w:pPr>
            <w:pStyle w:val="9"/>
            <w:tabs>
              <w:tab w:val="right" w:leader="dot" w:pos="8306"/>
            </w:tabs>
            <w:ind w:firstLine="482"/>
            <w:rPr>
              <w:b/>
              <w:bCs/>
            </w:rPr>
          </w:pPr>
          <w:r>
            <w:fldChar w:fldCharType="begin"/>
          </w:r>
          <w:r>
            <w:instrText xml:space="preserve"> HYPERLINK \l "_Toc20279" </w:instrText>
          </w:r>
          <w:r>
            <w:fldChar w:fldCharType="separate"/>
          </w:r>
          <w:r>
            <w:rPr>
              <w:rFonts w:hint="eastAsia"/>
              <w:b/>
              <w:bCs/>
            </w:rPr>
            <w:t xml:space="preserve">三、 </w:t>
          </w:r>
          <w:r>
            <w:rPr>
              <w:b/>
              <w:bCs/>
            </w:rPr>
            <w:t>区域环境质量现状、环境保护目标及评价标准</w:t>
          </w:r>
          <w:r>
            <w:rPr>
              <w:b/>
              <w:bCs/>
            </w:rPr>
            <w:tab/>
          </w:r>
          <w:r>
            <w:rPr>
              <w:b/>
              <w:bCs/>
            </w:rPr>
            <w:fldChar w:fldCharType="begin"/>
          </w:r>
          <w:r>
            <w:rPr>
              <w:b/>
              <w:bCs/>
            </w:rPr>
            <w:instrText xml:space="preserve"> PAGEREF _Toc20279 \h </w:instrText>
          </w:r>
          <w:r>
            <w:rPr>
              <w:b/>
              <w:bCs/>
            </w:rPr>
            <w:fldChar w:fldCharType="separate"/>
          </w:r>
          <w:r>
            <w:rPr>
              <w:b/>
              <w:bCs/>
            </w:rPr>
            <w:t>13</w:t>
          </w:r>
          <w:r>
            <w:rPr>
              <w:b/>
              <w:bCs/>
            </w:rPr>
            <w:fldChar w:fldCharType="end"/>
          </w:r>
          <w:r>
            <w:rPr>
              <w:b/>
              <w:bCs/>
            </w:rPr>
            <w:fldChar w:fldCharType="end"/>
          </w:r>
        </w:p>
        <w:p w14:paraId="14D1BD40">
          <w:pPr>
            <w:pStyle w:val="9"/>
            <w:tabs>
              <w:tab w:val="right" w:leader="dot" w:pos="8306"/>
            </w:tabs>
            <w:ind w:firstLine="482"/>
            <w:rPr>
              <w:b/>
              <w:bCs/>
            </w:rPr>
          </w:pPr>
          <w:r>
            <w:fldChar w:fldCharType="begin"/>
          </w:r>
          <w:r>
            <w:instrText xml:space="preserve"> HYPERLINK \l "_Toc30748" </w:instrText>
          </w:r>
          <w:r>
            <w:fldChar w:fldCharType="separate"/>
          </w:r>
          <w:r>
            <w:rPr>
              <w:rFonts w:hint="eastAsia"/>
              <w:b/>
              <w:bCs/>
            </w:rPr>
            <w:t>四、 主要环境影响和保护措施</w:t>
          </w:r>
          <w:r>
            <w:rPr>
              <w:b/>
              <w:bCs/>
            </w:rPr>
            <w:tab/>
          </w:r>
          <w:r>
            <w:rPr>
              <w:b/>
              <w:bCs/>
            </w:rPr>
            <w:fldChar w:fldCharType="begin"/>
          </w:r>
          <w:r>
            <w:rPr>
              <w:b/>
              <w:bCs/>
            </w:rPr>
            <w:instrText xml:space="preserve"> PAGEREF _Toc30748 \h </w:instrText>
          </w:r>
          <w:r>
            <w:rPr>
              <w:b/>
              <w:bCs/>
            </w:rPr>
            <w:fldChar w:fldCharType="separate"/>
          </w:r>
          <w:r>
            <w:rPr>
              <w:b/>
              <w:bCs/>
            </w:rPr>
            <w:t>17</w:t>
          </w:r>
          <w:r>
            <w:rPr>
              <w:b/>
              <w:bCs/>
            </w:rPr>
            <w:fldChar w:fldCharType="end"/>
          </w:r>
          <w:r>
            <w:rPr>
              <w:b/>
              <w:bCs/>
            </w:rPr>
            <w:fldChar w:fldCharType="end"/>
          </w:r>
        </w:p>
        <w:p w14:paraId="4FE0132B">
          <w:pPr>
            <w:pStyle w:val="9"/>
            <w:tabs>
              <w:tab w:val="right" w:leader="dot" w:pos="8306"/>
            </w:tabs>
            <w:ind w:firstLine="482"/>
            <w:rPr>
              <w:b/>
              <w:bCs/>
            </w:rPr>
          </w:pPr>
          <w:r>
            <w:fldChar w:fldCharType="begin"/>
          </w:r>
          <w:r>
            <w:instrText xml:space="preserve"> HYPERLINK \l "_Toc2655" </w:instrText>
          </w:r>
          <w:r>
            <w:fldChar w:fldCharType="separate"/>
          </w:r>
          <w:r>
            <w:rPr>
              <w:rFonts w:hint="eastAsia"/>
              <w:b/>
              <w:bCs/>
            </w:rPr>
            <w:t xml:space="preserve">五、 </w:t>
          </w:r>
          <w:r>
            <w:rPr>
              <w:b/>
              <w:bCs/>
            </w:rPr>
            <w:t>环境保护措施监督检查清单</w:t>
          </w:r>
          <w:r>
            <w:rPr>
              <w:b/>
              <w:bCs/>
            </w:rPr>
            <w:tab/>
          </w:r>
          <w:r>
            <w:rPr>
              <w:b/>
              <w:bCs/>
            </w:rPr>
            <w:fldChar w:fldCharType="begin"/>
          </w:r>
          <w:r>
            <w:rPr>
              <w:b/>
              <w:bCs/>
            </w:rPr>
            <w:instrText xml:space="preserve"> PAGEREF _Toc2655 \h </w:instrText>
          </w:r>
          <w:r>
            <w:rPr>
              <w:b/>
              <w:bCs/>
            </w:rPr>
            <w:fldChar w:fldCharType="separate"/>
          </w:r>
          <w:r>
            <w:rPr>
              <w:b/>
              <w:bCs/>
            </w:rPr>
            <w:t>31</w:t>
          </w:r>
          <w:r>
            <w:rPr>
              <w:b/>
              <w:bCs/>
            </w:rPr>
            <w:fldChar w:fldCharType="end"/>
          </w:r>
          <w:r>
            <w:rPr>
              <w:b/>
              <w:bCs/>
            </w:rPr>
            <w:fldChar w:fldCharType="end"/>
          </w:r>
        </w:p>
        <w:p w14:paraId="0A17EB92">
          <w:pPr>
            <w:pStyle w:val="9"/>
            <w:tabs>
              <w:tab w:val="right" w:leader="dot" w:pos="8306"/>
            </w:tabs>
            <w:ind w:firstLine="482"/>
            <w:rPr>
              <w:b/>
              <w:bCs/>
            </w:rPr>
          </w:pPr>
          <w:r>
            <w:fldChar w:fldCharType="begin"/>
          </w:r>
          <w:r>
            <w:instrText xml:space="preserve"> HYPERLINK \l "_Toc17199" </w:instrText>
          </w:r>
          <w:r>
            <w:fldChar w:fldCharType="separate"/>
          </w:r>
          <w:r>
            <w:rPr>
              <w:rFonts w:hint="eastAsia"/>
              <w:b/>
              <w:bCs/>
            </w:rPr>
            <w:t>六、 结论</w:t>
          </w:r>
          <w:r>
            <w:rPr>
              <w:b/>
              <w:bCs/>
            </w:rPr>
            <w:tab/>
          </w:r>
          <w:r>
            <w:rPr>
              <w:b/>
              <w:bCs/>
            </w:rPr>
            <w:fldChar w:fldCharType="begin"/>
          </w:r>
          <w:r>
            <w:rPr>
              <w:b/>
              <w:bCs/>
            </w:rPr>
            <w:instrText xml:space="preserve"> PAGEREF _Toc17199 \h </w:instrText>
          </w:r>
          <w:r>
            <w:rPr>
              <w:b/>
              <w:bCs/>
            </w:rPr>
            <w:fldChar w:fldCharType="separate"/>
          </w:r>
          <w:r>
            <w:rPr>
              <w:b/>
              <w:bCs/>
            </w:rPr>
            <w:t>34</w:t>
          </w:r>
          <w:r>
            <w:rPr>
              <w:b/>
              <w:bCs/>
            </w:rPr>
            <w:fldChar w:fldCharType="end"/>
          </w:r>
          <w:r>
            <w:rPr>
              <w:b/>
              <w:bCs/>
            </w:rPr>
            <w:fldChar w:fldCharType="end"/>
          </w:r>
        </w:p>
        <w:p w14:paraId="5A335A4B">
          <w:pPr>
            <w:pStyle w:val="9"/>
            <w:tabs>
              <w:tab w:val="right" w:leader="dot" w:pos="8306"/>
            </w:tabs>
            <w:ind w:firstLine="482"/>
            <w:rPr>
              <w:rFonts w:hint="eastAsia" w:eastAsia="宋体"/>
              <w:lang w:val="en-US" w:eastAsia="zh-CN"/>
            </w:rPr>
          </w:pPr>
          <w:r>
            <w:fldChar w:fldCharType="begin"/>
          </w:r>
          <w:r>
            <w:instrText xml:space="preserve"> HYPERLINK \l "_Toc18087" </w:instrText>
          </w:r>
          <w:r>
            <w:fldChar w:fldCharType="separate"/>
          </w:r>
          <w:r>
            <w:rPr>
              <w:rFonts w:hint="eastAsia"/>
              <w:b/>
              <w:bCs/>
            </w:rPr>
            <w:t>建设项目污染物排放量汇总表</w:t>
          </w:r>
          <w:r>
            <w:rPr>
              <w:b/>
              <w:bCs/>
            </w:rPr>
            <w:tab/>
          </w:r>
          <w:r>
            <w:rPr>
              <w:rFonts w:hint="eastAsia"/>
              <w:b/>
              <w:bCs/>
              <w:lang w:val="en-US" w:eastAsia="zh-CN"/>
            </w:rPr>
            <w:t>3</w:t>
          </w:r>
          <w:r>
            <w:rPr>
              <w:b/>
              <w:bCs/>
            </w:rPr>
            <w:fldChar w:fldCharType="end"/>
          </w:r>
          <w:r>
            <w:rPr>
              <w:rFonts w:hint="eastAsia"/>
              <w:b/>
              <w:bCs/>
              <w:lang w:val="en-US" w:eastAsia="zh-CN"/>
            </w:rPr>
            <w:t>9</w:t>
          </w:r>
        </w:p>
        <w:p w14:paraId="3D7726A6">
          <w:pPr>
            <w:pStyle w:val="9"/>
            <w:tabs>
              <w:tab w:val="right" w:leader="dot" w:pos="8306"/>
            </w:tabs>
            <w:ind w:firstLine="482"/>
            <w:rPr>
              <w:b/>
              <w:bCs/>
              <w:highlight w:val="none"/>
            </w:rPr>
          </w:pPr>
          <w:r>
            <w:rPr>
              <w:rFonts w:hint="eastAsia"/>
              <w:b/>
              <w:bCs/>
              <w:highlight w:val="none"/>
            </w:rPr>
            <w:t>附件</w:t>
          </w:r>
        </w:p>
        <w:p w14:paraId="19B23034">
          <w:pPr>
            <w:pStyle w:val="9"/>
            <w:tabs>
              <w:tab w:val="right" w:leader="dot" w:pos="8306"/>
            </w:tabs>
            <w:ind w:firstLine="480"/>
            <w:rPr>
              <w:highlight w:val="none"/>
            </w:rPr>
          </w:pPr>
          <w:r>
            <w:rPr>
              <w:rFonts w:hint="eastAsia"/>
              <w:highlight w:val="none"/>
            </w:rPr>
            <w:t>附件1 环评委托书</w:t>
          </w:r>
        </w:p>
        <w:p w14:paraId="5CFF9BC2">
          <w:pPr>
            <w:pStyle w:val="9"/>
            <w:tabs>
              <w:tab w:val="right" w:leader="dot" w:pos="8306"/>
            </w:tabs>
            <w:ind w:firstLine="480"/>
            <w:rPr>
              <w:highlight w:val="none"/>
            </w:rPr>
          </w:pPr>
          <w:r>
            <w:rPr>
              <w:rFonts w:hint="eastAsia"/>
              <w:highlight w:val="none"/>
            </w:rPr>
            <w:t>附件2 营业执照</w:t>
          </w:r>
        </w:p>
        <w:p w14:paraId="13ADBC44">
          <w:pPr>
            <w:pStyle w:val="9"/>
            <w:tabs>
              <w:tab w:val="right" w:leader="dot" w:pos="8306"/>
            </w:tabs>
            <w:ind w:firstLine="480"/>
            <w:rPr>
              <w:rFonts w:hint="default" w:eastAsia="宋体"/>
              <w:highlight w:val="none"/>
              <w:lang w:val="en-US" w:eastAsia="zh-CN"/>
            </w:rPr>
          </w:pPr>
          <w:r>
            <w:rPr>
              <w:rFonts w:hint="eastAsia"/>
              <w:highlight w:val="none"/>
            </w:rPr>
            <w:t xml:space="preserve">附件3 </w:t>
          </w:r>
          <w:r>
            <w:rPr>
              <w:rFonts w:hint="eastAsia"/>
              <w:highlight w:val="none"/>
              <w:lang w:val="en-US" w:eastAsia="zh-CN"/>
            </w:rPr>
            <w:t>立项文件</w:t>
          </w:r>
        </w:p>
        <w:p w14:paraId="3DEEAF08">
          <w:pPr>
            <w:pStyle w:val="9"/>
            <w:tabs>
              <w:tab w:val="right" w:leader="dot" w:pos="8306"/>
            </w:tabs>
            <w:ind w:firstLine="480"/>
            <w:rPr>
              <w:highlight w:val="none"/>
            </w:rPr>
          </w:pPr>
          <w:r>
            <w:rPr>
              <w:rFonts w:hint="eastAsia"/>
              <w:highlight w:val="none"/>
            </w:rPr>
            <w:t>附件4 租赁协议</w:t>
          </w:r>
        </w:p>
        <w:p w14:paraId="484EB57E">
          <w:pPr>
            <w:pStyle w:val="9"/>
            <w:tabs>
              <w:tab w:val="right" w:leader="dot" w:pos="8306"/>
            </w:tabs>
            <w:ind w:firstLine="480"/>
            <w:rPr>
              <w:highlight w:val="none"/>
            </w:rPr>
          </w:pPr>
          <w:r>
            <w:rPr>
              <w:rFonts w:hint="eastAsia"/>
              <w:highlight w:val="none"/>
            </w:rPr>
            <w:t>附件5 岳阳县自然资源局关于本项目的选址意见</w:t>
          </w:r>
        </w:p>
        <w:p w14:paraId="286FAB7F">
          <w:pPr>
            <w:ind w:firstLine="480"/>
            <w:rPr>
              <w:highlight w:val="none"/>
            </w:rPr>
          </w:pPr>
          <w:r>
            <w:rPr>
              <w:highlight w:val="none"/>
            </w:rPr>
            <w:t xml:space="preserve">附件6 </w:t>
          </w:r>
          <w:r>
            <w:rPr>
              <w:rFonts w:hint="eastAsia"/>
              <w:highlight w:val="none"/>
            </w:rPr>
            <w:t>检测报告</w:t>
          </w:r>
        </w:p>
        <w:p w14:paraId="32551E5A">
          <w:pPr>
            <w:pStyle w:val="9"/>
            <w:tabs>
              <w:tab w:val="right" w:leader="dot" w:pos="8306"/>
            </w:tabs>
            <w:ind w:firstLine="482"/>
            <w:rPr>
              <w:b/>
              <w:bCs/>
              <w:highlight w:val="none"/>
            </w:rPr>
          </w:pPr>
          <w:r>
            <w:rPr>
              <w:rFonts w:hint="eastAsia"/>
              <w:b/>
              <w:bCs/>
              <w:highlight w:val="none"/>
            </w:rPr>
            <w:t>附图</w:t>
          </w:r>
        </w:p>
        <w:p w14:paraId="5C2A7ED0">
          <w:pPr>
            <w:pStyle w:val="9"/>
            <w:tabs>
              <w:tab w:val="right" w:leader="dot" w:pos="8306"/>
            </w:tabs>
            <w:ind w:firstLine="480"/>
            <w:rPr>
              <w:highlight w:val="none"/>
            </w:rPr>
          </w:pPr>
          <w:r>
            <w:rPr>
              <w:rFonts w:hint="eastAsia"/>
              <w:highlight w:val="none"/>
            </w:rPr>
            <w:t>附图1 项目地理位置图</w:t>
          </w:r>
        </w:p>
        <w:p w14:paraId="0F381FBB">
          <w:pPr>
            <w:pStyle w:val="9"/>
            <w:tabs>
              <w:tab w:val="right" w:leader="dot" w:pos="8306"/>
            </w:tabs>
            <w:ind w:firstLine="480"/>
            <w:rPr>
              <w:highlight w:val="none"/>
            </w:rPr>
          </w:pPr>
          <w:r>
            <w:rPr>
              <w:rFonts w:hint="eastAsia"/>
              <w:highlight w:val="none"/>
            </w:rPr>
            <w:t>附图2 项目环境保护目标图</w:t>
          </w:r>
        </w:p>
        <w:p w14:paraId="26C3F415">
          <w:pPr>
            <w:pStyle w:val="9"/>
            <w:tabs>
              <w:tab w:val="right" w:leader="dot" w:pos="8306"/>
            </w:tabs>
            <w:ind w:firstLine="480"/>
            <w:rPr>
              <w:rFonts w:hint="eastAsia"/>
              <w:highlight w:val="none"/>
            </w:rPr>
          </w:pPr>
          <w:r>
            <w:rPr>
              <w:rFonts w:hint="eastAsia"/>
              <w:highlight w:val="none"/>
            </w:rPr>
            <w:t>附图3 厂区平面布局图</w:t>
          </w:r>
        </w:p>
        <w:p w14:paraId="2304C113">
          <w:pPr>
            <w:rPr>
              <w:rFonts w:hint="eastAsia"/>
              <w:highlight w:val="none"/>
            </w:rPr>
          </w:pPr>
          <w:r>
            <w:rPr>
              <w:rFonts w:hint="eastAsia"/>
              <w:highlight w:val="none"/>
            </w:rPr>
            <w:t>附图</w:t>
          </w:r>
          <w:r>
            <w:rPr>
              <w:rFonts w:hint="eastAsia"/>
              <w:highlight w:val="none"/>
              <w:lang w:val="en-US" w:eastAsia="zh-CN"/>
            </w:rPr>
            <w:t>4 项目</w:t>
          </w:r>
          <w:r>
            <w:rPr>
              <w:rFonts w:hint="eastAsia"/>
              <w:highlight w:val="none"/>
            </w:rPr>
            <w:t>检测点位示意图</w:t>
          </w:r>
        </w:p>
        <w:p w14:paraId="1D8166D1"/>
        <w:p w14:paraId="78FBACD3">
          <w:pPr>
            <w:ind w:firstLine="0" w:firstLineChars="0"/>
          </w:pPr>
          <w:r>
            <w:rPr>
              <w:rFonts w:hint="eastAsia"/>
              <w:szCs w:val="28"/>
            </w:rPr>
            <w:fldChar w:fldCharType="end"/>
          </w:r>
        </w:p>
      </w:sdtContent>
    </w:sdt>
    <w:p w14:paraId="295B5ADB">
      <w:pPr>
        <w:ind w:firstLine="480"/>
      </w:pPr>
    </w:p>
    <w:p w14:paraId="1A0DCE68">
      <w:pPr>
        <w:ind w:firstLine="480"/>
      </w:pPr>
    </w:p>
    <w:p w14:paraId="5EA9BD3E">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bookmarkStart w:id="6" w:name="_Toc1404"/>
    </w:p>
    <w:p w14:paraId="4FBCF922">
      <w:pPr>
        <w:pStyle w:val="2"/>
      </w:pPr>
      <w:bookmarkStart w:id="7" w:name="_Toc9985"/>
      <w:r>
        <w:t>一、建设项目基本情况</w:t>
      </w:r>
      <w:bookmarkEnd w:id="6"/>
      <w:bookmarkEnd w:id="7"/>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9"/>
        <w:gridCol w:w="1691"/>
        <w:gridCol w:w="1760"/>
        <w:gridCol w:w="3015"/>
      </w:tblGrid>
      <w:tr w14:paraId="0BDA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6AFC5AA5">
            <w:pPr>
              <w:spacing w:line="240" w:lineRule="auto"/>
              <w:ind w:firstLine="0" w:firstLineChars="0"/>
              <w:jc w:val="center"/>
            </w:pPr>
            <w:r>
              <w:t>建设项目名称</w:t>
            </w:r>
          </w:p>
        </w:tc>
        <w:tc>
          <w:tcPr>
            <w:tcW w:w="3872" w:type="pct"/>
            <w:gridSpan w:val="3"/>
            <w:tcBorders>
              <w:tl2br w:val="nil"/>
              <w:tr2bl w:val="nil"/>
            </w:tcBorders>
            <w:vAlign w:val="center"/>
          </w:tcPr>
          <w:p w14:paraId="07A9B07F">
            <w:pPr>
              <w:spacing w:line="240" w:lineRule="auto"/>
              <w:ind w:firstLine="0" w:firstLineChars="0"/>
              <w:jc w:val="center"/>
              <w:rPr>
                <w:rFonts w:hint="eastAsia" w:eastAsia="宋体"/>
                <w:lang w:eastAsia="zh-CN"/>
              </w:rPr>
            </w:pPr>
            <w:r>
              <w:rPr>
                <w:rFonts w:hint="eastAsia"/>
                <w:lang w:eastAsia="zh-CN"/>
              </w:rPr>
              <w:t>年产6000吨玻璃纤维颗粒建设项目</w:t>
            </w:r>
          </w:p>
        </w:tc>
      </w:tr>
      <w:tr w14:paraId="23D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2E66A03F">
            <w:pPr>
              <w:spacing w:line="240" w:lineRule="auto"/>
              <w:ind w:firstLine="0" w:firstLineChars="0"/>
              <w:jc w:val="center"/>
            </w:pPr>
            <w:r>
              <w:t>项目代码</w:t>
            </w:r>
          </w:p>
        </w:tc>
        <w:tc>
          <w:tcPr>
            <w:tcW w:w="3872" w:type="pct"/>
            <w:gridSpan w:val="3"/>
            <w:tcBorders>
              <w:tl2br w:val="nil"/>
              <w:tr2bl w:val="nil"/>
            </w:tcBorders>
            <w:vAlign w:val="center"/>
          </w:tcPr>
          <w:p w14:paraId="6D671C0D">
            <w:pPr>
              <w:adjustRightInd w:val="0"/>
              <w:snapToGrid w:val="0"/>
              <w:spacing w:line="240" w:lineRule="auto"/>
              <w:ind w:firstLine="0" w:firstLineChars="0"/>
              <w:jc w:val="center"/>
              <w:rPr>
                <w:szCs w:val="21"/>
              </w:rPr>
            </w:pPr>
            <w:r>
              <w:rPr>
                <w:rFonts w:hint="eastAsia"/>
                <w:szCs w:val="21"/>
              </w:rPr>
              <w:t>2506-430621-04-05-829904</w:t>
            </w:r>
          </w:p>
        </w:tc>
      </w:tr>
      <w:tr w14:paraId="7A3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413E6111">
            <w:pPr>
              <w:adjustRightInd w:val="0"/>
              <w:snapToGrid w:val="0"/>
              <w:spacing w:line="240" w:lineRule="auto"/>
              <w:ind w:firstLine="0" w:firstLineChars="0"/>
              <w:jc w:val="center"/>
              <w:rPr>
                <w:szCs w:val="21"/>
              </w:rPr>
            </w:pPr>
            <w:r>
              <w:rPr>
                <w:szCs w:val="21"/>
              </w:rPr>
              <w:t>建设单位联系人</w:t>
            </w:r>
          </w:p>
        </w:tc>
        <w:tc>
          <w:tcPr>
            <w:tcW w:w="1012" w:type="pct"/>
            <w:tcBorders>
              <w:tl2br w:val="nil"/>
              <w:tr2bl w:val="nil"/>
            </w:tcBorders>
            <w:vAlign w:val="center"/>
          </w:tcPr>
          <w:p w14:paraId="1A2B064D">
            <w:pPr>
              <w:adjustRightInd w:val="0"/>
              <w:snapToGrid w:val="0"/>
              <w:spacing w:line="240" w:lineRule="auto"/>
              <w:ind w:firstLine="0" w:firstLineChars="0"/>
              <w:jc w:val="center"/>
              <w:rPr>
                <w:rFonts w:hint="eastAsia" w:eastAsia="宋体"/>
                <w:szCs w:val="21"/>
                <w:lang w:eastAsia="zh-CN"/>
              </w:rPr>
            </w:pPr>
            <w:r>
              <w:rPr>
                <w:rFonts w:hint="eastAsia"/>
                <w:szCs w:val="21"/>
              </w:rPr>
              <w:t>陆</w:t>
            </w:r>
            <w:r>
              <w:rPr>
                <w:rFonts w:hint="eastAsia"/>
                <w:szCs w:val="21"/>
                <w:lang w:val="en-US" w:eastAsia="zh-CN"/>
              </w:rPr>
              <w:t>*</w:t>
            </w:r>
          </w:p>
        </w:tc>
        <w:tc>
          <w:tcPr>
            <w:tcW w:w="1054" w:type="pct"/>
            <w:tcBorders>
              <w:tl2br w:val="nil"/>
              <w:tr2bl w:val="nil"/>
            </w:tcBorders>
            <w:vAlign w:val="center"/>
          </w:tcPr>
          <w:p w14:paraId="4FEAE977">
            <w:pPr>
              <w:adjustRightInd w:val="0"/>
              <w:snapToGrid w:val="0"/>
              <w:spacing w:line="240" w:lineRule="auto"/>
              <w:ind w:firstLine="0" w:firstLineChars="0"/>
              <w:jc w:val="center"/>
              <w:rPr>
                <w:szCs w:val="21"/>
              </w:rPr>
            </w:pPr>
            <w:r>
              <w:rPr>
                <w:szCs w:val="21"/>
              </w:rPr>
              <w:t>联系方式</w:t>
            </w:r>
          </w:p>
        </w:tc>
        <w:tc>
          <w:tcPr>
            <w:tcW w:w="1804" w:type="pct"/>
            <w:tcBorders>
              <w:tl2br w:val="nil"/>
              <w:tr2bl w:val="nil"/>
            </w:tcBorders>
            <w:vAlign w:val="center"/>
          </w:tcPr>
          <w:p w14:paraId="72269A5D">
            <w:pPr>
              <w:adjustRightInd w:val="0"/>
              <w:snapToGrid w:val="0"/>
              <w:spacing w:line="240" w:lineRule="auto"/>
              <w:ind w:firstLine="0" w:firstLineChars="0"/>
              <w:jc w:val="center"/>
              <w:rPr>
                <w:szCs w:val="21"/>
              </w:rPr>
            </w:pPr>
            <w:r>
              <w:rPr>
                <w:rFonts w:hint="eastAsia"/>
                <w:szCs w:val="21"/>
              </w:rPr>
              <w:t>193</w:t>
            </w:r>
            <w:r>
              <w:rPr>
                <w:rFonts w:hint="eastAsia"/>
                <w:szCs w:val="21"/>
                <w:lang w:val="en-US" w:eastAsia="zh-CN"/>
              </w:rPr>
              <w:t>****</w:t>
            </w:r>
            <w:r>
              <w:rPr>
                <w:rFonts w:hint="eastAsia"/>
                <w:szCs w:val="21"/>
              </w:rPr>
              <w:t>6677</w:t>
            </w:r>
          </w:p>
        </w:tc>
      </w:tr>
      <w:tr w14:paraId="4984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644297B7">
            <w:pPr>
              <w:adjustRightInd w:val="0"/>
              <w:snapToGrid w:val="0"/>
              <w:spacing w:line="240" w:lineRule="auto"/>
              <w:ind w:firstLine="0" w:firstLineChars="0"/>
              <w:jc w:val="center"/>
              <w:rPr>
                <w:szCs w:val="21"/>
              </w:rPr>
            </w:pPr>
            <w:r>
              <w:rPr>
                <w:szCs w:val="21"/>
              </w:rPr>
              <w:t>建设地点</w:t>
            </w:r>
          </w:p>
        </w:tc>
        <w:tc>
          <w:tcPr>
            <w:tcW w:w="3872" w:type="pct"/>
            <w:gridSpan w:val="3"/>
            <w:tcBorders>
              <w:tl2br w:val="nil"/>
              <w:tr2bl w:val="nil"/>
            </w:tcBorders>
            <w:vAlign w:val="center"/>
          </w:tcPr>
          <w:p w14:paraId="3062586E">
            <w:pPr>
              <w:spacing w:line="240" w:lineRule="auto"/>
              <w:ind w:firstLine="0" w:firstLineChars="0"/>
              <w:jc w:val="center"/>
              <w:rPr>
                <w:rFonts w:hint="eastAsia" w:eastAsia="宋体"/>
                <w:lang w:eastAsia="zh-CN"/>
              </w:rPr>
            </w:pPr>
            <w:r>
              <w:rPr>
                <w:rFonts w:hint="eastAsia"/>
                <w:lang w:eastAsia="zh-CN"/>
              </w:rPr>
              <w:t>岳阳县筻口镇熊市村新塘片二组</w:t>
            </w:r>
          </w:p>
        </w:tc>
      </w:tr>
      <w:tr w14:paraId="28EC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7198C52A">
            <w:pPr>
              <w:adjustRightInd w:val="0"/>
              <w:snapToGrid w:val="0"/>
              <w:spacing w:line="240" w:lineRule="auto"/>
              <w:ind w:firstLine="0" w:firstLineChars="0"/>
              <w:jc w:val="center"/>
              <w:rPr>
                <w:szCs w:val="21"/>
              </w:rPr>
            </w:pPr>
            <w:r>
              <w:rPr>
                <w:szCs w:val="21"/>
              </w:rPr>
              <w:t>地理坐标</w:t>
            </w:r>
          </w:p>
        </w:tc>
        <w:tc>
          <w:tcPr>
            <w:tcW w:w="3872" w:type="pct"/>
            <w:gridSpan w:val="3"/>
            <w:tcBorders>
              <w:tl2br w:val="nil"/>
              <w:tr2bl w:val="nil"/>
            </w:tcBorders>
            <w:vAlign w:val="center"/>
          </w:tcPr>
          <w:p w14:paraId="0A524E24">
            <w:pPr>
              <w:spacing w:line="240" w:lineRule="auto"/>
              <w:ind w:firstLine="0" w:firstLineChars="0"/>
              <w:jc w:val="center"/>
              <w:rPr>
                <w:szCs w:val="21"/>
              </w:rPr>
            </w:pPr>
            <w:r>
              <w:rPr>
                <w:rFonts w:hint="eastAsia"/>
                <w:szCs w:val="21"/>
                <w:highlight w:val="none"/>
              </w:rPr>
              <w:t>东经113°22′29.646″，北纬29°10′23.316″</w:t>
            </w:r>
          </w:p>
        </w:tc>
      </w:tr>
      <w:tr w14:paraId="0429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168662D0">
            <w:pPr>
              <w:adjustRightInd w:val="0"/>
              <w:snapToGrid w:val="0"/>
              <w:spacing w:line="240" w:lineRule="auto"/>
              <w:ind w:firstLine="0" w:firstLineChars="0"/>
              <w:jc w:val="center"/>
              <w:rPr>
                <w:szCs w:val="21"/>
              </w:rPr>
            </w:pPr>
            <w:r>
              <w:rPr>
                <w:szCs w:val="21"/>
              </w:rPr>
              <w:t>国民经济</w:t>
            </w:r>
          </w:p>
          <w:p w14:paraId="301F3623">
            <w:pPr>
              <w:adjustRightInd w:val="0"/>
              <w:snapToGrid w:val="0"/>
              <w:spacing w:line="240" w:lineRule="auto"/>
              <w:ind w:firstLine="0" w:firstLineChars="0"/>
              <w:jc w:val="center"/>
              <w:rPr>
                <w:szCs w:val="21"/>
              </w:rPr>
            </w:pPr>
            <w:r>
              <w:rPr>
                <w:szCs w:val="21"/>
              </w:rPr>
              <w:t>行业类别</w:t>
            </w:r>
          </w:p>
        </w:tc>
        <w:tc>
          <w:tcPr>
            <w:tcW w:w="1012" w:type="pct"/>
            <w:tcBorders>
              <w:tl2br w:val="nil"/>
              <w:tr2bl w:val="nil"/>
            </w:tcBorders>
            <w:vAlign w:val="center"/>
          </w:tcPr>
          <w:p w14:paraId="25636B92">
            <w:pPr>
              <w:adjustRightInd w:val="0"/>
              <w:snapToGrid w:val="0"/>
              <w:spacing w:line="240" w:lineRule="auto"/>
              <w:ind w:firstLine="0" w:firstLineChars="0"/>
              <w:jc w:val="center"/>
              <w:rPr>
                <w:szCs w:val="21"/>
              </w:rPr>
            </w:pPr>
            <w:r>
              <w:rPr>
                <w:rFonts w:hint="eastAsia"/>
                <w:szCs w:val="21"/>
              </w:rPr>
              <w:t>C3061 玻璃纤维及制品制造</w:t>
            </w:r>
          </w:p>
        </w:tc>
        <w:tc>
          <w:tcPr>
            <w:tcW w:w="1054" w:type="pct"/>
            <w:tcBorders>
              <w:tl2br w:val="nil"/>
              <w:tr2bl w:val="nil"/>
            </w:tcBorders>
            <w:vAlign w:val="center"/>
          </w:tcPr>
          <w:p w14:paraId="4F10BA1B">
            <w:pPr>
              <w:adjustRightInd w:val="0"/>
              <w:snapToGrid w:val="0"/>
              <w:spacing w:line="240" w:lineRule="auto"/>
              <w:ind w:firstLine="0" w:firstLineChars="0"/>
              <w:jc w:val="center"/>
              <w:rPr>
                <w:szCs w:val="21"/>
              </w:rPr>
            </w:pPr>
            <w:bookmarkStart w:id="8" w:name="_Hlk49843745"/>
            <w:r>
              <w:rPr>
                <w:szCs w:val="21"/>
              </w:rPr>
              <w:t>建设项目</w:t>
            </w:r>
          </w:p>
          <w:p w14:paraId="4A0EED30">
            <w:pPr>
              <w:adjustRightInd w:val="0"/>
              <w:snapToGrid w:val="0"/>
              <w:spacing w:line="240" w:lineRule="auto"/>
              <w:ind w:firstLine="0" w:firstLineChars="0"/>
              <w:jc w:val="center"/>
              <w:rPr>
                <w:szCs w:val="21"/>
              </w:rPr>
            </w:pPr>
            <w:r>
              <w:rPr>
                <w:szCs w:val="21"/>
              </w:rPr>
              <w:t>行业类别</w:t>
            </w:r>
            <w:bookmarkEnd w:id="8"/>
          </w:p>
        </w:tc>
        <w:tc>
          <w:tcPr>
            <w:tcW w:w="1804" w:type="pct"/>
            <w:tcBorders>
              <w:tl2br w:val="nil"/>
              <w:tr2bl w:val="nil"/>
            </w:tcBorders>
            <w:vAlign w:val="center"/>
          </w:tcPr>
          <w:p w14:paraId="2BDF3362">
            <w:pPr>
              <w:adjustRightInd w:val="0"/>
              <w:snapToGrid w:val="0"/>
              <w:spacing w:line="240" w:lineRule="auto"/>
              <w:ind w:firstLine="0" w:firstLineChars="0"/>
              <w:jc w:val="both"/>
              <w:rPr>
                <w:rFonts w:hint="eastAsia" w:eastAsia="宋体"/>
                <w:szCs w:val="21"/>
                <w:lang w:val="en-US" w:eastAsia="zh-CN"/>
              </w:rPr>
            </w:pPr>
            <w:r>
              <w:rPr>
                <w:rFonts w:hint="eastAsia"/>
                <w:szCs w:val="21"/>
              </w:rPr>
              <w:t>二十七、非金属矿物制品业</w:t>
            </w:r>
            <w:r>
              <w:rPr>
                <w:rFonts w:hint="eastAsia"/>
                <w:szCs w:val="21"/>
                <w:lang w:val="en-US" w:eastAsia="zh-CN"/>
              </w:rPr>
              <w:t>-</w:t>
            </w:r>
          </w:p>
          <w:p w14:paraId="7F2D8454">
            <w:pPr>
              <w:adjustRightInd w:val="0"/>
              <w:snapToGrid w:val="0"/>
              <w:spacing w:line="240" w:lineRule="auto"/>
              <w:ind w:firstLine="0" w:firstLineChars="0"/>
              <w:jc w:val="center"/>
              <w:rPr>
                <w:rFonts w:hint="eastAsia" w:eastAsia="宋体"/>
                <w:szCs w:val="21"/>
                <w:lang w:eastAsia="zh-CN"/>
              </w:rPr>
            </w:pPr>
            <w:r>
              <w:rPr>
                <w:rFonts w:hint="eastAsia"/>
                <w:szCs w:val="21"/>
              </w:rPr>
              <w:t>58、玻璃纤维和玻璃纤维增强塑料制品制造</w:t>
            </w:r>
            <w:r>
              <w:rPr>
                <w:szCs w:val="21"/>
              </w:rPr>
              <w:t>中的</w:t>
            </w:r>
            <w:r>
              <w:rPr>
                <w:rFonts w:hint="eastAsia"/>
                <w:szCs w:val="21"/>
                <w:lang w:eastAsia="zh-CN"/>
              </w:rPr>
              <w:t>“</w:t>
            </w:r>
            <w:r>
              <w:rPr>
                <w:rFonts w:hint="eastAsia"/>
                <w:szCs w:val="21"/>
                <w:lang w:val="en-US" w:eastAsia="zh-CN"/>
              </w:rPr>
              <w:t>全部</w:t>
            </w:r>
            <w:r>
              <w:rPr>
                <w:rFonts w:hint="eastAsia"/>
                <w:szCs w:val="21"/>
                <w:lang w:eastAsia="zh-CN"/>
              </w:rPr>
              <w:t>”</w:t>
            </w:r>
          </w:p>
        </w:tc>
      </w:tr>
      <w:tr w14:paraId="3DB5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6A41067F">
            <w:pPr>
              <w:adjustRightInd w:val="0"/>
              <w:snapToGrid w:val="0"/>
              <w:spacing w:line="240" w:lineRule="auto"/>
              <w:ind w:firstLine="0" w:firstLineChars="0"/>
              <w:jc w:val="center"/>
              <w:rPr>
                <w:szCs w:val="21"/>
              </w:rPr>
            </w:pPr>
            <w:r>
              <w:rPr>
                <w:szCs w:val="21"/>
              </w:rPr>
              <w:t>建设性质</w:t>
            </w:r>
          </w:p>
        </w:tc>
        <w:tc>
          <w:tcPr>
            <w:tcW w:w="1012" w:type="pct"/>
            <w:tcBorders>
              <w:tl2br w:val="nil"/>
              <w:tr2bl w:val="nil"/>
            </w:tcBorders>
            <w:vAlign w:val="center"/>
          </w:tcPr>
          <w:p w14:paraId="4A068369">
            <w:pPr>
              <w:spacing w:line="240" w:lineRule="auto"/>
              <w:ind w:firstLine="0" w:firstLineChars="0"/>
              <w:rPr>
                <w:szCs w:val="21"/>
              </w:rPr>
            </w:pPr>
            <w:r>
              <w:rPr>
                <w:rFonts w:hint="eastAsia"/>
                <w:szCs w:val="21"/>
              </w:rPr>
              <w:t>☑</w:t>
            </w:r>
            <w:r>
              <w:rPr>
                <w:szCs w:val="21"/>
              </w:rPr>
              <w:t>新建（迁建）</w:t>
            </w:r>
          </w:p>
          <w:p w14:paraId="205AAD94">
            <w:pPr>
              <w:spacing w:line="240" w:lineRule="auto"/>
              <w:ind w:firstLine="0" w:firstLineChars="0"/>
              <w:rPr>
                <w:szCs w:val="21"/>
              </w:rPr>
            </w:pPr>
            <w:r>
              <w:rPr>
                <w:rFonts w:hint="eastAsia"/>
                <w:szCs w:val="21"/>
              </w:rPr>
              <w:t>□</w:t>
            </w:r>
            <w:r>
              <w:rPr>
                <w:szCs w:val="21"/>
              </w:rPr>
              <w:t>改建</w:t>
            </w:r>
          </w:p>
          <w:p w14:paraId="0842A41B">
            <w:pPr>
              <w:spacing w:line="240" w:lineRule="auto"/>
              <w:ind w:firstLine="0" w:firstLineChars="0"/>
              <w:rPr>
                <w:szCs w:val="21"/>
              </w:rPr>
            </w:pPr>
            <w:r>
              <w:rPr>
                <w:rFonts w:hint="eastAsia"/>
                <w:szCs w:val="21"/>
              </w:rPr>
              <w:t>□</w:t>
            </w:r>
            <w:r>
              <w:rPr>
                <w:szCs w:val="21"/>
              </w:rPr>
              <w:t>扩建</w:t>
            </w:r>
          </w:p>
          <w:p w14:paraId="1FB9027A">
            <w:pPr>
              <w:spacing w:line="240" w:lineRule="auto"/>
              <w:ind w:firstLine="0" w:firstLineChars="0"/>
              <w:rPr>
                <w:szCs w:val="21"/>
              </w:rPr>
            </w:pPr>
            <w:r>
              <w:rPr>
                <w:rFonts w:hint="eastAsia"/>
                <w:szCs w:val="21"/>
              </w:rPr>
              <w:t>□</w:t>
            </w:r>
            <w:r>
              <w:rPr>
                <w:szCs w:val="21"/>
              </w:rPr>
              <w:t>技术改造</w:t>
            </w:r>
          </w:p>
        </w:tc>
        <w:tc>
          <w:tcPr>
            <w:tcW w:w="1054" w:type="pct"/>
            <w:tcBorders>
              <w:tl2br w:val="nil"/>
              <w:tr2bl w:val="nil"/>
            </w:tcBorders>
            <w:vAlign w:val="center"/>
          </w:tcPr>
          <w:p w14:paraId="4FF79A6E">
            <w:pPr>
              <w:adjustRightInd w:val="0"/>
              <w:snapToGrid w:val="0"/>
              <w:spacing w:line="240" w:lineRule="auto"/>
              <w:ind w:firstLine="0" w:firstLineChars="0"/>
              <w:jc w:val="center"/>
              <w:rPr>
                <w:szCs w:val="21"/>
              </w:rPr>
            </w:pPr>
            <w:r>
              <w:rPr>
                <w:szCs w:val="21"/>
              </w:rPr>
              <w:t>建设项目</w:t>
            </w:r>
          </w:p>
          <w:p w14:paraId="3DD36FBA">
            <w:pPr>
              <w:adjustRightInd w:val="0"/>
              <w:snapToGrid w:val="0"/>
              <w:spacing w:line="240" w:lineRule="auto"/>
              <w:ind w:firstLine="0" w:firstLineChars="0"/>
              <w:jc w:val="center"/>
              <w:rPr>
                <w:szCs w:val="21"/>
              </w:rPr>
            </w:pPr>
            <w:r>
              <w:rPr>
                <w:szCs w:val="21"/>
              </w:rPr>
              <w:t>申报情形</w:t>
            </w:r>
          </w:p>
        </w:tc>
        <w:tc>
          <w:tcPr>
            <w:tcW w:w="1804" w:type="pct"/>
            <w:tcBorders>
              <w:tl2br w:val="nil"/>
              <w:tr2bl w:val="nil"/>
            </w:tcBorders>
            <w:vAlign w:val="center"/>
          </w:tcPr>
          <w:p w14:paraId="3B2C0CCF">
            <w:pPr>
              <w:spacing w:line="240" w:lineRule="auto"/>
              <w:ind w:firstLine="0" w:firstLineChars="0"/>
              <w:rPr>
                <w:szCs w:val="21"/>
              </w:rPr>
            </w:pPr>
            <w:r>
              <w:rPr>
                <w:szCs w:val="21"/>
              </w:rPr>
              <w:t>☑首次申报项目</w:t>
            </w:r>
          </w:p>
          <w:p w14:paraId="5CED54A9">
            <w:pPr>
              <w:spacing w:line="240" w:lineRule="auto"/>
              <w:ind w:firstLine="0" w:firstLineChars="0"/>
              <w:rPr>
                <w:szCs w:val="21"/>
              </w:rPr>
            </w:pPr>
            <w:r>
              <w:rPr>
                <w:rFonts w:hint="eastAsia"/>
                <w:szCs w:val="21"/>
              </w:rPr>
              <w:t>□</w:t>
            </w:r>
            <w:r>
              <w:rPr>
                <w:szCs w:val="21"/>
              </w:rPr>
              <w:t>不予批准后再次申报项目</w:t>
            </w:r>
          </w:p>
          <w:p w14:paraId="2F9D7350">
            <w:pPr>
              <w:spacing w:line="240" w:lineRule="auto"/>
              <w:ind w:firstLine="0" w:firstLineChars="0"/>
              <w:rPr>
                <w:szCs w:val="21"/>
              </w:rPr>
            </w:pPr>
            <w:r>
              <w:rPr>
                <w:rFonts w:hint="eastAsia"/>
                <w:szCs w:val="21"/>
              </w:rPr>
              <w:t>□</w:t>
            </w:r>
            <w:r>
              <w:rPr>
                <w:szCs w:val="21"/>
              </w:rPr>
              <w:t>超五年重新审核项目</w:t>
            </w:r>
          </w:p>
          <w:p w14:paraId="445427B3">
            <w:pPr>
              <w:spacing w:line="240" w:lineRule="auto"/>
              <w:ind w:firstLine="0" w:firstLineChars="0"/>
              <w:rPr>
                <w:szCs w:val="21"/>
              </w:rPr>
            </w:pPr>
            <w:r>
              <w:rPr>
                <w:rFonts w:hint="eastAsia"/>
                <w:szCs w:val="21"/>
              </w:rPr>
              <w:t>□</w:t>
            </w:r>
            <w:r>
              <w:rPr>
                <w:szCs w:val="21"/>
              </w:rPr>
              <w:t>重大变动重新报批项目</w:t>
            </w:r>
          </w:p>
        </w:tc>
      </w:tr>
      <w:tr w14:paraId="4891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1ABB4BED">
            <w:pPr>
              <w:adjustRightInd w:val="0"/>
              <w:snapToGrid w:val="0"/>
              <w:spacing w:line="240" w:lineRule="auto"/>
              <w:ind w:firstLine="0" w:firstLineChars="0"/>
              <w:jc w:val="center"/>
              <w:rPr>
                <w:szCs w:val="21"/>
              </w:rPr>
            </w:pPr>
            <w:r>
              <w:rPr>
                <w:szCs w:val="21"/>
              </w:rPr>
              <w:t>项目审批</w:t>
            </w:r>
            <w:r>
              <w:rPr>
                <w:rFonts w:hint="eastAsia"/>
                <w:szCs w:val="21"/>
              </w:rPr>
              <w:t>（</w:t>
            </w:r>
            <w:r>
              <w:rPr>
                <w:szCs w:val="21"/>
              </w:rPr>
              <w:t>核准/</w:t>
            </w:r>
          </w:p>
          <w:p w14:paraId="78DE7596">
            <w:pPr>
              <w:adjustRightInd w:val="0"/>
              <w:snapToGrid w:val="0"/>
              <w:spacing w:line="240" w:lineRule="auto"/>
              <w:ind w:firstLine="0" w:firstLineChars="0"/>
              <w:jc w:val="center"/>
              <w:rPr>
                <w:szCs w:val="21"/>
              </w:rPr>
            </w:pPr>
            <w:r>
              <w:rPr>
                <w:szCs w:val="21"/>
              </w:rPr>
              <w:t>备案）部门</w:t>
            </w:r>
            <w:r>
              <w:rPr>
                <w:rFonts w:hint="eastAsia"/>
                <w:szCs w:val="21"/>
              </w:rPr>
              <w:t>（</w:t>
            </w:r>
            <w:r>
              <w:rPr>
                <w:szCs w:val="21"/>
              </w:rPr>
              <w:t>选填）</w:t>
            </w:r>
          </w:p>
        </w:tc>
        <w:tc>
          <w:tcPr>
            <w:tcW w:w="1012" w:type="pct"/>
            <w:tcBorders>
              <w:tl2br w:val="nil"/>
              <w:tr2bl w:val="nil"/>
            </w:tcBorders>
            <w:vAlign w:val="center"/>
          </w:tcPr>
          <w:p w14:paraId="3473C0C2">
            <w:pPr>
              <w:adjustRightInd w:val="0"/>
              <w:snapToGrid w:val="0"/>
              <w:spacing w:line="240" w:lineRule="auto"/>
              <w:ind w:firstLine="0" w:firstLineChars="0"/>
              <w:jc w:val="center"/>
              <w:rPr>
                <w:rFonts w:hint="default" w:eastAsia="宋体"/>
                <w:szCs w:val="21"/>
                <w:lang w:val="en-US" w:eastAsia="zh-CN"/>
              </w:rPr>
            </w:pPr>
            <w:r>
              <w:rPr>
                <w:rFonts w:hint="eastAsia"/>
                <w:szCs w:val="21"/>
                <w:lang w:val="en-US" w:eastAsia="zh-CN"/>
              </w:rPr>
              <w:t>岳阳县发展和改革局</w:t>
            </w:r>
          </w:p>
        </w:tc>
        <w:tc>
          <w:tcPr>
            <w:tcW w:w="1054" w:type="pct"/>
            <w:tcBorders>
              <w:tl2br w:val="nil"/>
              <w:tr2bl w:val="nil"/>
            </w:tcBorders>
            <w:vAlign w:val="center"/>
          </w:tcPr>
          <w:p w14:paraId="70EC2169">
            <w:pPr>
              <w:adjustRightInd w:val="0"/>
              <w:snapToGrid w:val="0"/>
              <w:spacing w:line="240" w:lineRule="auto"/>
              <w:ind w:firstLine="0" w:firstLineChars="0"/>
              <w:jc w:val="center"/>
              <w:rPr>
                <w:szCs w:val="21"/>
              </w:rPr>
            </w:pPr>
            <w:r>
              <w:rPr>
                <w:szCs w:val="21"/>
              </w:rPr>
              <w:t>项目审批</w:t>
            </w:r>
            <w:r>
              <w:rPr>
                <w:rFonts w:hint="eastAsia"/>
                <w:szCs w:val="21"/>
              </w:rPr>
              <w:t>（</w:t>
            </w:r>
            <w:r>
              <w:rPr>
                <w:szCs w:val="21"/>
              </w:rPr>
              <w:t>核准/</w:t>
            </w:r>
          </w:p>
          <w:p w14:paraId="77C9D2A8">
            <w:pPr>
              <w:adjustRightInd w:val="0"/>
              <w:snapToGrid w:val="0"/>
              <w:spacing w:line="240" w:lineRule="auto"/>
              <w:ind w:firstLine="0" w:firstLineChars="0"/>
              <w:jc w:val="center"/>
              <w:rPr>
                <w:szCs w:val="21"/>
              </w:rPr>
            </w:pPr>
            <w:r>
              <w:rPr>
                <w:szCs w:val="21"/>
              </w:rPr>
              <w:t>备案）文号</w:t>
            </w:r>
            <w:r>
              <w:rPr>
                <w:rFonts w:hint="eastAsia"/>
                <w:szCs w:val="21"/>
              </w:rPr>
              <w:t>（</w:t>
            </w:r>
            <w:r>
              <w:rPr>
                <w:szCs w:val="21"/>
              </w:rPr>
              <w:t>选填）</w:t>
            </w:r>
          </w:p>
        </w:tc>
        <w:tc>
          <w:tcPr>
            <w:tcW w:w="1804" w:type="pct"/>
            <w:tcBorders>
              <w:tl2br w:val="nil"/>
              <w:tr2bl w:val="nil"/>
            </w:tcBorders>
            <w:vAlign w:val="center"/>
          </w:tcPr>
          <w:p w14:paraId="220BC7E9">
            <w:pPr>
              <w:adjustRightInd w:val="0"/>
              <w:snapToGrid w:val="0"/>
              <w:spacing w:line="240" w:lineRule="auto"/>
              <w:ind w:firstLine="0" w:firstLineChars="0"/>
              <w:jc w:val="center"/>
              <w:rPr>
                <w:szCs w:val="21"/>
              </w:rPr>
            </w:pPr>
            <w:r>
              <w:rPr>
                <w:rFonts w:hint="eastAsia"/>
                <w:szCs w:val="21"/>
              </w:rPr>
              <w:t>/</w:t>
            </w:r>
          </w:p>
        </w:tc>
      </w:tr>
      <w:tr w14:paraId="1D2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13" w:type="pct"/>
            <w:tcBorders>
              <w:tl2br w:val="nil"/>
              <w:tr2bl w:val="nil"/>
            </w:tcBorders>
            <w:tcMar>
              <w:top w:w="16" w:type="dxa"/>
              <w:left w:w="16" w:type="dxa"/>
              <w:right w:w="16" w:type="dxa"/>
            </w:tcMar>
            <w:vAlign w:val="center"/>
          </w:tcPr>
          <w:p w14:paraId="34E60A35">
            <w:pPr>
              <w:adjustRightInd w:val="0"/>
              <w:snapToGrid w:val="0"/>
              <w:spacing w:line="240" w:lineRule="auto"/>
              <w:ind w:firstLine="0" w:firstLineChars="0"/>
              <w:jc w:val="center"/>
              <w:rPr>
                <w:szCs w:val="21"/>
              </w:rPr>
            </w:pPr>
            <w:r>
              <w:rPr>
                <w:szCs w:val="21"/>
              </w:rPr>
              <w:t>总投资</w:t>
            </w:r>
            <w:r>
              <w:rPr>
                <w:rFonts w:hint="eastAsia"/>
                <w:szCs w:val="21"/>
              </w:rPr>
              <w:t>（</w:t>
            </w:r>
            <w:r>
              <w:rPr>
                <w:szCs w:val="21"/>
              </w:rPr>
              <w:t>万元）</w:t>
            </w:r>
          </w:p>
        </w:tc>
        <w:tc>
          <w:tcPr>
            <w:tcW w:w="1012" w:type="pct"/>
            <w:tcBorders>
              <w:tl2br w:val="nil"/>
              <w:tr2bl w:val="nil"/>
            </w:tcBorders>
            <w:vAlign w:val="center"/>
          </w:tcPr>
          <w:p w14:paraId="686944AA">
            <w:pPr>
              <w:adjustRightInd w:val="0"/>
              <w:snapToGrid w:val="0"/>
              <w:spacing w:line="240" w:lineRule="auto"/>
              <w:ind w:firstLine="0" w:firstLineChars="0"/>
              <w:jc w:val="center"/>
              <w:rPr>
                <w:szCs w:val="21"/>
              </w:rPr>
            </w:pPr>
            <w:r>
              <w:rPr>
                <w:rFonts w:hint="eastAsia"/>
                <w:szCs w:val="21"/>
                <w:lang w:val="en-US" w:eastAsia="zh-CN"/>
              </w:rPr>
              <w:t>5</w:t>
            </w:r>
            <w:r>
              <w:rPr>
                <w:rFonts w:hint="eastAsia"/>
                <w:szCs w:val="21"/>
              </w:rPr>
              <w:t>00</w:t>
            </w:r>
          </w:p>
        </w:tc>
        <w:tc>
          <w:tcPr>
            <w:tcW w:w="1054" w:type="pct"/>
            <w:tcBorders>
              <w:tl2br w:val="nil"/>
              <w:tr2bl w:val="nil"/>
            </w:tcBorders>
            <w:tcMar>
              <w:top w:w="16" w:type="dxa"/>
              <w:left w:w="16" w:type="dxa"/>
              <w:right w:w="16" w:type="dxa"/>
            </w:tcMar>
            <w:vAlign w:val="center"/>
          </w:tcPr>
          <w:p w14:paraId="079E4A71">
            <w:pPr>
              <w:adjustRightInd w:val="0"/>
              <w:snapToGrid w:val="0"/>
              <w:spacing w:line="240" w:lineRule="auto"/>
              <w:ind w:firstLine="0" w:firstLineChars="0"/>
              <w:jc w:val="center"/>
              <w:rPr>
                <w:szCs w:val="21"/>
              </w:rPr>
            </w:pPr>
            <w:r>
              <w:rPr>
                <w:szCs w:val="21"/>
              </w:rPr>
              <w:t>环保投资</w:t>
            </w:r>
            <w:r>
              <w:rPr>
                <w:rFonts w:hint="eastAsia"/>
                <w:szCs w:val="21"/>
              </w:rPr>
              <w:t>（</w:t>
            </w:r>
            <w:r>
              <w:rPr>
                <w:szCs w:val="21"/>
              </w:rPr>
              <w:t>万元）</w:t>
            </w:r>
          </w:p>
        </w:tc>
        <w:tc>
          <w:tcPr>
            <w:tcW w:w="1804" w:type="pct"/>
            <w:tcBorders>
              <w:tl2br w:val="nil"/>
              <w:tr2bl w:val="nil"/>
            </w:tcBorders>
            <w:vAlign w:val="center"/>
          </w:tcPr>
          <w:p w14:paraId="47449092">
            <w:pPr>
              <w:adjustRightInd w:val="0"/>
              <w:snapToGrid w:val="0"/>
              <w:spacing w:line="240" w:lineRule="auto"/>
              <w:ind w:firstLine="0" w:firstLineChars="0"/>
              <w:jc w:val="center"/>
              <w:rPr>
                <w:rFonts w:hint="default" w:eastAsia="宋体"/>
                <w:szCs w:val="21"/>
                <w:highlight w:val="yellow"/>
                <w:lang w:val="en-US" w:eastAsia="zh-CN"/>
              </w:rPr>
            </w:pPr>
            <w:r>
              <w:rPr>
                <w:rFonts w:hint="eastAsia"/>
                <w:szCs w:val="21"/>
                <w:highlight w:val="none"/>
                <w:lang w:val="en-US" w:eastAsia="zh-CN"/>
              </w:rPr>
              <w:t>20</w:t>
            </w:r>
          </w:p>
        </w:tc>
      </w:tr>
      <w:tr w14:paraId="7C5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59A02CE9">
            <w:pPr>
              <w:adjustRightInd w:val="0"/>
              <w:snapToGrid w:val="0"/>
              <w:spacing w:line="240" w:lineRule="auto"/>
              <w:ind w:firstLine="0" w:firstLineChars="0"/>
              <w:jc w:val="center"/>
              <w:rPr>
                <w:szCs w:val="21"/>
              </w:rPr>
            </w:pPr>
            <w:r>
              <w:rPr>
                <w:szCs w:val="21"/>
              </w:rPr>
              <w:t>环保投资占比</w:t>
            </w:r>
          </w:p>
        </w:tc>
        <w:tc>
          <w:tcPr>
            <w:tcW w:w="1012" w:type="pct"/>
            <w:tcBorders>
              <w:tl2br w:val="nil"/>
              <w:tr2bl w:val="nil"/>
            </w:tcBorders>
            <w:vAlign w:val="center"/>
          </w:tcPr>
          <w:p w14:paraId="73641DE5">
            <w:pPr>
              <w:adjustRightInd w:val="0"/>
              <w:snapToGrid w:val="0"/>
              <w:spacing w:line="240" w:lineRule="auto"/>
              <w:ind w:firstLine="0" w:firstLineChars="0"/>
              <w:jc w:val="center"/>
              <w:rPr>
                <w:szCs w:val="21"/>
              </w:rPr>
            </w:pPr>
            <w:r>
              <w:rPr>
                <w:rFonts w:hint="eastAsia"/>
                <w:szCs w:val="21"/>
                <w:highlight w:val="none"/>
                <w:lang w:val="en-US" w:eastAsia="zh-CN"/>
              </w:rPr>
              <w:t>4</w:t>
            </w:r>
            <w:r>
              <w:rPr>
                <w:rFonts w:hint="eastAsia"/>
                <w:szCs w:val="21"/>
                <w:highlight w:val="none"/>
              </w:rPr>
              <w:t>%</w:t>
            </w:r>
          </w:p>
        </w:tc>
        <w:tc>
          <w:tcPr>
            <w:tcW w:w="1054" w:type="pct"/>
            <w:tcBorders>
              <w:tl2br w:val="nil"/>
              <w:tr2bl w:val="nil"/>
            </w:tcBorders>
            <w:tcMar>
              <w:top w:w="16" w:type="dxa"/>
              <w:left w:w="16" w:type="dxa"/>
              <w:right w:w="16" w:type="dxa"/>
            </w:tcMar>
            <w:vAlign w:val="center"/>
          </w:tcPr>
          <w:p w14:paraId="532EEC79">
            <w:pPr>
              <w:adjustRightInd w:val="0"/>
              <w:snapToGrid w:val="0"/>
              <w:spacing w:line="240" w:lineRule="auto"/>
              <w:ind w:firstLine="0" w:firstLineChars="0"/>
              <w:jc w:val="center"/>
              <w:rPr>
                <w:szCs w:val="21"/>
              </w:rPr>
            </w:pPr>
            <w:r>
              <w:rPr>
                <w:szCs w:val="21"/>
              </w:rPr>
              <w:t>施工工期</w:t>
            </w:r>
          </w:p>
        </w:tc>
        <w:tc>
          <w:tcPr>
            <w:tcW w:w="1804" w:type="pct"/>
            <w:tcBorders>
              <w:tl2br w:val="nil"/>
              <w:tr2bl w:val="nil"/>
            </w:tcBorders>
            <w:vAlign w:val="center"/>
          </w:tcPr>
          <w:p w14:paraId="17933845">
            <w:pPr>
              <w:adjustRightInd w:val="0"/>
              <w:snapToGrid w:val="0"/>
              <w:spacing w:line="240" w:lineRule="auto"/>
              <w:ind w:firstLine="0" w:firstLineChars="0"/>
              <w:jc w:val="center"/>
              <w:rPr>
                <w:szCs w:val="21"/>
                <w:highlight w:val="yellow"/>
              </w:rPr>
            </w:pPr>
            <w:r>
              <w:rPr>
                <w:rFonts w:hint="eastAsia"/>
                <w:szCs w:val="21"/>
                <w:lang w:val="en-US" w:eastAsia="zh-CN"/>
              </w:rPr>
              <w:t>1</w:t>
            </w:r>
            <w:r>
              <w:rPr>
                <w:szCs w:val="21"/>
              </w:rPr>
              <w:t>个月</w:t>
            </w:r>
          </w:p>
        </w:tc>
      </w:tr>
      <w:tr w14:paraId="2D2A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tcBorders>
              <w:tl2br w:val="nil"/>
              <w:tr2bl w:val="nil"/>
            </w:tcBorders>
            <w:tcMar>
              <w:top w:w="16" w:type="dxa"/>
              <w:left w:w="16" w:type="dxa"/>
              <w:right w:w="16" w:type="dxa"/>
            </w:tcMar>
            <w:vAlign w:val="center"/>
          </w:tcPr>
          <w:p w14:paraId="0D85EB1C">
            <w:pPr>
              <w:adjustRightInd w:val="0"/>
              <w:snapToGrid w:val="0"/>
              <w:spacing w:line="240" w:lineRule="auto"/>
              <w:ind w:firstLine="0" w:firstLineChars="0"/>
              <w:jc w:val="center"/>
              <w:rPr>
                <w:szCs w:val="21"/>
              </w:rPr>
            </w:pPr>
            <w:r>
              <w:rPr>
                <w:szCs w:val="21"/>
              </w:rPr>
              <w:t>是否开工建设</w:t>
            </w:r>
          </w:p>
        </w:tc>
        <w:tc>
          <w:tcPr>
            <w:tcW w:w="1012" w:type="pct"/>
            <w:tcBorders>
              <w:tl2br w:val="nil"/>
              <w:tr2bl w:val="nil"/>
            </w:tcBorders>
            <w:vAlign w:val="center"/>
          </w:tcPr>
          <w:p w14:paraId="5C22B672">
            <w:pPr>
              <w:adjustRightInd w:val="0"/>
              <w:snapToGrid w:val="0"/>
              <w:spacing w:line="240" w:lineRule="auto"/>
              <w:ind w:firstLine="0" w:firstLineChars="0"/>
              <w:jc w:val="left"/>
              <w:rPr>
                <w:szCs w:val="21"/>
              </w:rPr>
            </w:pPr>
            <w:r>
              <w:rPr>
                <w:rFonts w:hint="eastAsia"/>
                <w:szCs w:val="21"/>
              </w:rPr>
              <w:t>☑</w:t>
            </w:r>
            <w:r>
              <w:rPr>
                <w:szCs w:val="21"/>
              </w:rPr>
              <w:t>否</w:t>
            </w:r>
          </w:p>
          <w:p w14:paraId="61B8F54E">
            <w:pPr>
              <w:adjustRightInd w:val="0"/>
              <w:snapToGrid w:val="0"/>
              <w:spacing w:line="240" w:lineRule="auto"/>
              <w:ind w:firstLine="0" w:firstLineChars="0"/>
              <w:jc w:val="left"/>
              <w:rPr>
                <w:szCs w:val="21"/>
              </w:rPr>
            </w:pPr>
            <w:r>
              <w:rPr>
                <w:rFonts w:hint="eastAsia"/>
                <w:szCs w:val="21"/>
              </w:rPr>
              <w:t>□</w:t>
            </w:r>
            <w:r>
              <w:rPr>
                <w:szCs w:val="21"/>
              </w:rPr>
              <w:t>是</w:t>
            </w:r>
          </w:p>
        </w:tc>
        <w:tc>
          <w:tcPr>
            <w:tcW w:w="1054" w:type="pct"/>
            <w:tcBorders>
              <w:tl2br w:val="nil"/>
              <w:tr2bl w:val="nil"/>
            </w:tcBorders>
            <w:tcMar>
              <w:top w:w="16" w:type="dxa"/>
              <w:left w:w="16" w:type="dxa"/>
              <w:right w:w="16" w:type="dxa"/>
            </w:tcMar>
            <w:vAlign w:val="center"/>
          </w:tcPr>
          <w:p w14:paraId="266A0D76">
            <w:pPr>
              <w:adjustRightInd w:val="0"/>
              <w:snapToGrid w:val="0"/>
              <w:spacing w:line="240" w:lineRule="auto"/>
              <w:ind w:firstLine="0" w:firstLineChars="0"/>
              <w:jc w:val="center"/>
              <w:rPr>
                <w:szCs w:val="21"/>
              </w:rPr>
            </w:pPr>
            <w:r>
              <w:rPr>
                <w:spacing w:val="-6"/>
                <w:szCs w:val="21"/>
              </w:rPr>
              <w:t>用地面积</w:t>
            </w:r>
            <w:r>
              <w:rPr>
                <w:rFonts w:hint="eastAsia"/>
                <w:spacing w:val="-6"/>
                <w:szCs w:val="21"/>
              </w:rPr>
              <w:t>（m</w:t>
            </w:r>
            <w:r>
              <w:rPr>
                <w:rFonts w:hint="eastAsia"/>
                <w:spacing w:val="-6"/>
                <w:szCs w:val="21"/>
                <w:vertAlign w:val="superscript"/>
              </w:rPr>
              <w:t>2</w:t>
            </w:r>
            <w:r>
              <w:rPr>
                <w:spacing w:val="-6"/>
                <w:szCs w:val="21"/>
              </w:rPr>
              <w:t>）</w:t>
            </w:r>
          </w:p>
        </w:tc>
        <w:tc>
          <w:tcPr>
            <w:tcW w:w="1804" w:type="pct"/>
            <w:tcBorders>
              <w:tl2br w:val="nil"/>
              <w:tr2bl w:val="nil"/>
            </w:tcBorders>
            <w:tcMar>
              <w:top w:w="16" w:type="dxa"/>
              <w:left w:w="16" w:type="dxa"/>
              <w:right w:w="16" w:type="dxa"/>
            </w:tcMar>
            <w:vAlign w:val="center"/>
          </w:tcPr>
          <w:p w14:paraId="4CFA4AF7">
            <w:pPr>
              <w:adjustRightInd w:val="0"/>
              <w:snapToGrid w:val="0"/>
              <w:spacing w:line="240" w:lineRule="auto"/>
              <w:ind w:firstLine="0" w:firstLineChars="0"/>
              <w:jc w:val="center"/>
              <w:rPr>
                <w:rFonts w:hint="default" w:eastAsia="宋体"/>
                <w:szCs w:val="21"/>
                <w:highlight w:val="yellow"/>
                <w:lang w:val="en-US" w:eastAsia="zh-CN"/>
              </w:rPr>
            </w:pPr>
            <w:r>
              <w:rPr>
                <w:rFonts w:hint="eastAsia"/>
                <w:szCs w:val="21"/>
                <w:lang w:val="en-US" w:eastAsia="zh-CN"/>
              </w:rPr>
              <w:t>1607</w:t>
            </w:r>
          </w:p>
        </w:tc>
      </w:tr>
      <w:tr w14:paraId="5F4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3" w:type="pct"/>
            <w:tcBorders>
              <w:tl2br w:val="nil"/>
              <w:tr2bl w:val="nil"/>
            </w:tcBorders>
            <w:vAlign w:val="center"/>
          </w:tcPr>
          <w:p w14:paraId="610296CD">
            <w:pPr>
              <w:adjustRightInd w:val="0"/>
              <w:snapToGrid w:val="0"/>
              <w:spacing w:line="240" w:lineRule="auto"/>
              <w:ind w:firstLine="0" w:firstLineChars="0"/>
              <w:jc w:val="center"/>
              <w:rPr>
                <w:kern w:val="0"/>
                <w:szCs w:val="21"/>
              </w:rPr>
            </w:pPr>
            <w:r>
              <w:rPr>
                <w:kern w:val="0"/>
                <w:szCs w:val="21"/>
              </w:rPr>
              <w:t>专项评价</w:t>
            </w:r>
          </w:p>
          <w:p w14:paraId="1DF561CA">
            <w:pPr>
              <w:adjustRightInd w:val="0"/>
              <w:snapToGrid w:val="0"/>
              <w:spacing w:line="240" w:lineRule="auto"/>
              <w:ind w:firstLine="0" w:firstLineChars="0"/>
              <w:jc w:val="center"/>
              <w:rPr>
                <w:kern w:val="0"/>
                <w:szCs w:val="21"/>
              </w:rPr>
            </w:pPr>
            <w:r>
              <w:rPr>
                <w:kern w:val="0"/>
                <w:szCs w:val="21"/>
              </w:rPr>
              <w:t>设置情况</w:t>
            </w:r>
          </w:p>
        </w:tc>
        <w:tc>
          <w:tcPr>
            <w:tcW w:w="3872" w:type="pct"/>
            <w:gridSpan w:val="3"/>
            <w:tcBorders>
              <w:tl2br w:val="nil"/>
              <w:tr2bl w:val="nil"/>
            </w:tcBorders>
            <w:vAlign w:val="center"/>
          </w:tcPr>
          <w:p w14:paraId="13B2B521">
            <w:pPr>
              <w:adjustRightInd w:val="0"/>
              <w:snapToGrid w:val="0"/>
              <w:spacing w:line="240" w:lineRule="auto"/>
              <w:ind w:firstLine="0" w:firstLineChars="0"/>
              <w:jc w:val="center"/>
              <w:rPr>
                <w:kern w:val="0"/>
                <w:szCs w:val="21"/>
              </w:rPr>
            </w:pPr>
            <w:r>
              <w:rPr>
                <w:kern w:val="0"/>
                <w:szCs w:val="21"/>
              </w:rPr>
              <w:t>无</w:t>
            </w:r>
          </w:p>
        </w:tc>
      </w:tr>
      <w:tr w14:paraId="2C79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3" w:type="pct"/>
            <w:tcBorders>
              <w:tl2br w:val="nil"/>
              <w:tr2bl w:val="nil"/>
            </w:tcBorders>
            <w:vAlign w:val="center"/>
          </w:tcPr>
          <w:p w14:paraId="1BDAE139">
            <w:pPr>
              <w:adjustRightInd w:val="0"/>
              <w:snapToGrid w:val="0"/>
              <w:spacing w:line="240" w:lineRule="auto"/>
              <w:ind w:firstLine="0" w:firstLineChars="0"/>
              <w:jc w:val="center"/>
              <w:rPr>
                <w:kern w:val="0"/>
                <w:szCs w:val="21"/>
              </w:rPr>
            </w:pPr>
            <w:r>
              <w:rPr>
                <w:szCs w:val="21"/>
              </w:rPr>
              <w:t>规划情况</w:t>
            </w:r>
          </w:p>
        </w:tc>
        <w:tc>
          <w:tcPr>
            <w:tcW w:w="3872" w:type="pct"/>
            <w:gridSpan w:val="3"/>
            <w:tcBorders>
              <w:tl2br w:val="nil"/>
              <w:tr2bl w:val="nil"/>
            </w:tcBorders>
            <w:vAlign w:val="center"/>
          </w:tcPr>
          <w:p w14:paraId="23F4D0A5">
            <w:pPr>
              <w:adjustRightInd w:val="0"/>
              <w:snapToGrid w:val="0"/>
              <w:spacing w:line="240" w:lineRule="auto"/>
              <w:ind w:firstLine="0" w:firstLineChars="0"/>
              <w:jc w:val="center"/>
              <w:rPr>
                <w:kern w:val="0"/>
                <w:szCs w:val="21"/>
              </w:rPr>
            </w:pPr>
            <w:r>
              <w:rPr>
                <w:rFonts w:hint="eastAsia"/>
                <w:kern w:val="0"/>
                <w:szCs w:val="21"/>
              </w:rPr>
              <w:t>无</w:t>
            </w:r>
          </w:p>
        </w:tc>
      </w:tr>
      <w:tr w14:paraId="676A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13" w:type="pct"/>
            <w:tcBorders>
              <w:tl2br w:val="nil"/>
              <w:tr2bl w:val="nil"/>
            </w:tcBorders>
            <w:vAlign w:val="center"/>
          </w:tcPr>
          <w:p w14:paraId="6CF10C3A">
            <w:pPr>
              <w:adjustRightInd w:val="0"/>
              <w:snapToGrid w:val="0"/>
              <w:spacing w:line="240" w:lineRule="auto"/>
              <w:ind w:firstLine="0" w:firstLineChars="0"/>
              <w:jc w:val="center"/>
              <w:rPr>
                <w:szCs w:val="21"/>
              </w:rPr>
            </w:pPr>
            <w:r>
              <w:rPr>
                <w:szCs w:val="21"/>
              </w:rPr>
              <w:t>规划环境影响</w:t>
            </w:r>
          </w:p>
          <w:p w14:paraId="39E35A16">
            <w:pPr>
              <w:adjustRightInd w:val="0"/>
              <w:snapToGrid w:val="0"/>
              <w:spacing w:line="240" w:lineRule="auto"/>
              <w:ind w:firstLine="0" w:firstLineChars="0"/>
              <w:jc w:val="center"/>
              <w:rPr>
                <w:kern w:val="0"/>
                <w:szCs w:val="21"/>
              </w:rPr>
            </w:pPr>
            <w:r>
              <w:rPr>
                <w:szCs w:val="21"/>
              </w:rPr>
              <w:t>评价情况</w:t>
            </w:r>
          </w:p>
        </w:tc>
        <w:tc>
          <w:tcPr>
            <w:tcW w:w="3872" w:type="pct"/>
            <w:gridSpan w:val="3"/>
            <w:tcBorders>
              <w:tl2br w:val="nil"/>
              <w:tr2bl w:val="nil"/>
            </w:tcBorders>
            <w:vAlign w:val="center"/>
          </w:tcPr>
          <w:p w14:paraId="7E0AAC16">
            <w:pPr>
              <w:adjustRightInd w:val="0"/>
              <w:snapToGrid w:val="0"/>
              <w:spacing w:line="240" w:lineRule="auto"/>
              <w:ind w:firstLine="0" w:firstLineChars="0"/>
              <w:jc w:val="center"/>
              <w:rPr>
                <w:kern w:val="0"/>
                <w:szCs w:val="21"/>
              </w:rPr>
            </w:pPr>
            <w:r>
              <w:rPr>
                <w:kern w:val="0"/>
                <w:szCs w:val="21"/>
              </w:rPr>
              <w:t>无</w:t>
            </w:r>
          </w:p>
        </w:tc>
      </w:tr>
      <w:tr w14:paraId="4CEE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13" w:type="pct"/>
            <w:tcBorders>
              <w:tl2br w:val="nil"/>
              <w:tr2bl w:val="nil"/>
            </w:tcBorders>
            <w:vAlign w:val="center"/>
          </w:tcPr>
          <w:p w14:paraId="4D5855B4">
            <w:pPr>
              <w:adjustRightInd w:val="0"/>
              <w:snapToGrid w:val="0"/>
              <w:spacing w:line="240" w:lineRule="auto"/>
              <w:ind w:firstLine="0" w:firstLineChars="0"/>
              <w:jc w:val="center"/>
              <w:rPr>
                <w:kern w:val="0"/>
                <w:szCs w:val="21"/>
              </w:rPr>
            </w:pPr>
            <w:r>
              <w:rPr>
                <w:kern w:val="0"/>
                <w:szCs w:val="21"/>
              </w:rPr>
              <w:br w:type="page"/>
            </w:r>
            <w:r>
              <w:rPr>
                <w:kern w:val="0"/>
                <w:szCs w:val="21"/>
              </w:rPr>
              <w:br w:type="page"/>
            </w:r>
            <w:r>
              <w:rPr>
                <w:kern w:val="0"/>
                <w:szCs w:val="21"/>
              </w:rPr>
              <w:t>规划及规划环境影响评价符合性分析</w:t>
            </w:r>
          </w:p>
        </w:tc>
        <w:tc>
          <w:tcPr>
            <w:tcW w:w="3872" w:type="pct"/>
            <w:gridSpan w:val="3"/>
            <w:tcBorders>
              <w:tl2br w:val="nil"/>
              <w:tr2bl w:val="nil"/>
            </w:tcBorders>
            <w:vAlign w:val="center"/>
          </w:tcPr>
          <w:p w14:paraId="178E7B51">
            <w:pPr>
              <w:pStyle w:val="3"/>
              <w:ind w:firstLine="0" w:firstLineChars="0"/>
              <w:jc w:val="center"/>
            </w:pPr>
            <w:r>
              <w:rPr>
                <w:rFonts w:hint="eastAsia"/>
              </w:rPr>
              <w:t>无</w:t>
            </w:r>
          </w:p>
        </w:tc>
      </w:tr>
      <w:tr w14:paraId="208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tcBorders>
              <w:tl2br w:val="nil"/>
              <w:tr2bl w:val="nil"/>
            </w:tcBorders>
            <w:vAlign w:val="center"/>
          </w:tcPr>
          <w:p w14:paraId="29FE7ABE">
            <w:pPr>
              <w:adjustRightInd w:val="0"/>
              <w:snapToGrid w:val="0"/>
              <w:spacing w:line="240" w:lineRule="auto"/>
              <w:ind w:firstLine="0" w:firstLineChars="0"/>
              <w:jc w:val="center"/>
              <w:rPr>
                <w:kern w:val="0"/>
                <w:szCs w:val="21"/>
              </w:rPr>
            </w:pPr>
            <w:r>
              <w:rPr>
                <w:kern w:val="0"/>
                <w:szCs w:val="21"/>
              </w:rPr>
              <w:t>其他符合性分析</w:t>
            </w:r>
          </w:p>
        </w:tc>
        <w:tc>
          <w:tcPr>
            <w:tcW w:w="3872" w:type="pct"/>
            <w:gridSpan w:val="3"/>
            <w:tcBorders>
              <w:tl2br w:val="nil"/>
              <w:tr2bl w:val="nil"/>
            </w:tcBorders>
            <w:vAlign w:val="center"/>
          </w:tcPr>
          <w:p w14:paraId="3C520CC4">
            <w:pPr>
              <w:ind w:firstLine="482"/>
              <w:rPr>
                <w:b/>
                <w:bCs/>
              </w:rPr>
            </w:pPr>
            <w:r>
              <w:rPr>
                <w:b/>
                <w:bCs/>
              </w:rPr>
              <w:t>1、产业政策符合性分析</w:t>
            </w:r>
          </w:p>
          <w:p w14:paraId="56125087">
            <w:pPr>
              <w:pStyle w:val="16"/>
              <w:ind w:firstLine="480"/>
            </w:pPr>
            <w:r>
              <w:rPr>
                <w:rFonts w:hint="eastAsia"/>
                <w:u w:val="none"/>
                <w:lang w:val="en-US" w:eastAsia="zh-CN"/>
              </w:rPr>
              <w:t>本项目属于</w:t>
            </w:r>
            <w:r>
              <w:rPr>
                <w:rFonts w:hint="eastAsia"/>
                <w:u w:val="none"/>
              </w:rPr>
              <w:t>C3061玻璃纤维及制品制造</w:t>
            </w:r>
            <w:r>
              <w:rPr>
                <w:rFonts w:hint="eastAsia"/>
                <w:u w:val="none"/>
                <w:lang w:eastAsia="zh-CN"/>
              </w:rPr>
              <w:t>，</w:t>
            </w:r>
            <w:r>
              <w:rPr>
                <w:u w:val="none"/>
              </w:rPr>
              <w:t>对照《产业结构调整指导目录》（2024年本），不在“限制类”和“淘汰类”之列，因此项目建设符合国家产业政策要求。</w:t>
            </w:r>
            <w:r>
              <w:t>对照工信部《高耗能落后机电设备（产品）淘汰目录》第一批、第二批、第三批，本项目所用设备不属于其中的淘汰落后设备</w:t>
            </w:r>
            <w:r>
              <w:rPr>
                <w:rFonts w:hint="eastAsia"/>
              </w:rPr>
              <w:t>，</w:t>
            </w:r>
            <w:r>
              <w:t>符合国家产业政策</w:t>
            </w:r>
            <w:r>
              <w:rPr>
                <w:rFonts w:hint="eastAsia"/>
              </w:rPr>
              <w:t>。</w:t>
            </w:r>
          </w:p>
          <w:p w14:paraId="1441744D">
            <w:pPr>
              <w:ind w:firstLine="482"/>
              <w:rPr>
                <w:b/>
                <w:bCs/>
              </w:rPr>
            </w:pPr>
            <w:r>
              <w:rPr>
                <w:rFonts w:hint="eastAsia"/>
                <w:b/>
                <w:bCs/>
                <w:lang w:val="en-US" w:eastAsia="zh-CN"/>
              </w:rPr>
              <w:t>2</w:t>
            </w:r>
            <w:r>
              <w:rPr>
                <w:rFonts w:hint="eastAsia"/>
                <w:b/>
                <w:bCs/>
              </w:rPr>
              <w:t>、与生态环境分区管控要求的符合性分析</w:t>
            </w:r>
          </w:p>
          <w:p w14:paraId="1CD8F882">
            <w:pPr>
              <w:pStyle w:val="16"/>
              <w:ind w:firstLine="480"/>
            </w:pPr>
            <w:r>
              <w:t>本项目选址于</w:t>
            </w:r>
            <w:r>
              <w:rPr>
                <w:rFonts w:hint="eastAsia"/>
              </w:rPr>
              <w:t>岳阳市</w:t>
            </w:r>
            <w:r>
              <w:rPr>
                <w:rFonts w:hint="eastAsia"/>
                <w:lang w:eastAsia="zh-CN"/>
              </w:rPr>
              <w:t>岳阳县筻口镇熊市村新塘片二组</w:t>
            </w:r>
            <w:r>
              <w:t>，根据</w:t>
            </w:r>
            <w:r>
              <w:rPr>
                <w:rFonts w:hint="eastAsia"/>
                <w:lang w:eastAsia="zh-CN"/>
              </w:rPr>
              <w:t>“</w:t>
            </w:r>
            <w:r>
              <w:rPr>
                <w:rFonts w:hint="default"/>
                <w:lang w:val="en-US" w:eastAsia="zh-CN"/>
              </w:rPr>
              <w:t>岳阳市生态环境局关于发布岳阳市生态环境分区管控动态更新成果（2023年版）的通知</w:t>
            </w:r>
            <w:r>
              <w:rPr>
                <w:rFonts w:hint="eastAsia"/>
                <w:lang w:val="en-US" w:eastAsia="zh-CN"/>
              </w:rPr>
              <w:t>”</w:t>
            </w:r>
            <w:r>
              <w:rPr>
                <w:rFonts w:hint="default"/>
                <w:lang w:val="en-US" w:eastAsia="zh-CN"/>
              </w:rPr>
              <w:t>（岳环发〔2024〕14号）</w:t>
            </w:r>
            <w:r>
              <w:t>，为</w:t>
            </w:r>
            <w:r>
              <w:rPr>
                <w:rFonts w:hint="eastAsia"/>
                <w:lang w:val="en-US" w:eastAsia="zh-CN"/>
              </w:rPr>
              <w:t>一般</w:t>
            </w:r>
            <w:r>
              <w:rPr>
                <w:rFonts w:hint="eastAsia"/>
              </w:rPr>
              <w:t>管控</w:t>
            </w:r>
            <w:r>
              <w:t>单元ZH430</w:t>
            </w:r>
            <w:r>
              <w:rPr>
                <w:rFonts w:hint="eastAsia"/>
              </w:rPr>
              <w:t>621</w:t>
            </w:r>
            <w:r>
              <w:rPr>
                <w:rFonts w:hint="eastAsia"/>
                <w:lang w:val="en-US" w:eastAsia="zh-CN"/>
              </w:rPr>
              <w:t>3</w:t>
            </w:r>
            <w:r>
              <w:rPr>
                <w:rFonts w:hint="eastAsia"/>
              </w:rPr>
              <w:t>000</w:t>
            </w:r>
            <w:r>
              <w:rPr>
                <w:rFonts w:hint="eastAsia"/>
                <w:lang w:val="en-US" w:eastAsia="zh-CN"/>
              </w:rPr>
              <w:t>1</w:t>
            </w:r>
            <w:r>
              <w:t>。项目建设符合其环境准入及管控要求，本项目与生态环境准入清单符合性分析如下</w:t>
            </w:r>
            <w:r>
              <w:rPr>
                <w:rFonts w:hint="eastAsia"/>
              </w:rPr>
              <w:t>。</w:t>
            </w:r>
          </w:p>
          <w:p w14:paraId="3C3D8AF2">
            <w:pPr>
              <w:pStyle w:val="17"/>
            </w:pPr>
            <w:r>
              <w:t>表1-</w:t>
            </w:r>
            <w:r>
              <w:rPr>
                <w:rFonts w:hint="eastAsia"/>
                <w:lang w:val="en-US" w:eastAsia="zh-CN"/>
              </w:rPr>
              <w:t>1</w:t>
            </w:r>
            <w:r>
              <w:t xml:space="preserve"> </w:t>
            </w:r>
            <w:r>
              <w:rPr>
                <w:rFonts w:hint="eastAsia"/>
              </w:rPr>
              <w:t>与生态环境准入清单</w:t>
            </w:r>
            <w:r>
              <w:rPr>
                <w:rFonts w:hint="eastAsia"/>
                <w:lang w:val="en-US" w:eastAsia="zh-CN"/>
              </w:rPr>
              <w:t>符合</w:t>
            </w:r>
            <w:r>
              <w:t>性分析一览表</w:t>
            </w:r>
          </w:p>
          <w:tbl>
            <w:tblPr>
              <w:tblStyle w:val="12"/>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627"/>
              <w:gridCol w:w="1269"/>
              <w:gridCol w:w="646"/>
            </w:tblGrid>
            <w:tr w14:paraId="3E52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12" w:type="dxa"/>
                  <w:vAlign w:val="center"/>
                </w:tcPr>
                <w:p w14:paraId="4E43151D">
                  <w:pPr>
                    <w:pStyle w:val="15"/>
                  </w:pPr>
                  <w:r>
                    <w:rPr>
                      <w:rFonts w:hint="eastAsia"/>
                    </w:rPr>
                    <w:t>管控维度</w:t>
                  </w:r>
                </w:p>
              </w:tc>
              <w:tc>
                <w:tcPr>
                  <w:tcW w:w="3627" w:type="dxa"/>
                  <w:vAlign w:val="center"/>
                </w:tcPr>
                <w:p w14:paraId="5F539C9A">
                  <w:pPr>
                    <w:pStyle w:val="15"/>
                  </w:pPr>
                  <w:r>
                    <w:t>管控要求</w:t>
                  </w:r>
                </w:p>
              </w:tc>
              <w:tc>
                <w:tcPr>
                  <w:tcW w:w="1269" w:type="dxa"/>
                  <w:vAlign w:val="center"/>
                </w:tcPr>
                <w:p w14:paraId="6F803DFA">
                  <w:pPr>
                    <w:pStyle w:val="15"/>
                  </w:pPr>
                  <w:r>
                    <w:t>项目情况</w:t>
                  </w:r>
                </w:p>
              </w:tc>
              <w:tc>
                <w:tcPr>
                  <w:tcW w:w="646" w:type="dxa"/>
                  <w:vAlign w:val="center"/>
                </w:tcPr>
                <w:p w14:paraId="50B44115">
                  <w:pPr>
                    <w:pStyle w:val="15"/>
                  </w:pPr>
                  <w:r>
                    <w:rPr>
                      <w:rFonts w:hint="eastAsia"/>
                    </w:rPr>
                    <w:t>符合性</w:t>
                  </w:r>
                </w:p>
              </w:tc>
            </w:tr>
            <w:tr w14:paraId="6ACD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14:paraId="3BCBDD57">
                  <w:pPr>
                    <w:pStyle w:val="15"/>
                  </w:pPr>
                  <w:r>
                    <w:t>空间布局约束</w:t>
                  </w:r>
                </w:p>
              </w:tc>
              <w:tc>
                <w:tcPr>
                  <w:tcW w:w="3627" w:type="dxa"/>
                  <w:vAlign w:val="center"/>
                </w:tcPr>
                <w:p w14:paraId="6B233B7B">
                  <w:pPr>
                    <w:pStyle w:val="15"/>
                  </w:pPr>
                  <w:r>
                    <w:rPr>
                      <w:rFonts w:hint="eastAsia"/>
                    </w:rPr>
                    <w:t>全面规范河流、湖泊、水库等天然水域的水产养殖行为，禁止天然水城投肥投饵养殖。禁止周边生活污水及畜禽粪直接排入水库，全面加强对人工水产养殖尾水排放的管控。岳阳县重点湖泊禁止网箱、网围、网栏等人工养殖。</w:t>
                  </w:r>
                </w:p>
              </w:tc>
              <w:tc>
                <w:tcPr>
                  <w:tcW w:w="1269" w:type="dxa"/>
                  <w:vAlign w:val="center"/>
                </w:tcPr>
                <w:p w14:paraId="5FBBE9D1">
                  <w:pPr>
                    <w:pStyle w:val="15"/>
                  </w:pPr>
                  <w:r>
                    <w:t>本项目不属于</w:t>
                  </w:r>
                  <w:r>
                    <w:rPr>
                      <w:rFonts w:hint="eastAsia"/>
                      <w:lang w:val="en-US" w:eastAsia="zh-CN"/>
                    </w:rPr>
                    <w:t>水产养殖行业，生活污水经化粪池处理后用作农肥</w:t>
                  </w:r>
                  <w:r>
                    <w:rPr>
                      <w:rFonts w:hint="eastAsia"/>
                    </w:rPr>
                    <w:t>。</w:t>
                  </w:r>
                </w:p>
              </w:tc>
              <w:tc>
                <w:tcPr>
                  <w:tcW w:w="646" w:type="dxa"/>
                  <w:vAlign w:val="center"/>
                </w:tcPr>
                <w:p w14:paraId="2D177502">
                  <w:pPr>
                    <w:pStyle w:val="15"/>
                  </w:pPr>
                  <w:r>
                    <w:rPr>
                      <w:rFonts w:hint="eastAsia"/>
                    </w:rPr>
                    <w:t>符合</w:t>
                  </w:r>
                </w:p>
              </w:tc>
            </w:tr>
            <w:tr w14:paraId="59BC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674CCC51">
                  <w:pPr>
                    <w:pStyle w:val="15"/>
                  </w:pPr>
                </w:p>
              </w:tc>
              <w:tc>
                <w:tcPr>
                  <w:tcW w:w="3627" w:type="dxa"/>
                  <w:vAlign w:val="center"/>
                </w:tcPr>
                <w:p w14:paraId="3ABA386B">
                  <w:pPr>
                    <w:pStyle w:val="15"/>
                    <w:rPr>
                      <w:rFonts w:hint="eastAsia"/>
                    </w:rPr>
                  </w:pPr>
                  <w:r>
                    <w:rPr>
                      <w:rFonts w:hint="eastAsia"/>
                    </w:rPr>
                    <w:t>鼓励发展生态农业、清洁能源、农副产品加工，培育特色农业生产基地。推进辖区加工企业聚集发展，打造地方特色产业。限制布局废水量大、耗水量大的企业。</w:t>
                  </w:r>
                </w:p>
              </w:tc>
              <w:tc>
                <w:tcPr>
                  <w:tcW w:w="1269" w:type="dxa"/>
                  <w:vAlign w:val="center"/>
                </w:tcPr>
                <w:p w14:paraId="630690FD">
                  <w:pPr>
                    <w:pStyle w:val="15"/>
                    <w:rPr>
                      <w:rFonts w:hint="default" w:eastAsia="宋体"/>
                      <w:lang w:val="en-US" w:eastAsia="zh-CN"/>
                    </w:rPr>
                  </w:pPr>
                  <w:r>
                    <w:rPr>
                      <w:rFonts w:hint="eastAsia"/>
                      <w:lang w:val="en-US" w:eastAsia="zh-CN"/>
                    </w:rPr>
                    <w:t>本项目为玻璃纤维制品制造，用水主要为生活污水，污水量小。</w:t>
                  </w:r>
                </w:p>
              </w:tc>
              <w:tc>
                <w:tcPr>
                  <w:tcW w:w="646" w:type="dxa"/>
                  <w:vAlign w:val="center"/>
                </w:tcPr>
                <w:p w14:paraId="64CF381E">
                  <w:pPr>
                    <w:pStyle w:val="15"/>
                    <w:rPr>
                      <w:rFonts w:hint="eastAsia"/>
                    </w:rPr>
                  </w:pPr>
                  <w:r>
                    <w:rPr>
                      <w:rFonts w:hint="eastAsia"/>
                    </w:rPr>
                    <w:t>符合</w:t>
                  </w:r>
                </w:p>
              </w:tc>
            </w:tr>
            <w:tr w14:paraId="2014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627B8CCE">
                  <w:pPr>
                    <w:pStyle w:val="15"/>
                  </w:pPr>
                </w:p>
              </w:tc>
              <w:tc>
                <w:tcPr>
                  <w:tcW w:w="3627" w:type="dxa"/>
                  <w:vAlign w:val="center"/>
                </w:tcPr>
                <w:p w14:paraId="16AA2065">
                  <w:pPr>
                    <w:pStyle w:val="15"/>
                    <w:rPr>
                      <w:rFonts w:hint="eastAsia"/>
                    </w:rPr>
                  </w:pPr>
                  <w:r>
                    <w:rPr>
                      <w:rFonts w:hint="eastAsia"/>
                    </w:rPr>
                    <w:t>畜禽养殖按照</w:t>
                  </w:r>
                  <w:r>
                    <w:rPr>
                      <w:rFonts w:hint="eastAsia"/>
                      <w:lang w:eastAsia="zh-CN"/>
                    </w:rPr>
                    <w:t>《</w:t>
                  </w:r>
                  <w:r>
                    <w:rPr>
                      <w:rFonts w:hint="eastAsia"/>
                    </w:rPr>
                    <w:t>湖南省畜禽规模养殖污染防治规定》相关内容实施，禁养区内畜禽养殖场立即关停退养，禁养区外沿江、河、湖、库、排（干）渠岸线500米内实施限养管理，禁止新增养殖场和扩大养殖规模，引导现有养殖场逐步退出。</w:t>
                  </w:r>
                </w:p>
              </w:tc>
              <w:tc>
                <w:tcPr>
                  <w:tcW w:w="1269" w:type="dxa"/>
                  <w:vAlign w:val="center"/>
                </w:tcPr>
                <w:p w14:paraId="545B966A">
                  <w:pPr>
                    <w:pStyle w:val="15"/>
                    <w:rPr>
                      <w:rFonts w:hint="eastAsia" w:eastAsia="宋体"/>
                      <w:lang w:val="en-US" w:eastAsia="zh-CN"/>
                    </w:rPr>
                  </w:pPr>
                  <w:r>
                    <w:rPr>
                      <w:rFonts w:hint="eastAsia"/>
                      <w:lang w:val="en-US" w:eastAsia="zh-CN"/>
                    </w:rPr>
                    <w:t>本项目不属于</w:t>
                  </w:r>
                  <w:r>
                    <w:rPr>
                      <w:rFonts w:hint="eastAsia"/>
                    </w:rPr>
                    <w:t>畜禽养殖</w:t>
                  </w:r>
                  <w:r>
                    <w:rPr>
                      <w:rFonts w:hint="eastAsia"/>
                      <w:lang w:val="en-US" w:eastAsia="zh-CN"/>
                    </w:rPr>
                    <w:t>业。</w:t>
                  </w:r>
                </w:p>
              </w:tc>
              <w:tc>
                <w:tcPr>
                  <w:tcW w:w="646" w:type="dxa"/>
                  <w:vAlign w:val="center"/>
                </w:tcPr>
                <w:p w14:paraId="6BB8B8AB">
                  <w:pPr>
                    <w:pStyle w:val="15"/>
                    <w:rPr>
                      <w:rFonts w:hint="eastAsia"/>
                    </w:rPr>
                  </w:pPr>
                  <w:r>
                    <w:rPr>
                      <w:rFonts w:hint="eastAsia"/>
                    </w:rPr>
                    <w:t>符合</w:t>
                  </w:r>
                </w:p>
              </w:tc>
            </w:tr>
            <w:tr w14:paraId="533C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1882E28E">
                  <w:pPr>
                    <w:pStyle w:val="15"/>
                  </w:pPr>
                </w:p>
              </w:tc>
              <w:tc>
                <w:tcPr>
                  <w:tcW w:w="3627" w:type="dxa"/>
                  <w:vAlign w:val="center"/>
                </w:tcPr>
                <w:p w14:paraId="5C993747">
                  <w:pPr>
                    <w:pStyle w:val="15"/>
                    <w:rPr>
                      <w:rFonts w:hint="eastAsia"/>
                    </w:rPr>
                  </w:pPr>
                  <w:r>
                    <w:rPr>
                      <w:rFonts w:hint="eastAsia"/>
                    </w:rPr>
                    <w:t>着力整治重点流城非法采砂、洗砂、侵占大堤水城滩地非法作业等问题。</w:t>
                  </w:r>
                </w:p>
              </w:tc>
              <w:tc>
                <w:tcPr>
                  <w:tcW w:w="1269" w:type="dxa"/>
                  <w:vAlign w:val="center"/>
                </w:tcPr>
                <w:p w14:paraId="091575C0">
                  <w:pPr>
                    <w:pStyle w:val="15"/>
                    <w:rPr>
                      <w:rFonts w:hint="default"/>
                      <w:lang w:val="en-US"/>
                    </w:rPr>
                  </w:pPr>
                  <w:r>
                    <w:rPr>
                      <w:rFonts w:hint="eastAsia"/>
                      <w:lang w:val="en-US" w:eastAsia="zh-CN"/>
                    </w:rPr>
                    <w:t>本项目不属于采砂等砂石行业。</w:t>
                  </w:r>
                </w:p>
              </w:tc>
              <w:tc>
                <w:tcPr>
                  <w:tcW w:w="646" w:type="dxa"/>
                  <w:vAlign w:val="center"/>
                </w:tcPr>
                <w:p w14:paraId="07B55547">
                  <w:pPr>
                    <w:pStyle w:val="15"/>
                    <w:rPr>
                      <w:rFonts w:hint="eastAsia"/>
                    </w:rPr>
                  </w:pPr>
                  <w:r>
                    <w:rPr>
                      <w:rFonts w:hint="eastAsia"/>
                    </w:rPr>
                    <w:t>符合</w:t>
                  </w:r>
                </w:p>
              </w:tc>
            </w:tr>
            <w:tr w14:paraId="47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14:paraId="32AE9038">
                  <w:pPr>
                    <w:pStyle w:val="15"/>
                  </w:pPr>
                  <w:r>
                    <w:t>污染物排放管控</w:t>
                  </w:r>
                </w:p>
              </w:tc>
              <w:tc>
                <w:tcPr>
                  <w:tcW w:w="3627" w:type="dxa"/>
                  <w:vAlign w:val="center"/>
                </w:tcPr>
                <w:p w14:paraId="4BFB43D5">
                  <w:pPr>
                    <w:pStyle w:val="15"/>
                  </w:pPr>
                  <w:r>
                    <w:rPr>
                      <w:rFonts w:hint="eastAsia"/>
                    </w:rPr>
                    <w:t>废气：加强建筑施工工地扬尘污染控制，严格落实“六个100%”措施</w:t>
                  </w:r>
                  <w:r>
                    <w:rPr>
                      <w:rFonts w:hint="eastAsia"/>
                      <w:lang w:eastAsia="zh-CN"/>
                    </w:rPr>
                    <w:t>；</w:t>
                  </w:r>
                  <w:r>
                    <w:rPr>
                      <w:rFonts w:hint="eastAsia"/>
                    </w:rPr>
                    <w:t>强化建材等企业无组织排放管控及治理</w:t>
                  </w:r>
                  <w:r>
                    <w:rPr>
                      <w:rFonts w:hint="eastAsia"/>
                      <w:lang w:eastAsia="zh-CN"/>
                    </w:rPr>
                    <w:t>；</w:t>
                  </w:r>
                  <w:r>
                    <w:rPr>
                      <w:rFonts w:hint="eastAsia"/>
                    </w:rPr>
                    <w:t>持续推进散开式汽修喷涂、油品储运销等过程中挥发性有机物的治理工作</w:t>
                  </w:r>
                  <w:r>
                    <w:rPr>
                      <w:rFonts w:hint="eastAsia"/>
                      <w:lang w:eastAsia="zh-CN"/>
                    </w:rPr>
                    <w:t>；</w:t>
                  </w:r>
                  <w:r>
                    <w:rPr>
                      <w:rFonts w:hint="eastAsia"/>
                    </w:rPr>
                    <w:t>提升秸秆综合利用，拓宽秸秆利用途径</w:t>
                  </w:r>
                  <w:r>
                    <w:rPr>
                      <w:rFonts w:hint="eastAsia"/>
                      <w:lang w:eastAsia="zh-CN"/>
                    </w:rPr>
                    <w:t>；</w:t>
                  </w:r>
                  <w:r>
                    <w:rPr>
                      <w:rFonts w:hint="eastAsia"/>
                    </w:rPr>
                    <w:t>严禁垃圾露天焚烧加强餐饮油烟、露天烧烤监管。</w:t>
                  </w:r>
                </w:p>
              </w:tc>
              <w:tc>
                <w:tcPr>
                  <w:tcW w:w="1269" w:type="dxa"/>
                  <w:vAlign w:val="center"/>
                </w:tcPr>
                <w:p w14:paraId="2CEE1634">
                  <w:pPr>
                    <w:pStyle w:val="15"/>
                    <w:rPr>
                      <w:rFonts w:hint="default" w:eastAsia="宋体"/>
                      <w:lang w:val="en-US" w:eastAsia="zh-CN"/>
                    </w:rPr>
                  </w:pPr>
                  <w:r>
                    <w:rPr>
                      <w:rFonts w:hint="eastAsia"/>
                      <w:lang w:val="en-US" w:eastAsia="zh-CN"/>
                    </w:rPr>
                    <w:t>本项目施工期严格执行</w:t>
                  </w:r>
                  <w:r>
                    <w:rPr>
                      <w:rFonts w:hint="eastAsia"/>
                    </w:rPr>
                    <w:t>“六个100%”措施</w:t>
                  </w:r>
                  <w:r>
                    <w:rPr>
                      <w:rFonts w:hint="eastAsia"/>
                      <w:lang w:val="en-US" w:eastAsia="zh-CN"/>
                    </w:rPr>
                    <w:t>。</w:t>
                  </w:r>
                </w:p>
              </w:tc>
              <w:tc>
                <w:tcPr>
                  <w:tcW w:w="646" w:type="dxa"/>
                  <w:vAlign w:val="center"/>
                </w:tcPr>
                <w:p w14:paraId="743C1122">
                  <w:pPr>
                    <w:pStyle w:val="15"/>
                  </w:pPr>
                  <w:r>
                    <w:rPr>
                      <w:rFonts w:hint="eastAsia"/>
                    </w:rPr>
                    <w:t>符合</w:t>
                  </w:r>
                </w:p>
              </w:tc>
            </w:tr>
            <w:tr w14:paraId="32B8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70BA4F7B">
                  <w:pPr>
                    <w:pStyle w:val="15"/>
                  </w:pPr>
                </w:p>
              </w:tc>
              <w:tc>
                <w:tcPr>
                  <w:tcW w:w="3627" w:type="dxa"/>
                  <w:vAlign w:val="center"/>
                </w:tcPr>
                <w:p w14:paraId="4588F6E3">
                  <w:pPr>
                    <w:pStyle w:val="15"/>
                    <w:rPr>
                      <w:rFonts w:hint="eastAsia"/>
                    </w:rPr>
                  </w:pPr>
                  <w:r>
                    <w:rPr>
                      <w:rFonts w:hint="eastAsia"/>
                    </w:rPr>
                    <w:t>废水：加快建设城镇生活污水收集管网</w:t>
                  </w:r>
                  <w:r>
                    <w:rPr>
                      <w:rFonts w:hint="eastAsia"/>
                      <w:lang w:eastAsia="zh-CN"/>
                    </w:rPr>
                    <w:t>；</w:t>
                  </w:r>
                  <w:r>
                    <w:rPr>
                      <w:rFonts w:hint="eastAsia"/>
                    </w:rPr>
                    <w:t>规范水产养殖尾水排放</w:t>
                  </w:r>
                  <w:r>
                    <w:rPr>
                      <w:rFonts w:hint="eastAsia"/>
                      <w:lang w:eastAsia="zh-CN"/>
                    </w:rPr>
                    <w:t>；</w:t>
                  </w:r>
                  <w:r>
                    <w:rPr>
                      <w:rFonts w:hint="eastAsia"/>
                    </w:rPr>
                    <w:t>从严控制新增入河（湖）排污口的审批，做好重点排污口的监测、溯源管控工作</w:t>
                  </w:r>
                  <w:r>
                    <w:rPr>
                      <w:rFonts w:hint="eastAsia"/>
                      <w:lang w:eastAsia="zh-CN"/>
                    </w:rPr>
                    <w:t>；</w:t>
                  </w:r>
                  <w:r>
                    <w:rPr>
                      <w:rFonts w:hint="eastAsia"/>
                    </w:rPr>
                    <w:t>监督船舶生活垃圾、含油废水、生活污水等废弃物实现应收尽收、依规转运、依法处置，对不符合要求的船舶依法采取限航、禁航等措施：落实河湖控磷减磷措施，严格含磷洗涤用品监管。</w:t>
                  </w:r>
                </w:p>
              </w:tc>
              <w:tc>
                <w:tcPr>
                  <w:tcW w:w="1269" w:type="dxa"/>
                  <w:vAlign w:val="center"/>
                </w:tcPr>
                <w:p w14:paraId="63781774">
                  <w:pPr>
                    <w:pStyle w:val="15"/>
                    <w:rPr>
                      <w:rFonts w:hint="default" w:eastAsia="宋体"/>
                      <w:lang w:val="en-US" w:eastAsia="zh-CN"/>
                    </w:rPr>
                  </w:pPr>
                  <w:r>
                    <w:rPr>
                      <w:rFonts w:hint="eastAsia"/>
                      <w:lang w:val="en-US" w:eastAsia="zh-CN"/>
                    </w:rPr>
                    <w:t>本项目生活污水经化粪池处理后用作农肥。</w:t>
                  </w:r>
                </w:p>
              </w:tc>
              <w:tc>
                <w:tcPr>
                  <w:tcW w:w="646" w:type="dxa"/>
                  <w:vAlign w:val="center"/>
                </w:tcPr>
                <w:p w14:paraId="150EBFA4">
                  <w:pPr>
                    <w:pStyle w:val="15"/>
                    <w:rPr>
                      <w:rFonts w:hint="eastAsia"/>
                    </w:rPr>
                  </w:pPr>
                  <w:r>
                    <w:rPr>
                      <w:rFonts w:hint="eastAsia"/>
                    </w:rPr>
                    <w:t>符合</w:t>
                  </w:r>
                </w:p>
              </w:tc>
            </w:tr>
            <w:tr w14:paraId="5B4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021CEADB">
                  <w:pPr>
                    <w:pStyle w:val="15"/>
                  </w:pPr>
                </w:p>
              </w:tc>
              <w:tc>
                <w:tcPr>
                  <w:tcW w:w="3627" w:type="dxa"/>
                  <w:vAlign w:val="center"/>
                </w:tcPr>
                <w:p w14:paraId="3BA7E5D3">
                  <w:pPr>
                    <w:pStyle w:val="15"/>
                    <w:rPr>
                      <w:rFonts w:hint="eastAsia"/>
                    </w:rPr>
                  </w:pPr>
                  <w:r>
                    <w:rPr>
                      <w:rFonts w:hint="eastAsia"/>
                    </w:rPr>
                    <w:t>固体废物：加快推进农村生活垃圾源头分类减量，减少垃圾出村量：推进以种养结合为重点的畜禽养殖废弃物资源利用，推动畜禽规模养殖场粪污处理设施装备提档升级。</w:t>
                  </w:r>
                </w:p>
              </w:tc>
              <w:tc>
                <w:tcPr>
                  <w:tcW w:w="1269" w:type="dxa"/>
                  <w:vAlign w:val="center"/>
                </w:tcPr>
                <w:p w14:paraId="29DF1112">
                  <w:pPr>
                    <w:pStyle w:val="15"/>
                    <w:rPr>
                      <w:rFonts w:hint="default" w:eastAsia="宋体"/>
                      <w:lang w:val="en-US" w:eastAsia="zh-CN"/>
                    </w:rPr>
                  </w:pPr>
                  <w:r>
                    <w:rPr>
                      <w:rFonts w:hint="eastAsia"/>
                      <w:lang w:val="en-US" w:eastAsia="zh-CN"/>
                    </w:rPr>
                    <w:t>生活垃圾交由环卫部门处理。</w:t>
                  </w:r>
                </w:p>
              </w:tc>
              <w:tc>
                <w:tcPr>
                  <w:tcW w:w="646" w:type="dxa"/>
                  <w:vAlign w:val="center"/>
                </w:tcPr>
                <w:p w14:paraId="044B4FF1">
                  <w:pPr>
                    <w:pStyle w:val="15"/>
                    <w:rPr>
                      <w:rFonts w:hint="eastAsia"/>
                    </w:rPr>
                  </w:pPr>
                  <w:r>
                    <w:rPr>
                      <w:rFonts w:hint="eastAsia"/>
                    </w:rPr>
                    <w:t>符合</w:t>
                  </w:r>
                </w:p>
              </w:tc>
            </w:tr>
            <w:tr w14:paraId="75B8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3022CCC3">
                  <w:pPr>
                    <w:pStyle w:val="15"/>
                  </w:pPr>
                </w:p>
              </w:tc>
              <w:tc>
                <w:tcPr>
                  <w:tcW w:w="3627" w:type="dxa"/>
                  <w:vAlign w:val="center"/>
                </w:tcPr>
                <w:p w14:paraId="0AECF35C">
                  <w:pPr>
                    <w:pStyle w:val="15"/>
                    <w:rPr>
                      <w:rFonts w:hint="eastAsia"/>
                    </w:rPr>
                  </w:pPr>
                  <w:r>
                    <w:rPr>
                      <w:rFonts w:hint="eastAsia"/>
                    </w:rPr>
                    <w:t>农业面源：逐步推行有机肥代替化肥，推行绿肥种植、秸秆还田、粪污还田等措施，推进化肥农药减量增效。</w:t>
                  </w:r>
                </w:p>
              </w:tc>
              <w:tc>
                <w:tcPr>
                  <w:tcW w:w="1269" w:type="dxa"/>
                  <w:vAlign w:val="center"/>
                </w:tcPr>
                <w:p w14:paraId="11269837">
                  <w:pPr>
                    <w:pStyle w:val="15"/>
                    <w:rPr>
                      <w:rFonts w:hint="default" w:eastAsia="宋体"/>
                      <w:lang w:val="en-US" w:eastAsia="zh-CN"/>
                    </w:rPr>
                  </w:pPr>
                  <w:r>
                    <w:rPr>
                      <w:rFonts w:hint="eastAsia"/>
                      <w:lang w:val="en-US" w:eastAsia="zh-CN"/>
                    </w:rPr>
                    <w:t>本项目不属于农业。</w:t>
                  </w:r>
                </w:p>
              </w:tc>
              <w:tc>
                <w:tcPr>
                  <w:tcW w:w="646" w:type="dxa"/>
                  <w:vAlign w:val="center"/>
                </w:tcPr>
                <w:p w14:paraId="2F977A73">
                  <w:pPr>
                    <w:pStyle w:val="15"/>
                    <w:rPr>
                      <w:rFonts w:hint="eastAsia"/>
                    </w:rPr>
                  </w:pPr>
                  <w:r>
                    <w:rPr>
                      <w:rFonts w:hint="eastAsia"/>
                    </w:rPr>
                    <w:t>符合</w:t>
                  </w:r>
                </w:p>
              </w:tc>
            </w:tr>
            <w:tr w14:paraId="0FFC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restart"/>
                  <w:vAlign w:val="center"/>
                </w:tcPr>
                <w:p w14:paraId="5FCC1658">
                  <w:pPr>
                    <w:pStyle w:val="15"/>
                  </w:pPr>
                  <w:r>
                    <w:t>环境风险防控</w:t>
                  </w:r>
                </w:p>
              </w:tc>
              <w:tc>
                <w:tcPr>
                  <w:tcW w:w="3627" w:type="dxa"/>
                  <w:vAlign w:val="center"/>
                </w:tcPr>
                <w:p w14:paraId="4F4575BA">
                  <w:pPr>
                    <w:pStyle w:val="15"/>
                  </w:pPr>
                  <w:r>
                    <w:rPr>
                      <w:rFonts w:hint="eastAsia"/>
                    </w:rPr>
                    <w:t>积极应对重污染天气，对纳入应急减排项目清单的工业企业要制定”一厂一策”实施方案。</w:t>
                  </w:r>
                </w:p>
              </w:tc>
              <w:tc>
                <w:tcPr>
                  <w:tcW w:w="1269" w:type="dxa"/>
                  <w:vAlign w:val="center"/>
                </w:tcPr>
                <w:p w14:paraId="7EF23AA4">
                  <w:pPr>
                    <w:pStyle w:val="15"/>
                    <w:rPr>
                      <w:rFonts w:hint="default" w:eastAsia="宋体"/>
                      <w:lang w:val="en-US" w:eastAsia="zh-CN"/>
                    </w:rPr>
                  </w:pPr>
                  <w:r>
                    <w:rPr>
                      <w:rFonts w:hint="eastAsia"/>
                      <w:lang w:val="en-US" w:eastAsia="zh-CN"/>
                    </w:rPr>
                    <w:t>企业应积极应对重污染天气。</w:t>
                  </w:r>
                </w:p>
              </w:tc>
              <w:tc>
                <w:tcPr>
                  <w:tcW w:w="646" w:type="dxa"/>
                  <w:vAlign w:val="center"/>
                </w:tcPr>
                <w:p w14:paraId="55E7BC44">
                  <w:pPr>
                    <w:pStyle w:val="15"/>
                  </w:pPr>
                  <w:r>
                    <w:rPr>
                      <w:rFonts w:hint="eastAsia"/>
                    </w:rPr>
                    <w:t>符合</w:t>
                  </w:r>
                </w:p>
              </w:tc>
            </w:tr>
            <w:tr w14:paraId="0461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768CEE6A">
                  <w:pPr>
                    <w:pStyle w:val="15"/>
                  </w:pPr>
                </w:p>
              </w:tc>
              <w:tc>
                <w:tcPr>
                  <w:tcW w:w="3627" w:type="dxa"/>
                  <w:vAlign w:val="center"/>
                </w:tcPr>
                <w:p w14:paraId="1ACC0DA7">
                  <w:pPr>
                    <w:pStyle w:val="15"/>
                    <w:rPr>
                      <w:rFonts w:hint="eastAsia"/>
                    </w:rPr>
                  </w:pPr>
                  <w:r>
                    <w:rPr>
                      <w:rFonts w:hint="eastAsia"/>
                    </w:rPr>
                    <w:t>有效管控建设用地土壤污染风险。以用途变更为”一住两公”的地块为重点，依法开展土壤污染状况调查和风险评估。</w:t>
                  </w:r>
                </w:p>
              </w:tc>
              <w:tc>
                <w:tcPr>
                  <w:tcW w:w="1269" w:type="dxa"/>
                  <w:vAlign w:val="center"/>
                </w:tcPr>
                <w:p w14:paraId="2BEE6AD0">
                  <w:pPr>
                    <w:pStyle w:val="15"/>
                    <w:rPr>
                      <w:rFonts w:hint="default" w:eastAsia="宋体"/>
                      <w:lang w:val="en-US" w:eastAsia="zh-CN"/>
                    </w:rPr>
                  </w:pPr>
                  <w:r>
                    <w:rPr>
                      <w:rFonts w:hint="eastAsia"/>
                      <w:lang w:val="en-US" w:eastAsia="zh-CN"/>
                    </w:rPr>
                    <w:t>本项目为所在地用地性质为工业用地。</w:t>
                  </w:r>
                </w:p>
              </w:tc>
              <w:tc>
                <w:tcPr>
                  <w:tcW w:w="646" w:type="dxa"/>
                  <w:vAlign w:val="center"/>
                </w:tcPr>
                <w:p w14:paraId="3E234B17">
                  <w:pPr>
                    <w:pStyle w:val="15"/>
                    <w:rPr>
                      <w:rFonts w:hint="eastAsia"/>
                    </w:rPr>
                  </w:pPr>
                  <w:r>
                    <w:rPr>
                      <w:rFonts w:hint="eastAsia"/>
                    </w:rPr>
                    <w:t>符合</w:t>
                  </w:r>
                </w:p>
              </w:tc>
            </w:tr>
            <w:tr w14:paraId="5C80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09524D6D">
                  <w:pPr>
                    <w:pStyle w:val="15"/>
                  </w:pPr>
                </w:p>
              </w:tc>
              <w:tc>
                <w:tcPr>
                  <w:tcW w:w="3627" w:type="dxa"/>
                  <w:vAlign w:val="center"/>
                </w:tcPr>
                <w:p w14:paraId="301D5872">
                  <w:pPr>
                    <w:pStyle w:val="15"/>
                    <w:rPr>
                      <w:rFonts w:hint="eastAsia"/>
                    </w:rPr>
                  </w:pPr>
                  <w:r>
                    <w:rPr>
                      <w:rFonts w:hint="eastAsia"/>
                    </w:rPr>
                    <w:t>推进农用地土壤污染防治和安全利用。严格涉镉等重金属行业大气、水污染物排放管控，全面排查整治涉镉等重金属关停企业及矿区历史遗留固体废物。</w:t>
                  </w:r>
                </w:p>
              </w:tc>
              <w:tc>
                <w:tcPr>
                  <w:tcW w:w="1269" w:type="dxa"/>
                  <w:vAlign w:val="center"/>
                </w:tcPr>
                <w:p w14:paraId="24A5176E">
                  <w:pPr>
                    <w:pStyle w:val="15"/>
                    <w:rPr>
                      <w:rFonts w:hint="eastAsia" w:eastAsia="宋体"/>
                      <w:lang w:val="en-US" w:eastAsia="zh-CN"/>
                    </w:rPr>
                  </w:pPr>
                  <w:r>
                    <w:rPr>
                      <w:rFonts w:hint="eastAsia"/>
                      <w:lang w:val="en-US" w:eastAsia="zh-CN"/>
                    </w:rPr>
                    <w:t>本项目不属于</w:t>
                  </w:r>
                  <w:r>
                    <w:rPr>
                      <w:rFonts w:hint="eastAsia"/>
                    </w:rPr>
                    <w:t>涉镉等重金属行业</w:t>
                  </w:r>
                  <w:r>
                    <w:rPr>
                      <w:rFonts w:hint="eastAsia"/>
                      <w:lang w:val="en-US" w:eastAsia="zh-CN"/>
                    </w:rPr>
                    <w:t>。</w:t>
                  </w:r>
                </w:p>
              </w:tc>
              <w:tc>
                <w:tcPr>
                  <w:tcW w:w="646" w:type="dxa"/>
                  <w:vAlign w:val="center"/>
                </w:tcPr>
                <w:p w14:paraId="0B021219">
                  <w:pPr>
                    <w:pStyle w:val="15"/>
                    <w:rPr>
                      <w:rFonts w:hint="eastAsia"/>
                    </w:rPr>
                  </w:pPr>
                  <w:r>
                    <w:rPr>
                      <w:rFonts w:hint="eastAsia"/>
                    </w:rPr>
                    <w:t>符合</w:t>
                  </w:r>
                </w:p>
              </w:tc>
            </w:tr>
            <w:tr w14:paraId="5373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7B15546A">
                  <w:pPr>
                    <w:pStyle w:val="15"/>
                  </w:pPr>
                </w:p>
              </w:tc>
              <w:tc>
                <w:tcPr>
                  <w:tcW w:w="3627" w:type="dxa"/>
                  <w:vAlign w:val="center"/>
                </w:tcPr>
                <w:p w14:paraId="4C3C5885">
                  <w:pPr>
                    <w:pStyle w:val="15"/>
                    <w:rPr>
                      <w:rFonts w:hint="eastAsia"/>
                    </w:rPr>
                  </w:pPr>
                  <w:r>
                    <w:rPr>
                      <w:rFonts w:hint="eastAsia"/>
                    </w:rPr>
                    <w:t>加密重点断面水质监测，将断面水质管控作为河湖长制重点工作内容，纳入河湖长工作绩效考核。</w:t>
                  </w:r>
                </w:p>
              </w:tc>
              <w:tc>
                <w:tcPr>
                  <w:tcW w:w="1269" w:type="dxa"/>
                  <w:vAlign w:val="center"/>
                </w:tcPr>
                <w:p w14:paraId="5CED5A65">
                  <w:pPr>
                    <w:pStyle w:val="15"/>
                    <w:rPr>
                      <w:rFonts w:hint="default" w:eastAsia="宋体"/>
                      <w:lang w:val="en-US" w:eastAsia="zh-CN"/>
                    </w:rPr>
                  </w:pPr>
                  <w:r>
                    <w:rPr>
                      <w:rFonts w:hint="eastAsia"/>
                      <w:lang w:val="en-US" w:eastAsia="zh-CN"/>
                    </w:rPr>
                    <w:t>本项目无废水外排。</w:t>
                  </w:r>
                </w:p>
              </w:tc>
              <w:tc>
                <w:tcPr>
                  <w:tcW w:w="646" w:type="dxa"/>
                  <w:vAlign w:val="center"/>
                </w:tcPr>
                <w:p w14:paraId="29D8726A">
                  <w:pPr>
                    <w:pStyle w:val="15"/>
                    <w:rPr>
                      <w:rFonts w:hint="eastAsia"/>
                    </w:rPr>
                  </w:pPr>
                </w:p>
                <w:p w14:paraId="19E9CA94">
                  <w:pPr>
                    <w:pStyle w:val="15"/>
                    <w:rPr>
                      <w:rFonts w:hint="eastAsia"/>
                    </w:rPr>
                  </w:pPr>
                  <w:r>
                    <w:rPr>
                      <w:rFonts w:hint="eastAsia"/>
                    </w:rPr>
                    <w:t>符合</w:t>
                  </w:r>
                </w:p>
                <w:p w14:paraId="044A5F97">
                  <w:pPr>
                    <w:pStyle w:val="15"/>
                    <w:bidi w:val="0"/>
                    <w:rPr>
                      <w:rFonts w:hint="eastAsia"/>
                    </w:rPr>
                  </w:pPr>
                </w:p>
              </w:tc>
            </w:tr>
            <w:tr w14:paraId="38C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Merge w:val="continue"/>
                  <w:vAlign w:val="center"/>
                </w:tcPr>
                <w:p w14:paraId="1B6F40CA">
                  <w:pPr>
                    <w:pStyle w:val="15"/>
                  </w:pPr>
                </w:p>
              </w:tc>
              <w:tc>
                <w:tcPr>
                  <w:tcW w:w="3627" w:type="dxa"/>
                  <w:vAlign w:val="center"/>
                </w:tcPr>
                <w:p w14:paraId="1502B4C6">
                  <w:pPr>
                    <w:pStyle w:val="15"/>
                    <w:rPr>
                      <w:rFonts w:hint="eastAsia"/>
                    </w:rPr>
                  </w:pPr>
                  <w:r>
                    <w:rPr>
                      <w:rFonts w:hint="eastAsia"/>
                    </w:rPr>
                    <w:t>建立涵盖基础信息、实时水量水质数据等在内的河湖库管理信息平台，河湖管护联合执法机制逐步形成，在东洞庭湖、新墙河、铁山水库等重要河湖干流及各乡镇主要支流建立基于水质水量考核的流城生态补偿机制。</w:t>
                  </w:r>
                </w:p>
              </w:tc>
              <w:tc>
                <w:tcPr>
                  <w:tcW w:w="1269" w:type="dxa"/>
                  <w:vAlign w:val="center"/>
                </w:tcPr>
                <w:p w14:paraId="3BD9E7DF">
                  <w:pPr>
                    <w:pStyle w:val="15"/>
                  </w:pPr>
                  <w:r>
                    <w:rPr>
                      <w:rFonts w:hint="eastAsia"/>
                      <w:lang w:val="en-US" w:eastAsia="zh-CN"/>
                    </w:rPr>
                    <w:t>本项目无废水外排。</w:t>
                  </w:r>
                </w:p>
              </w:tc>
              <w:tc>
                <w:tcPr>
                  <w:tcW w:w="646" w:type="dxa"/>
                  <w:vAlign w:val="center"/>
                </w:tcPr>
                <w:p w14:paraId="2B00F5FB">
                  <w:pPr>
                    <w:pStyle w:val="15"/>
                    <w:rPr>
                      <w:rFonts w:hint="eastAsia"/>
                    </w:rPr>
                  </w:pPr>
                  <w:r>
                    <w:rPr>
                      <w:rFonts w:hint="eastAsia"/>
                    </w:rPr>
                    <w:t>符合</w:t>
                  </w:r>
                </w:p>
              </w:tc>
            </w:tr>
          </w:tbl>
          <w:p w14:paraId="2A922A74">
            <w:pPr>
              <w:pStyle w:val="16"/>
              <w:ind w:firstLine="480"/>
              <w:rPr>
                <w:rFonts w:hint="eastAsia" w:eastAsia="宋体"/>
                <w:lang w:val="en-US" w:eastAsia="zh-CN"/>
              </w:rPr>
            </w:pPr>
            <w:r>
              <w:t>综上所述，本项目</w:t>
            </w:r>
            <w:r>
              <w:rPr>
                <w:rFonts w:hint="eastAsia"/>
                <w:lang w:val="en-US" w:eastAsia="zh-CN"/>
              </w:rPr>
              <w:t>与</w:t>
            </w:r>
            <w:r>
              <w:rPr>
                <w:rFonts w:hint="eastAsia"/>
                <w:lang w:eastAsia="zh-CN"/>
              </w:rPr>
              <w:t>岳阳县筻口镇</w:t>
            </w:r>
            <w:r>
              <w:rPr>
                <w:rFonts w:hint="eastAsia"/>
              </w:rPr>
              <w:t>生态环境准入清单</w:t>
            </w:r>
            <w:r>
              <w:rPr>
                <w:rFonts w:hint="eastAsia"/>
                <w:lang w:val="en-US" w:eastAsia="zh-CN"/>
              </w:rPr>
              <w:t>相符。</w:t>
            </w:r>
          </w:p>
          <w:p w14:paraId="5974F459">
            <w:pPr>
              <w:ind w:firstLine="482"/>
              <w:rPr>
                <w:b/>
                <w:bCs/>
              </w:rPr>
            </w:pPr>
            <w:r>
              <w:rPr>
                <w:rFonts w:hint="eastAsia"/>
                <w:b/>
                <w:bCs/>
                <w:lang w:val="en-US" w:eastAsia="zh-CN"/>
              </w:rPr>
              <w:t>3</w:t>
            </w:r>
            <w:r>
              <w:rPr>
                <w:rFonts w:hint="eastAsia"/>
                <w:b/>
                <w:bCs/>
              </w:rPr>
              <w:t>、与《湖南省长江经济带发展负面清单实施细则（试行，2022版）》相符性分析</w:t>
            </w:r>
          </w:p>
          <w:p w14:paraId="47000D1B">
            <w:pPr>
              <w:pStyle w:val="16"/>
              <w:ind w:firstLine="480"/>
            </w:pPr>
            <w:r>
              <w:rPr>
                <w:rFonts w:hint="eastAsia"/>
              </w:rPr>
              <w:t>本项目与《湖南省长江经济带发展负面清单实施细则》（试行，2022年版）相关要求的符合性分析见下表。</w:t>
            </w:r>
          </w:p>
          <w:p w14:paraId="19D2A07B">
            <w:pPr>
              <w:pStyle w:val="17"/>
            </w:pPr>
            <w:r>
              <w:t>表1-</w:t>
            </w:r>
            <w:r>
              <w:rPr>
                <w:rFonts w:hint="eastAsia"/>
                <w:lang w:val="en-US" w:eastAsia="zh-CN"/>
              </w:rPr>
              <w:t>2</w:t>
            </w:r>
            <w:r>
              <w:t xml:space="preserve">  与《湖南省长江经济带发展负面清单实施细则》（试行，2022年版）符合性分析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051"/>
              <w:gridCol w:w="1090"/>
              <w:gridCol w:w="720"/>
            </w:tblGrid>
            <w:tr w14:paraId="2998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AC6070D">
                  <w:pPr>
                    <w:pStyle w:val="15"/>
                  </w:pPr>
                  <w:r>
                    <w:rPr>
                      <w:rFonts w:hint="eastAsia"/>
                    </w:rPr>
                    <w:t>序号</w:t>
                  </w:r>
                </w:p>
              </w:tc>
              <w:tc>
                <w:tcPr>
                  <w:tcW w:w="4051" w:type="dxa"/>
                  <w:vAlign w:val="center"/>
                </w:tcPr>
                <w:p w14:paraId="6612E757">
                  <w:pPr>
                    <w:pStyle w:val="15"/>
                  </w:pPr>
                  <w:r>
                    <w:rPr>
                      <w:rFonts w:hint="eastAsia"/>
                    </w:rPr>
                    <w:t>要求内容</w:t>
                  </w:r>
                </w:p>
              </w:tc>
              <w:tc>
                <w:tcPr>
                  <w:tcW w:w="1090" w:type="dxa"/>
                  <w:vAlign w:val="center"/>
                </w:tcPr>
                <w:p w14:paraId="0A95A313">
                  <w:pPr>
                    <w:pStyle w:val="15"/>
                  </w:pPr>
                  <w:r>
                    <w:rPr>
                      <w:rFonts w:hint="eastAsia"/>
                    </w:rPr>
                    <w:t>项目情况</w:t>
                  </w:r>
                </w:p>
              </w:tc>
              <w:tc>
                <w:tcPr>
                  <w:tcW w:w="720" w:type="dxa"/>
                  <w:vAlign w:val="center"/>
                </w:tcPr>
                <w:p w14:paraId="5C8B9B5F">
                  <w:pPr>
                    <w:pStyle w:val="15"/>
                  </w:pPr>
                  <w:r>
                    <w:rPr>
                      <w:rFonts w:hint="eastAsia"/>
                    </w:rPr>
                    <w:t>符合性</w:t>
                  </w:r>
                </w:p>
              </w:tc>
            </w:tr>
            <w:tr w14:paraId="1E4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948FD20">
                  <w:pPr>
                    <w:pStyle w:val="15"/>
                  </w:pPr>
                  <w:r>
                    <w:rPr>
                      <w:rFonts w:hint="eastAsia"/>
                    </w:rPr>
                    <w:t>1</w:t>
                  </w:r>
                </w:p>
              </w:tc>
              <w:tc>
                <w:tcPr>
                  <w:tcW w:w="4051" w:type="dxa"/>
                  <w:vAlign w:val="center"/>
                </w:tcPr>
                <w:p w14:paraId="68005A5C">
                  <w:pPr>
                    <w:pStyle w:val="15"/>
                  </w:pPr>
                  <w: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090" w:type="dxa"/>
                  <w:vAlign w:val="center"/>
                </w:tcPr>
                <w:p w14:paraId="708A3D8D">
                  <w:pPr>
                    <w:pStyle w:val="15"/>
                  </w:pPr>
                  <w:r>
                    <w:t>本项目</w:t>
                  </w:r>
                  <w:r>
                    <w:rPr>
                      <w:rFonts w:hint="eastAsia"/>
                    </w:rPr>
                    <w:t>为玻璃纤维及制品制造</w:t>
                  </w:r>
                  <w:r>
                    <w:rPr>
                      <w:rFonts w:hint="eastAsia"/>
                      <w:lang w:val="en-US" w:eastAsia="zh-CN"/>
                    </w:rPr>
                    <w:t>项目</w:t>
                  </w:r>
                  <w:r>
                    <w:rPr>
                      <w:rFonts w:hint="eastAsia"/>
                    </w:rPr>
                    <w:t>，</w:t>
                  </w:r>
                  <w:r>
                    <w:t>不属于码头项目</w:t>
                  </w:r>
                  <w:r>
                    <w:rPr>
                      <w:rFonts w:hint="eastAsia"/>
                    </w:rPr>
                    <w:t>。</w:t>
                  </w:r>
                </w:p>
              </w:tc>
              <w:tc>
                <w:tcPr>
                  <w:tcW w:w="720" w:type="dxa"/>
                  <w:vAlign w:val="center"/>
                </w:tcPr>
                <w:p w14:paraId="25C0B9A4">
                  <w:pPr>
                    <w:pStyle w:val="15"/>
                  </w:pPr>
                  <w:r>
                    <w:rPr>
                      <w:rFonts w:hint="eastAsia"/>
                    </w:rPr>
                    <w:t>符合</w:t>
                  </w:r>
                </w:p>
              </w:tc>
            </w:tr>
            <w:tr w14:paraId="5750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503CF">
                  <w:pPr>
                    <w:pStyle w:val="15"/>
                  </w:pPr>
                  <w:r>
                    <w:rPr>
                      <w:rFonts w:hint="eastAsia"/>
                    </w:rPr>
                    <w:t>2</w:t>
                  </w:r>
                </w:p>
              </w:tc>
              <w:tc>
                <w:tcPr>
                  <w:tcW w:w="4051" w:type="dxa"/>
                  <w:vAlign w:val="center"/>
                </w:tcPr>
                <w:p w14:paraId="4C534916">
                  <w:pPr>
                    <w:pStyle w:val="15"/>
                  </w:pPr>
                  <w: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090" w:type="dxa"/>
                  <w:vAlign w:val="center"/>
                </w:tcPr>
                <w:p w14:paraId="51FE46F4">
                  <w:pPr>
                    <w:pStyle w:val="15"/>
                  </w:pPr>
                  <w:r>
                    <w:t>本项目位于</w:t>
                  </w:r>
                  <w:r>
                    <w:rPr>
                      <w:rFonts w:hint="eastAsia"/>
                      <w:lang w:eastAsia="zh-CN"/>
                    </w:rPr>
                    <w:t>岳阳县筻口镇</w:t>
                  </w:r>
                  <w:r>
                    <w:t>，不在自然保护区核心区、缓冲区的岸线和河段范围内</w:t>
                  </w:r>
                  <w:r>
                    <w:rPr>
                      <w:rFonts w:hint="eastAsia"/>
                    </w:rPr>
                    <w:t>。</w:t>
                  </w:r>
                </w:p>
              </w:tc>
              <w:tc>
                <w:tcPr>
                  <w:tcW w:w="720" w:type="dxa"/>
                  <w:vAlign w:val="center"/>
                </w:tcPr>
                <w:p w14:paraId="1EC8C117">
                  <w:pPr>
                    <w:pStyle w:val="15"/>
                  </w:pPr>
                  <w:r>
                    <w:rPr>
                      <w:rFonts w:hint="eastAsia"/>
                    </w:rPr>
                    <w:t>符合</w:t>
                  </w:r>
                </w:p>
              </w:tc>
            </w:tr>
            <w:tr w14:paraId="3982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5205647">
                  <w:pPr>
                    <w:pStyle w:val="15"/>
                  </w:pPr>
                  <w:r>
                    <w:rPr>
                      <w:rFonts w:hint="eastAsia"/>
                    </w:rPr>
                    <w:t>3</w:t>
                  </w:r>
                </w:p>
              </w:tc>
              <w:tc>
                <w:tcPr>
                  <w:tcW w:w="4051" w:type="dxa"/>
                  <w:vAlign w:val="center"/>
                </w:tcPr>
                <w:p w14:paraId="1A160FBE">
                  <w:pPr>
                    <w:pStyle w:val="15"/>
                  </w:pPr>
                  <w: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90" w:type="dxa"/>
                  <w:vAlign w:val="center"/>
                </w:tcPr>
                <w:p w14:paraId="21AA4E63">
                  <w:pPr>
                    <w:pStyle w:val="15"/>
                  </w:pPr>
                  <w:r>
                    <w:t>本项目不涉及机场、铁路、公路、水利、航运、围堰等公益性基础设施。</w:t>
                  </w:r>
                </w:p>
              </w:tc>
              <w:tc>
                <w:tcPr>
                  <w:tcW w:w="720" w:type="dxa"/>
                  <w:vAlign w:val="center"/>
                </w:tcPr>
                <w:p w14:paraId="3EAAF37A">
                  <w:pPr>
                    <w:pStyle w:val="15"/>
                  </w:pPr>
                  <w:r>
                    <w:rPr>
                      <w:rFonts w:hint="eastAsia"/>
                    </w:rPr>
                    <w:t>符合</w:t>
                  </w:r>
                </w:p>
              </w:tc>
            </w:tr>
            <w:tr w14:paraId="4DF8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09AFE8A7">
                  <w:pPr>
                    <w:pStyle w:val="15"/>
                  </w:pPr>
                  <w:r>
                    <w:rPr>
                      <w:rFonts w:hint="eastAsia"/>
                    </w:rPr>
                    <w:t>4</w:t>
                  </w:r>
                </w:p>
              </w:tc>
              <w:tc>
                <w:tcPr>
                  <w:tcW w:w="4051" w:type="dxa"/>
                  <w:vAlign w:val="center"/>
                </w:tcPr>
                <w:p w14:paraId="31AB8AEF">
                  <w:pPr>
                    <w:pStyle w:val="15"/>
                  </w:pPr>
                  <w: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090" w:type="dxa"/>
                  <w:vAlign w:val="center"/>
                </w:tcPr>
                <w:p w14:paraId="3DF46802">
                  <w:pPr>
                    <w:pStyle w:val="15"/>
                  </w:pPr>
                  <w:r>
                    <w:t>本项目位于</w:t>
                  </w:r>
                  <w:r>
                    <w:rPr>
                      <w:rFonts w:hint="eastAsia"/>
                      <w:lang w:eastAsia="zh-CN"/>
                    </w:rPr>
                    <w:t>岳阳县筻口镇</w:t>
                  </w:r>
                  <w:r>
                    <w:t>，不涉及风景名胜区。</w:t>
                  </w:r>
                </w:p>
              </w:tc>
              <w:tc>
                <w:tcPr>
                  <w:tcW w:w="720" w:type="dxa"/>
                  <w:vAlign w:val="center"/>
                </w:tcPr>
                <w:p w14:paraId="7E9C6AAA">
                  <w:pPr>
                    <w:pStyle w:val="15"/>
                  </w:pPr>
                  <w:r>
                    <w:rPr>
                      <w:rFonts w:hint="eastAsia"/>
                    </w:rPr>
                    <w:t>符合</w:t>
                  </w:r>
                </w:p>
              </w:tc>
            </w:tr>
            <w:tr w14:paraId="12C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1294A39">
                  <w:pPr>
                    <w:pStyle w:val="15"/>
                  </w:pPr>
                  <w:r>
                    <w:rPr>
                      <w:rFonts w:hint="eastAsia"/>
                    </w:rPr>
                    <w:t>5</w:t>
                  </w:r>
                </w:p>
              </w:tc>
              <w:tc>
                <w:tcPr>
                  <w:tcW w:w="4051" w:type="dxa"/>
                  <w:vAlign w:val="center"/>
                </w:tcPr>
                <w:p w14:paraId="06039BDF">
                  <w:pPr>
                    <w:pStyle w:val="15"/>
                  </w:pPr>
                  <w: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090" w:type="dxa"/>
                  <w:vAlign w:val="center"/>
                </w:tcPr>
                <w:p w14:paraId="6D3098AB">
                  <w:pPr>
                    <w:pStyle w:val="15"/>
                  </w:pPr>
                  <w:r>
                    <w:t>本项目位于</w:t>
                  </w:r>
                  <w:r>
                    <w:rPr>
                      <w:rFonts w:hint="eastAsia"/>
                      <w:lang w:eastAsia="zh-CN"/>
                    </w:rPr>
                    <w:t>岳阳县筻口镇</w:t>
                  </w:r>
                  <w:r>
                    <w:t>，不在饮用水保护区内。</w:t>
                  </w:r>
                </w:p>
              </w:tc>
              <w:tc>
                <w:tcPr>
                  <w:tcW w:w="720" w:type="dxa"/>
                  <w:vAlign w:val="center"/>
                </w:tcPr>
                <w:p w14:paraId="29F6E1E3">
                  <w:pPr>
                    <w:pStyle w:val="15"/>
                  </w:pPr>
                  <w:r>
                    <w:rPr>
                      <w:rFonts w:hint="eastAsia"/>
                    </w:rPr>
                    <w:t>符合</w:t>
                  </w:r>
                </w:p>
              </w:tc>
            </w:tr>
            <w:tr w14:paraId="022A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07171E87">
                  <w:pPr>
                    <w:pStyle w:val="15"/>
                  </w:pPr>
                  <w:r>
                    <w:rPr>
                      <w:rFonts w:hint="eastAsia"/>
                    </w:rPr>
                    <w:t>6</w:t>
                  </w:r>
                </w:p>
              </w:tc>
              <w:tc>
                <w:tcPr>
                  <w:tcW w:w="4051" w:type="dxa"/>
                  <w:vAlign w:val="center"/>
                </w:tcPr>
                <w:p w14:paraId="7C8B7CCE">
                  <w:pPr>
                    <w:pStyle w:val="15"/>
                  </w:pPr>
                  <w:r>
                    <w:t>饮用水水源二级保护区内禁止新建、改建、扩建向水体排放污染物的投资建设项目。原有排污口依法拆除或关闭。禁止设立装卸垃圾、粪便、油类和有毒物品的码头。</w:t>
                  </w:r>
                </w:p>
              </w:tc>
              <w:tc>
                <w:tcPr>
                  <w:tcW w:w="1090" w:type="dxa"/>
                  <w:vAlign w:val="center"/>
                </w:tcPr>
                <w:p w14:paraId="7E1E3D9A">
                  <w:pPr>
                    <w:pStyle w:val="15"/>
                  </w:pPr>
                  <w:r>
                    <w:t>本项目不在饮用水保护区内。</w:t>
                  </w:r>
                </w:p>
              </w:tc>
              <w:tc>
                <w:tcPr>
                  <w:tcW w:w="720" w:type="dxa"/>
                  <w:vAlign w:val="center"/>
                </w:tcPr>
                <w:p w14:paraId="53BF7386">
                  <w:pPr>
                    <w:pStyle w:val="15"/>
                  </w:pPr>
                  <w:r>
                    <w:rPr>
                      <w:rFonts w:hint="eastAsia"/>
                    </w:rPr>
                    <w:t>符合</w:t>
                  </w:r>
                </w:p>
              </w:tc>
            </w:tr>
            <w:tr w14:paraId="0EED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7C71373">
                  <w:pPr>
                    <w:pStyle w:val="15"/>
                  </w:pPr>
                  <w:r>
                    <w:rPr>
                      <w:rFonts w:hint="eastAsia"/>
                    </w:rPr>
                    <w:t>7</w:t>
                  </w:r>
                </w:p>
              </w:tc>
              <w:tc>
                <w:tcPr>
                  <w:tcW w:w="4051" w:type="dxa"/>
                  <w:vAlign w:val="center"/>
                </w:tcPr>
                <w:p w14:paraId="3A51FBD0">
                  <w:pPr>
                    <w:pStyle w:val="15"/>
                  </w:pPr>
                  <w:r>
                    <w:t>禁止在水产种质资源保护区的岸线和河段范围内新建排污口、实施非法围垦河道和围湖造田造地等投资建设项目。</w:t>
                  </w:r>
                </w:p>
              </w:tc>
              <w:tc>
                <w:tcPr>
                  <w:tcW w:w="1090" w:type="dxa"/>
                  <w:vAlign w:val="center"/>
                </w:tcPr>
                <w:p w14:paraId="29CD4E21">
                  <w:pPr>
                    <w:pStyle w:val="15"/>
                  </w:pPr>
                  <w:r>
                    <w:t>本项目位于</w:t>
                  </w:r>
                  <w:r>
                    <w:rPr>
                      <w:rFonts w:hint="eastAsia"/>
                      <w:lang w:eastAsia="zh-CN"/>
                    </w:rPr>
                    <w:t>岳阳县筻口镇</w:t>
                  </w:r>
                  <w:r>
                    <w:t>，不在水产种质资源保护区。</w:t>
                  </w:r>
                </w:p>
              </w:tc>
              <w:tc>
                <w:tcPr>
                  <w:tcW w:w="720" w:type="dxa"/>
                  <w:vAlign w:val="center"/>
                </w:tcPr>
                <w:p w14:paraId="31C5BBFA">
                  <w:pPr>
                    <w:pStyle w:val="15"/>
                  </w:pPr>
                  <w:r>
                    <w:rPr>
                      <w:rFonts w:hint="eastAsia"/>
                    </w:rPr>
                    <w:t>符合</w:t>
                  </w:r>
                </w:p>
              </w:tc>
            </w:tr>
            <w:tr w14:paraId="224B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79A2D11">
                  <w:pPr>
                    <w:pStyle w:val="15"/>
                  </w:pPr>
                  <w:r>
                    <w:rPr>
                      <w:rFonts w:hint="eastAsia"/>
                    </w:rPr>
                    <w:t>8</w:t>
                  </w:r>
                </w:p>
              </w:tc>
              <w:tc>
                <w:tcPr>
                  <w:tcW w:w="4051" w:type="dxa"/>
                  <w:vAlign w:val="center"/>
                </w:tcPr>
                <w:p w14:paraId="65DA740B">
                  <w:pPr>
                    <w:pStyle w:val="15"/>
                  </w:pPr>
                  <w: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rPr>
                    <w:t>（</w:t>
                  </w:r>
                  <w:r>
                    <w:t>八）其他破坏湿地及其生态功能的活动。</w:t>
                  </w:r>
                </w:p>
              </w:tc>
              <w:tc>
                <w:tcPr>
                  <w:tcW w:w="1090" w:type="dxa"/>
                  <w:vAlign w:val="center"/>
                </w:tcPr>
                <w:p w14:paraId="6382426F">
                  <w:pPr>
                    <w:pStyle w:val="15"/>
                  </w:pPr>
                  <w:r>
                    <w:t>本项目位于</w:t>
                  </w:r>
                  <w:r>
                    <w:rPr>
                      <w:rFonts w:hint="eastAsia"/>
                      <w:lang w:eastAsia="zh-CN"/>
                    </w:rPr>
                    <w:t>岳阳县筻口镇</w:t>
                  </w:r>
                  <w:r>
                    <w:t>，不在国家湿地公园范围内。</w:t>
                  </w:r>
                </w:p>
              </w:tc>
              <w:tc>
                <w:tcPr>
                  <w:tcW w:w="720" w:type="dxa"/>
                  <w:vAlign w:val="center"/>
                </w:tcPr>
                <w:p w14:paraId="7D322879">
                  <w:pPr>
                    <w:pStyle w:val="15"/>
                  </w:pPr>
                  <w:r>
                    <w:rPr>
                      <w:rFonts w:hint="eastAsia"/>
                    </w:rPr>
                    <w:t>符合</w:t>
                  </w:r>
                </w:p>
              </w:tc>
            </w:tr>
            <w:tr w14:paraId="4D67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4B9222B">
                  <w:pPr>
                    <w:pStyle w:val="15"/>
                  </w:pPr>
                  <w:r>
                    <w:rPr>
                      <w:rFonts w:hint="eastAsia"/>
                    </w:rPr>
                    <w:t>9</w:t>
                  </w:r>
                </w:p>
              </w:tc>
              <w:tc>
                <w:tcPr>
                  <w:tcW w:w="4051" w:type="dxa"/>
                  <w:vAlign w:val="center"/>
                </w:tcPr>
                <w:p w14:paraId="2D02FBE3">
                  <w:pPr>
                    <w:pStyle w:val="15"/>
                  </w:pPr>
                  <w: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090" w:type="dxa"/>
                  <w:vAlign w:val="center"/>
                </w:tcPr>
                <w:p w14:paraId="53CD5DD7">
                  <w:pPr>
                    <w:pStyle w:val="15"/>
                  </w:pPr>
                  <w:r>
                    <w:t>本项目位于</w:t>
                  </w:r>
                  <w:r>
                    <w:rPr>
                      <w:rFonts w:hint="eastAsia"/>
                      <w:lang w:eastAsia="zh-CN"/>
                    </w:rPr>
                    <w:t>岳阳县筻口镇</w:t>
                  </w:r>
                  <w:r>
                    <w:t>，不在长江岸线保护区内。</w:t>
                  </w:r>
                </w:p>
              </w:tc>
              <w:tc>
                <w:tcPr>
                  <w:tcW w:w="720" w:type="dxa"/>
                  <w:vAlign w:val="center"/>
                </w:tcPr>
                <w:p w14:paraId="1FF6C69F">
                  <w:pPr>
                    <w:pStyle w:val="15"/>
                  </w:pPr>
                  <w:r>
                    <w:rPr>
                      <w:rFonts w:hint="eastAsia"/>
                    </w:rPr>
                    <w:t>符合</w:t>
                  </w:r>
                </w:p>
              </w:tc>
            </w:tr>
            <w:tr w14:paraId="0946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BD9D487">
                  <w:pPr>
                    <w:pStyle w:val="15"/>
                  </w:pPr>
                  <w:r>
                    <w:rPr>
                      <w:rFonts w:hint="eastAsia"/>
                    </w:rPr>
                    <w:t>10</w:t>
                  </w:r>
                </w:p>
              </w:tc>
              <w:tc>
                <w:tcPr>
                  <w:tcW w:w="4051" w:type="dxa"/>
                  <w:vAlign w:val="center"/>
                </w:tcPr>
                <w:p w14:paraId="18D5FFFD">
                  <w:pPr>
                    <w:pStyle w:val="15"/>
                  </w:pPr>
                  <w:r>
                    <w:t>禁止在《全国重要江河湖泊水功能区划》划定的河段保护区、保留区内投资建设不利于水资源及自然生态保护的项目。</w:t>
                  </w:r>
                </w:p>
              </w:tc>
              <w:tc>
                <w:tcPr>
                  <w:tcW w:w="1090" w:type="dxa"/>
                  <w:vAlign w:val="center"/>
                </w:tcPr>
                <w:p w14:paraId="5EC0086A">
                  <w:pPr>
                    <w:pStyle w:val="15"/>
                  </w:pPr>
                  <w:r>
                    <w:t>本项目不在全国重要江河湖泊水功能区划划定的河段保护区、保留区内。</w:t>
                  </w:r>
                </w:p>
              </w:tc>
              <w:tc>
                <w:tcPr>
                  <w:tcW w:w="720" w:type="dxa"/>
                  <w:vAlign w:val="center"/>
                </w:tcPr>
                <w:p w14:paraId="1AB813DF">
                  <w:pPr>
                    <w:pStyle w:val="15"/>
                  </w:pPr>
                  <w:r>
                    <w:rPr>
                      <w:rFonts w:hint="eastAsia"/>
                    </w:rPr>
                    <w:t>符合</w:t>
                  </w:r>
                </w:p>
              </w:tc>
            </w:tr>
            <w:tr w14:paraId="338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01078AF">
                  <w:pPr>
                    <w:pStyle w:val="15"/>
                  </w:pPr>
                  <w:r>
                    <w:rPr>
                      <w:rFonts w:hint="eastAsia"/>
                    </w:rPr>
                    <w:t>11</w:t>
                  </w:r>
                </w:p>
              </w:tc>
              <w:tc>
                <w:tcPr>
                  <w:tcW w:w="4051" w:type="dxa"/>
                  <w:vAlign w:val="center"/>
                </w:tcPr>
                <w:p w14:paraId="0445DBEA">
                  <w:pPr>
                    <w:pStyle w:val="15"/>
                  </w:pPr>
                  <w:r>
                    <w:t>禁止未经许可在长江干支流及湖泊新设、改设或扩大排污口。</w:t>
                  </w:r>
                </w:p>
              </w:tc>
              <w:tc>
                <w:tcPr>
                  <w:tcW w:w="1090" w:type="dxa"/>
                  <w:vAlign w:val="center"/>
                </w:tcPr>
                <w:p w14:paraId="04804176">
                  <w:pPr>
                    <w:pStyle w:val="15"/>
                  </w:pPr>
                  <w:r>
                    <w:t>项目不新设、改设或扩大排污口。</w:t>
                  </w:r>
                </w:p>
              </w:tc>
              <w:tc>
                <w:tcPr>
                  <w:tcW w:w="720" w:type="dxa"/>
                  <w:vAlign w:val="center"/>
                </w:tcPr>
                <w:p w14:paraId="22E60CF5">
                  <w:pPr>
                    <w:pStyle w:val="15"/>
                  </w:pPr>
                  <w:r>
                    <w:rPr>
                      <w:rFonts w:hint="eastAsia"/>
                    </w:rPr>
                    <w:t>符合</w:t>
                  </w:r>
                </w:p>
              </w:tc>
            </w:tr>
            <w:tr w14:paraId="3890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A2E5263">
                  <w:pPr>
                    <w:pStyle w:val="15"/>
                  </w:pPr>
                  <w:r>
                    <w:rPr>
                      <w:rFonts w:hint="eastAsia"/>
                    </w:rPr>
                    <w:t>12</w:t>
                  </w:r>
                </w:p>
              </w:tc>
              <w:tc>
                <w:tcPr>
                  <w:tcW w:w="4051" w:type="dxa"/>
                  <w:vAlign w:val="center"/>
                </w:tcPr>
                <w:p w14:paraId="66EF7F57">
                  <w:pPr>
                    <w:pStyle w:val="15"/>
                  </w:pPr>
                  <w: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090" w:type="dxa"/>
                  <w:vAlign w:val="center"/>
                </w:tcPr>
                <w:p w14:paraId="63B28511">
                  <w:pPr>
                    <w:pStyle w:val="15"/>
                  </w:pPr>
                  <w:r>
                    <w:t>项目不涉及生产性捕捞</w:t>
                  </w:r>
                  <w:r>
                    <w:rPr>
                      <w:rFonts w:hint="eastAsia"/>
                    </w:rPr>
                    <w:t>。</w:t>
                  </w:r>
                </w:p>
              </w:tc>
              <w:tc>
                <w:tcPr>
                  <w:tcW w:w="720" w:type="dxa"/>
                  <w:vAlign w:val="center"/>
                </w:tcPr>
                <w:p w14:paraId="44E33D5F">
                  <w:pPr>
                    <w:pStyle w:val="15"/>
                  </w:pPr>
                  <w:r>
                    <w:rPr>
                      <w:rFonts w:hint="eastAsia"/>
                    </w:rPr>
                    <w:t>符合</w:t>
                  </w:r>
                </w:p>
              </w:tc>
            </w:tr>
            <w:tr w14:paraId="1E1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038611F">
                  <w:pPr>
                    <w:pStyle w:val="15"/>
                  </w:pPr>
                  <w:r>
                    <w:rPr>
                      <w:rFonts w:hint="eastAsia"/>
                    </w:rPr>
                    <w:t>13</w:t>
                  </w:r>
                </w:p>
              </w:tc>
              <w:tc>
                <w:tcPr>
                  <w:tcW w:w="4051" w:type="dxa"/>
                  <w:vAlign w:val="center"/>
                </w:tcPr>
                <w:p w14:paraId="6E5B8734">
                  <w:pPr>
                    <w:pStyle w:val="15"/>
                  </w:pPr>
                  <w: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90" w:type="dxa"/>
                  <w:vAlign w:val="center"/>
                </w:tcPr>
                <w:p w14:paraId="7C0830EB">
                  <w:pPr>
                    <w:pStyle w:val="15"/>
                  </w:pPr>
                  <w:r>
                    <w:t>本项目距离洞庭湖</w:t>
                  </w:r>
                  <w:r>
                    <w:rPr>
                      <w:rFonts w:hint="eastAsia"/>
                      <w:lang w:val="en-US" w:eastAsia="zh-CN"/>
                    </w:rPr>
                    <w:t>34</w:t>
                  </w:r>
                  <w:r>
                    <w:t>公里。</w:t>
                  </w:r>
                </w:p>
              </w:tc>
              <w:tc>
                <w:tcPr>
                  <w:tcW w:w="720" w:type="dxa"/>
                  <w:vAlign w:val="center"/>
                </w:tcPr>
                <w:p w14:paraId="17D4FCF4">
                  <w:pPr>
                    <w:pStyle w:val="15"/>
                  </w:pPr>
                  <w:r>
                    <w:rPr>
                      <w:rFonts w:hint="eastAsia"/>
                    </w:rPr>
                    <w:t>符合</w:t>
                  </w:r>
                </w:p>
              </w:tc>
            </w:tr>
            <w:tr w14:paraId="7125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C168F72">
                  <w:pPr>
                    <w:pStyle w:val="15"/>
                  </w:pPr>
                  <w:r>
                    <w:rPr>
                      <w:rFonts w:hint="eastAsia"/>
                    </w:rPr>
                    <w:t>14</w:t>
                  </w:r>
                </w:p>
              </w:tc>
              <w:tc>
                <w:tcPr>
                  <w:tcW w:w="4051" w:type="dxa"/>
                  <w:vAlign w:val="center"/>
                </w:tcPr>
                <w:p w14:paraId="3D3E78AA">
                  <w:pPr>
                    <w:pStyle w:val="15"/>
                  </w:pPr>
                  <w:r>
                    <w:t>禁止在合规园区外新建、扩建钢铁、石化、化工、焦化、建材、有色、制浆造纸等高污染项目。高污染项目严格按照生态环境部《环境保护综合名录（2021年版）》有关要求执行。</w:t>
                  </w:r>
                </w:p>
              </w:tc>
              <w:tc>
                <w:tcPr>
                  <w:tcW w:w="1090" w:type="dxa"/>
                  <w:vAlign w:val="center"/>
                </w:tcPr>
                <w:p w14:paraId="5773001A">
                  <w:pPr>
                    <w:pStyle w:val="15"/>
                  </w:pPr>
                  <w:r>
                    <w:t>本项目不属于高污染项目</w:t>
                  </w:r>
                  <w:r>
                    <w:rPr>
                      <w:rFonts w:hint="eastAsia"/>
                    </w:rPr>
                    <w:t>。</w:t>
                  </w:r>
                </w:p>
              </w:tc>
              <w:tc>
                <w:tcPr>
                  <w:tcW w:w="720" w:type="dxa"/>
                  <w:vAlign w:val="center"/>
                </w:tcPr>
                <w:p w14:paraId="5CB9B49E">
                  <w:pPr>
                    <w:pStyle w:val="15"/>
                  </w:pPr>
                  <w:r>
                    <w:rPr>
                      <w:rFonts w:hint="eastAsia"/>
                    </w:rPr>
                    <w:t>符合</w:t>
                  </w:r>
                </w:p>
              </w:tc>
            </w:tr>
            <w:tr w14:paraId="6753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30019C">
                  <w:pPr>
                    <w:pStyle w:val="15"/>
                  </w:pPr>
                  <w:r>
                    <w:rPr>
                      <w:rFonts w:hint="eastAsia"/>
                    </w:rPr>
                    <w:t>15</w:t>
                  </w:r>
                </w:p>
              </w:tc>
              <w:tc>
                <w:tcPr>
                  <w:tcW w:w="4051" w:type="dxa"/>
                  <w:vAlign w:val="center"/>
                </w:tcPr>
                <w:p w14:paraId="74AE0648">
                  <w:pPr>
                    <w:pStyle w:val="15"/>
                  </w:pPr>
                  <w:r>
                    <w:t>禁止新建、扩建不符合国家石化、现代煤化工等产业布局规划的项目。未通过认定的化工园区，不得新建、改扩建化工项目（安全、环保、节能和智能化改造项目除外）。</w:t>
                  </w:r>
                </w:p>
              </w:tc>
              <w:tc>
                <w:tcPr>
                  <w:tcW w:w="1090" w:type="dxa"/>
                  <w:vAlign w:val="center"/>
                </w:tcPr>
                <w:p w14:paraId="3F068A2D">
                  <w:pPr>
                    <w:pStyle w:val="15"/>
                  </w:pPr>
                  <w:r>
                    <w:t>本项目不涉及石化、现代煤化工。</w:t>
                  </w:r>
                </w:p>
              </w:tc>
              <w:tc>
                <w:tcPr>
                  <w:tcW w:w="720" w:type="dxa"/>
                  <w:vAlign w:val="center"/>
                </w:tcPr>
                <w:p w14:paraId="25603879">
                  <w:pPr>
                    <w:pStyle w:val="15"/>
                  </w:pPr>
                  <w:r>
                    <w:rPr>
                      <w:rFonts w:hint="eastAsia"/>
                    </w:rPr>
                    <w:t>符合</w:t>
                  </w:r>
                </w:p>
              </w:tc>
            </w:tr>
            <w:tr w14:paraId="5A54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FFC7226">
                  <w:pPr>
                    <w:pStyle w:val="15"/>
                  </w:pPr>
                  <w:r>
                    <w:rPr>
                      <w:rFonts w:hint="eastAsia"/>
                    </w:rPr>
                    <w:t>16</w:t>
                  </w:r>
                </w:p>
              </w:tc>
              <w:tc>
                <w:tcPr>
                  <w:tcW w:w="4051" w:type="dxa"/>
                  <w:vAlign w:val="center"/>
                </w:tcPr>
                <w:p w14:paraId="23367D08">
                  <w:pPr>
                    <w:pStyle w:val="15"/>
                  </w:pPr>
                  <w:r>
                    <w:t>禁止新建、扩建法律法规和相关政策明令禁止的落后产能项目</w:t>
                  </w:r>
                  <w:r>
                    <w:rPr>
                      <w:rFonts w:hint="eastAsia"/>
                    </w:rPr>
                    <w:t>；</w:t>
                  </w:r>
                  <w: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090" w:type="dxa"/>
                  <w:vAlign w:val="center"/>
                </w:tcPr>
                <w:p w14:paraId="65B4CF56">
                  <w:pPr>
                    <w:pStyle w:val="15"/>
                  </w:pPr>
                  <w:r>
                    <w:rPr>
                      <w:rFonts w:hint="eastAsia"/>
                    </w:rPr>
                    <w:t>本</w:t>
                  </w:r>
                  <w:r>
                    <w:t>项目建设符合国家相关政策，不</w:t>
                  </w:r>
                </w:p>
                <w:p w14:paraId="5A9A0511">
                  <w:pPr>
                    <w:pStyle w:val="15"/>
                  </w:pPr>
                  <w:r>
                    <w:t>属于产能过剩行业，不属于高耗能高排放项目。</w:t>
                  </w:r>
                </w:p>
              </w:tc>
              <w:tc>
                <w:tcPr>
                  <w:tcW w:w="720" w:type="dxa"/>
                  <w:vAlign w:val="center"/>
                </w:tcPr>
                <w:p w14:paraId="09CCA0C7">
                  <w:pPr>
                    <w:pStyle w:val="15"/>
                  </w:pPr>
                  <w:r>
                    <w:rPr>
                      <w:rFonts w:hint="eastAsia"/>
                    </w:rPr>
                    <w:t>符合</w:t>
                  </w:r>
                </w:p>
              </w:tc>
            </w:tr>
          </w:tbl>
          <w:p w14:paraId="5567DED0">
            <w:pPr>
              <w:pStyle w:val="16"/>
              <w:ind w:firstLine="480"/>
            </w:pPr>
            <w:r>
              <w:t>由上表可知，本项目符合《湖南省长江经济带发展负面清单实施细则》（试行，2022年版）。</w:t>
            </w:r>
          </w:p>
          <w:p w14:paraId="7F02DB4C">
            <w:pPr>
              <w:ind w:firstLine="482"/>
              <w:rPr>
                <w:rFonts w:hint="eastAsia"/>
                <w:b/>
                <w:bCs/>
                <w:lang w:val="en-US" w:eastAsia="zh-CN"/>
              </w:rPr>
            </w:pPr>
            <w:r>
              <w:rPr>
                <w:rFonts w:hint="eastAsia"/>
                <w:b/>
                <w:bCs/>
                <w:lang w:val="en-US" w:eastAsia="zh-CN"/>
              </w:rPr>
              <w:t>4、与《湖南省空气质量持续改善行动计划实施方案》（湘政办发〔2024〕33号）符合性分析</w:t>
            </w:r>
          </w:p>
          <w:p w14:paraId="1625DA44">
            <w:pPr>
              <w:bidi w:val="0"/>
              <w:rPr>
                <w:rFonts w:hint="eastAsia"/>
                <w:lang w:val="en-US" w:eastAsia="zh-CN"/>
              </w:rPr>
            </w:pPr>
            <w:r>
              <w:rPr>
                <w:rFonts w:hint="eastAsia"/>
                <w:lang w:val="en-US" w:eastAsia="zh-CN"/>
              </w:rPr>
              <w:t>根据湘政办发〔2024〕33 号文中提出，“二、推进产业结构优化升级-（四）推动低VOC</w:t>
            </w:r>
            <w:r>
              <w:rPr>
                <w:rFonts w:hint="eastAsia"/>
                <w:vertAlign w:val="subscript"/>
                <w:lang w:val="en-US" w:eastAsia="zh-CN"/>
              </w:rPr>
              <w:t>S</w:t>
            </w:r>
            <w:r>
              <w:rPr>
                <w:rFonts w:hint="eastAsia"/>
                <w:lang w:val="en-US" w:eastAsia="zh-CN"/>
              </w:rPr>
              <w:t>含量原辅材料和产品源头替代。严格执行VOC</w:t>
            </w:r>
            <w:r>
              <w:rPr>
                <w:rFonts w:hint="eastAsia"/>
                <w:vertAlign w:val="subscript"/>
                <w:lang w:val="en-US" w:eastAsia="zh-CN"/>
              </w:rPr>
              <w:t>S</w:t>
            </w:r>
            <w:r>
              <w:rPr>
                <w:rFonts w:hint="eastAsia"/>
                <w:lang w:val="en-US" w:eastAsia="zh-CN"/>
              </w:rPr>
              <w:t>含量限值标准，严格控制生产和使用高 VOC</w:t>
            </w:r>
            <w:r>
              <w:rPr>
                <w:rFonts w:hint="eastAsia"/>
                <w:vertAlign w:val="subscript"/>
                <w:lang w:val="en-US" w:eastAsia="zh-CN"/>
              </w:rPr>
              <w:t>S</w:t>
            </w:r>
            <w:r>
              <w:rPr>
                <w:rFonts w:hint="eastAsia"/>
                <w:lang w:val="en-US" w:eastAsia="zh-CN"/>
              </w:rPr>
              <w:t>含量原辅材料建设项目。以工业涂装、包装印刷、家具制造和电子行业等为重点，指导企业制定低(无)VOC</w:t>
            </w:r>
            <w:r>
              <w:rPr>
                <w:rFonts w:hint="eastAsia"/>
                <w:vertAlign w:val="subscript"/>
                <w:lang w:val="en-US" w:eastAsia="zh-CN"/>
              </w:rPr>
              <w:t>S</w:t>
            </w:r>
            <w:r>
              <w:rPr>
                <w:rFonts w:hint="eastAsia"/>
                <w:lang w:val="en-US" w:eastAsia="zh-CN"/>
              </w:rPr>
              <w:t>含量原辅材料替代计划，大力推动“应替尽替”。</w:t>
            </w:r>
          </w:p>
          <w:p w14:paraId="3454F4ED">
            <w:pPr>
              <w:bidi w:val="0"/>
              <w:ind w:left="0" w:leftChars="0" w:firstLine="480" w:firstLineChars="200"/>
              <w:rPr>
                <w:rFonts w:hint="eastAsia"/>
                <w:lang w:val="en-US" w:eastAsia="zh-CN"/>
              </w:rPr>
            </w:pPr>
            <w:r>
              <w:rPr>
                <w:rFonts w:hint="eastAsia"/>
                <w:lang w:val="en-US" w:eastAsia="zh-CN"/>
              </w:rPr>
              <w:t>本项目为玻璃纤维及制品制造，粉碎挤出及烘干过程中会产生少量有机废气，采取密闭，集气罩收集后水喷淋+活性炭装置吸附处理后通过15m排气筒外排，符合《湖南省空气质量持续改善行动计划实施方案》相关要求。</w:t>
            </w:r>
          </w:p>
          <w:p w14:paraId="548E2211">
            <w:pPr>
              <w:ind w:firstLine="482"/>
              <w:rPr>
                <w:b/>
                <w:bCs/>
              </w:rPr>
            </w:pPr>
            <w:r>
              <w:rPr>
                <w:rFonts w:hint="eastAsia"/>
                <w:b/>
                <w:bCs/>
              </w:rPr>
              <w:t>5、选址合理性分析</w:t>
            </w:r>
          </w:p>
          <w:p w14:paraId="0F608D23">
            <w:pPr>
              <w:pStyle w:val="16"/>
              <w:ind w:firstLine="480"/>
            </w:pPr>
            <w:r>
              <w:t>本项目位于岳阳市</w:t>
            </w:r>
            <w:r>
              <w:rPr>
                <w:rFonts w:hint="eastAsia"/>
                <w:lang w:eastAsia="zh-CN"/>
              </w:rPr>
              <w:t>岳阳县筻口镇熊市村新塘片二组</w:t>
            </w:r>
            <w:r>
              <w:rPr>
                <w:rFonts w:hint="eastAsia"/>
              </w:rPr>
              <w:t>，</w:t>
            </w:r>
            <w:r>
              <w:rPr>
                <w:rFonts w:hint="eastAsia"/>
                <w:lang w:val="en-US" w:eastAsia="zh-CN"/>
              </w:rPr>
              <w:t>原为岳阳县</w:t>
            </w:r>
            <w:r>
              <w:rPr>
                <w:rFonts w:hint="eastAsia"/>
                <w:lang w:eastAsia="zh-CN"/>
              </w:rPr>
              <w:t>筻口镇</w:t>
            </w:r>
            <w:r>
              <w:rPr>
                <w:rFonts w:hint="eastAsia"/>
                <w:lang w:val="en-US" w:eastAsia="zh-CN"/>
              </w:rPr>
              <w:t>原华福炮厂用地</w:t>
            </w:r>
            <w:r>
              <w:t>，已签署了租用协议</w:t>
            </w:r>
            <w:r>
              <w:rPr>
                <w:rFonts w:hint="eastAsia"/>
              </w:rPr>
              <w:t>（详见附件4）</w:t>
            </w:r>
            <w:r>
              <w:rPr>
                <w:rFonts w:hint="eastAsia"/>
                <w:lang w:eastAsia="zh-CN"/>
              </w:rPr>
              <w:t>，</w:t>
            </w:r>
            <w:r>
              <w:rPr>
                <w:rFonts w:hint="eastAsia"/>
                <w:lang w:val="en-US" w:eastAsia="zh-CN"/>
              </w:rPr>
              <w:t>根据《岳阳县自然资源局关于年产6000吨玻璃纤维颗粒建设项目的选址意见》（详见附件5），项目所在地为工业用地，</w:t>
            </w:r>
            <w:r>
              <w:t>项目地交通运输条件便利</w:t>
            </w:r>
            <w:r>
              <w:rPr>
                <w:rFonts w:hint="eastAsia"/>
              </w:rPr>
              <w:t>，</w:t>
            </w:r>
            <w:r>
              <w:t>无制约本项目发展的因素。项目所排污染物均为一般污染物，对环境影响较小，采取措施后能达标排放。</w:t>
            </w:r>
            <w:r>
              <w:rPr>
                <w:rFonts w:hint="eastAsia"/>
              </w:rPr>
              <w:t>综上可知，</w:t>
            </w:r>
            <w:r>
              <w:t>选址</w:t>
            </w:r>
            <w:r>
              <w:rPr>
                <w:rFonts w:hint="eastAsia"/>
                <w:lang w:val="en-US" w:eastAsia="zh-CN"/>
              </w:rPr>
              <w:t>基本</w:t>
            </w:r>
            <w:r>
              <w:t>可行。</w:t>
            </w:r>
          </w:p>
        </w:tc>
      </w:tr>
    </w:tbl>
    <w:p w14:paraId="059FBD0C">
      <w:pPr>
        <w:ind w:firstLine="480"/>
      </w:pPr>
      <w:r>
        <w:rPr>
          <w:rFonts w:hint="eastAsia"/>
        </w:rPr>
        <w:br w:type="page"/>
      </w:r>
    </w:p>
    <w:p w14:paraId="6F426444">
      <w:pPr>
        <w:pStyle w:val="2"/>
      </w:pPr>
      <w:bookmarkStart w:id="9" w:name="_Toc21316"/>
      <w:r>
        <w:t>二、建设项目工程分析</w:t>
      </w:r>
      <w:bookmarkEnd w:id="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6385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33598299">
            <w:pPr>
              <w:ind w:firstLine="0" w:firstLineChars="0"/>
              <w:jc w:val="center"/>
            </w:pPr>
            <w:r>
              <w:rPr>
                <w:rFonts w:hint="eastAsia"/>
              </w:rPr>
              <w:t>建设内容</w:t>
            </w:r>
          </w:p>
        </w:tc>
        <w:tc>
          <w:tcPr>
            <w:tcW w:w="8074" w:type="dxa"/>
          </w:tcPr>
          <w:p w14:paraId="42970467">
            <w:pPr>
              <w:numPr>
                <w:ilvl w:val="0"/>
                <w:numId w:val="1"/>
              </w:numPr>
              <w:ind w:firstLine="482"/>
              <w:rPr>
                <w:b/>
                <w:bCs/>
              </w:rPr>
            </w:pPr>
            <w:r>
              <w:rPr>
                <w:rFonts w:hint="eastAsia"/>
                <w:b/>
                <w:bCs/>
              </w:rPr>
              <w:t>项目由来</w:t>
            </w:r>
          </w:p>
          <w:p w14:paraId="6DA570CA">
            <w:pPr>
              <w:pStyle w:val="16"/>
              <w:ind w:firstLine="480"/>
              <w:rPr>
                <w:rFonts w:hint="eastAsia"/>
                <w:lang w:eastAsia="zh-CN"/>
              </w:rPr>
            </w:pPr>
            <w:r>
              <w:rPr>
                <w:rFonts w:hint="eastAsia"/>
                <w:lang w:eastAsia="zh-CN"/>
              </w:rPr>
              <w:t>岳阳县日辰新材料有限公司</w:t>
            </w:r>
            <w:r>
              <w:rPr>
                <w:rFonts w:hint="eastAsia"/>
              </w:rPr>
              <w:t>投资</w:t>
            </w:r>
            <w:r>
              <w:rPr>
                <w:rFonts w:hint="eastAsia"/>
                <w:lang w:val="en-US" w:eastAsia="zh-CN"/>
              </w:rPr>
              <w:t>5</w:t>
            </w:r>
            <w:r>
              <w:rPr>
                <w:rFonts w:hint="eastAsia"/>
              </w:rPr>
              <w:t>00万元</w:t>
            </w:r>
            <w:r>
              <w:rPr>
                <w:rFonts w:hint="eastAsia"/>
                <w:lang w:val="en-US" w:eastAsia="zh-CN"/>
              </w:rPr>
              <w:t>在</w:t>
            </w:r>
            <w:r>
              <w:rPr>
                <w:rFonts w:hint="eastAsia"/>
                <w:lang w:eastAsia="zh-CN"/>
              </w:rPr>
              <w:t>岳阳县筻口镇熊市村新塘片二组</w:t>
            </w:r>
            <w:r>
              <w:rPr>
                <w:rFonts w:hint="eastAsia"/>
              </w:rPr>
              <w:t>，</w:t>
            </w:r>
            <w:r>
              <w:rPr>
                <w:rFonts w:hint="eastAsia"/>
                <w:lang w:val="en-US" w:eastAsia="zh-CN"/>
              </w:rPr>
              <w:t>新建“</w:t>
            </w:r>
            <w:r>
              <w:rPr>
                <w:rFonts w:hint="eastAsia"/>
                <w:u w:val="none"/>
                <w:lang w:val="en-US" w:eastAsia="zh-CN"/>
              </w:rPr>
              <w:t>年产6000吨玻璃纤维颗粒建设项目</w:t>
            </w:r>
            <w:r>
              <w:rPr>
                <w:rFonts w:hint="eastAsia"/>
                <w:lang w:val="en-US" w:eastAsia="zh-CN"/>
              </w:rPr>
              <w:t>”</w:t>
            </w:r>
            <w:r>
              <w:rPr>
                <w:rFonts w:hint="eastAsia"/>
                <w:u w:val="none"/>
                <w:lang w:val="en-US" w:eastAsia="zh-CN"/>
              </w:rPr>
              <w:t>，</w:t>
            </w:r>
            <w:r>
              <w:rPr>
                <w:rFonts w:hint="eastAsia"/>
                <w:lang w:val="en-US" w:eastAsia="zh-CN"/>
              </w:rPr>
              <w:t>租赁岳阳县</w:t>
            </w:r>
            <w:r>
              <w:rPr>
                <w:rFonts w:hint="eastAsia"/>
                <w:lang w:eastAsia="zh-CN"/>
              </w:rPr>
              <w:t>筻口镇</w:t>
            </w:r>
            <w:r>
              <w:rPr>
                <w:rFonts w:hint="eastAsia"/>
                <w:lang w:val="en-US" w:eastAsia="zh-CN"/>
              </w:rPr>
              <w:t>原华福炮厂已废弃部分厂房</w:t>
            </w:r>
            <w:r>
              <w:rPr>
                <w:rFonts w:hint="eastAsia"/>
              </w:rPr>
              <w:t>，占地面积</w:t>
            </w:r>
            <w:r>
              <w:rPr>
                <w:rFonts w:hint="eastAsia"/>
                <w:lang w:val="en-US" w:eastAsia="zh-CN"/>
              </w:rPr>
              <w:t>1607</w:t>
            </w:r>
            <w:r>
              <w:rPr>
                <w:rFonts w:hint="eastAsia"/>
              </w:rPr>
              <w:t>平方米</w:t>
            </w:r>
            <w:r>
              <w:rPr>
                <w:rFonts w:hint="eastAsia"/>
                <w:lang w:eastAsia="zh-CN"/>
              </w:rPr>
              <w:t>，</w:t>
            </w:r>
            <w:r>
              <w:rPr>
                <w:rFonts w:hint="eastAsia"/>
                <w:lang w:val="en-US" w:eastAsia="zh-CN"/>
              </w:rPr>
              <w:t>已</w:t>
            </w:r>
            <w:r>
              <w:rPr>
                <w:rFonts w:hint="eastAsia"/>
                <w:u w:val="none"/>
                <w:lang w:val="en-US" w:eastAsia="zh-CN"/>
              </w:rPr>
              <w:t>于2025年6月17日已在湖南省投资项目在线审批监管平台申报，项目代码为：“2506-430621-04-05-829904”</w:t>
            </w:r>
            <w:r>
              <w:rPr>
                <w:rFonts w:hint="eastAsia"/>
                <w:highlight w:val="none"/>
                <w:u w:val="none"/>
                <w:lang w:val="en-US" w:eastAsia="zh-CN"/>
              </w:rPr>
              <w:t>（详见附件3）</w:t>
            </w:r>
            <w:r>
              <w:rPr>
                <w:rFonts w:hint="eastAsia"/>
                <w:u w:val="none"/>
                <w:lang w:val="en-US" w:eastAsia="zh-CN"/>
              </w:rPr>
              <w:t>。</w:t>
            </w:r>
          </w:p>
          <w:p w14:paraId="5B09C02E">
            <w:pPr>
              <w:pStyle w:val="16"/>
              <w:ind w:firstLine="480"/>
              <w:rPr>
                <w:rFonts w:hint="eastAsia"/>
              </w:rPr>
            </w:pPr>
            <w:r>
              <w:rPr>
                <w:rFonts w:hint="eastAsia"/>
              </w:rPr>
              <w:t>根据《中华人民共和国环境影响评价法》和《建设项目环境保护管理条例》，该项目需要进行环境影响评价</w:t>
            </w:r>
            <w:r>
              <w:rPr>
                <w:rFonts w:hint="eastAsia"/>
                <w:lang w:eastAsia="zh-CN"/>
              </w:rPr>
              <w:t>。</w:t>
            </w:r>
            <w:r>
              <w:rPr>
                <w:rFonts w:hint="eastAsia"/>
                <w:lang w:val="en-US" w:eastAsia="zh-CN"/>
              </w:rPr>
              <w:t>对照《国民经济行业分类》（2019年修改单），本项目属于</w:t>
            </w:r>
            <w:r>
              <w:rPr>
                <w:rFonts w:hint="eastAsia"/>
                <w:szCs w:val="21"/>
              </w:rPr>
              <w:t>C3061 玻璃纤维及制品制造</w:t>
            </w:r>
            <w:r>
              <w:rPr>
                <w:rFonts w:hint="eastAsia"/>
                <w:lang w:val="en-US" w:eastAsia="zh-CN"/>
              </w:rPr>
              <w:t>；</w:t>
            </w:r>
            <w:r>
              <w:rPr>
                <w:rFonts w:hint="eastAsia"/>
              </w:rPr>
              <w:t>对照《建设项目环境影响评价分类管理名录》（2021版），属于“二十七、非金属矿物制品业-</w:t>
            </w:r>
          </w:p>
          <w:p w14:paraId="7DFDF47E">
            <w:pPr>
              <w:pStyle w:val="16"/>
              <w:ind w:left="0" w:leftChars="0" w:firstLine="0" w:firstLineChars="0"/>
              <w:rPr>
                <w:u w:val="single"/>
              </w:rPr>
            </w:pPr>
            <w:r>
              <w:rPr>
                <w:rFonts w:hint="eastAsia"/>
              </w:rPr>
              <w:t>58、玻璃纤维和玻璃纤维增强塑料制品制造中的‘全部’”，应编制环境影响报告表。</w:t>
            </w:r>
          </w:p>
          <w:p w14:paraId="19BFC97A">
            <w:pPr>
              <w:ind w:firstLine="482"/>
              <w:rPr>
                <w:b/>
                <w:bCs/>
              </w:rPr>
            </w:pPr>
            <w:r>
              <w:rPr>
                <w:rFonts w:hint="eastAsia"/>
                <w:b/>
                <w:bCs/>
              </w:rPr>
              <w:t>2、项目基本情况</w:t>
            </w:r>
          </w:p>
          <w:p w14:paraId="57B71137">
            <w:pPr>
              <w:pStyle w:val="16"/>
              <w:ind w:firstLine="480"/>
            </w:pPr>
            <w:r>
              <w:rPr>
                <w:rFonts w:hint="eastAsia"/>
              </w:rPr>
              <w:t>项目名称：</w:t>
            </w:r>
            <w:r>
              <w:rPr>
                <w:rFonts w:hint="eastAsia"/>
                <w:lang w:eastAsia="zh-CN"/>
              </w:rPr>
              <w:t>年产6000吨玻璃纤维颗粒建设项目</w:t>
            </w:r>
            <w:r>
              <w:rPr>
                <w:rFonts w:hint="eastAsia"/>
              </w:rPr>
              <w:t>；</w:t>
            </w:r>
          </w:p>
          <w:p w14:paraId="162C02F6">
            <w:pPr>
              <w:pStyle w:val="16"/>
              <w:ind w:firstLine="480"/>
            </w:pPr>
            <w:r>
              <w:rPr>
                <w:rFonts w:hint="eastAsia"/>
              </w:rPr>
              <w:t>建设性质：新建；</w:t>
            </w:r>
          </w:p>
          <w:p w14:paraId="745AAE12">
            <w:pPr>
              <w:pStyle w:val="16"/>
              <w:ind w:firstLine="480"/>
            </w:pPr>
            <w:r>
              <w:rPr>
                <w:rFonts w:hint="eastAsia"/>
              </w:rPr>
              <w:t>建设单位：</w:t>
            </w:r>
            <w:r>
              <w:rPr>
                <w:rFonts w:hint="eastAsia"/>
                <w:lang w:eastAsia="zh-CN"/>
              </w:rPr>
              <w:t>岳阳县日辰新材料有限公司</w:t>
            </w:r>
            <w:r>
              <w:rPr>
                <w:rFonts w:hint="eastAsia"/>
              </w:rPr>
              <w:t>；</w:t>
            </w:r>
          </w:p>
          <w:p w14:paraId="068DB865">
            <w:pPr>
              <w:pStyle w:val="16"/>
              <w:ind w:firstLine="480"/>
            </w:pPr>
            <w:r>
              <w:rPr>
                <w:rFonts w:hint="eastAsia"/>
              </w:rPr>
              <w:t>建设地点：</w:t>
            </w:r>
            <w:r>
              <w:rPr>
                <w:rFonts w:hint="eastAsia"/>
                <w:lang w:eastAsia="zh-CN"/>
              </w:rPr>
              <w:t>岳阳县筻口镇熊市村新塘片二组</w:t>
            </w:r>
            <w:r>
              <w:rPr>
                <w:rFonts w:hint="eastAsia"/>
              </w:rPr>
              <w:t>（</w:t>
            </w:r>
            <w:r>
              <w:rPr>
                <w:rFonts w:hint="eastAsia"/>
                <w:highlight w:val="none"/>
              </w:rPr>
              <w:t>地理坐标：东经113°22′29.646″，北纬29°10′23.316″</w:t>
            </w:r>
            <w:r>
              <w:rPr>
                <w:rFonts w:hint="eastAsia"/>
              </w:rPr>
              <w:t>）；</w:t>
            </w:r>
          </w:p>
          <w:p w14:paraId="3F82B637">
            <w:pPr>
              <w:pStyle w:val="16"/>
              <w:ind w:firstLine="480"/>
            </w:pPr>
            <w:r>
              <w:rPr>
                <w:rFonts w:hint="eastAsia"/>
              </w:rPr>
              <w:t>占地面积：占地面积</w:t>
            </w:r>
            <w:r>
              <w:rPr>
                <w:rFonts w:hint="eastAsia"/>
                <w:lang w:val="en-US" w:eastAsia="zh-CN"/>
              </w:rPr>
              <w:t>1607</w:t>
            </w:r>
            <w:r>
              <w:rPr>
                <w:rFonts w:hint="eastAsia"/>
              </w:rPr>
              <w:t>平方米；</w:t>
            </w:r>
          </w:p>
          <w:p w14:paraId="405303A9">
            <w:pPr>
              <w:pStyle w:val="16"/>
              <w:ind w:firstLine="480"/>
            </w:pPr>
            <w:r>
              <w:rPr>
                <w:rFonts w:hint="eastAsia"/>
              </w:rPr>
              <w:t>项目投资：</w:t>
            </w:r>
            <w:r>
              <w:rPr>
                <w:rFonts w:hint="eastAsia"/>
                <w:lang w:val="en-US" w:eastAsia="zh-CN"/>
              </w:rPr>
              <w:t>5</w:t>
            </w:r>
            <w:r>
              <w:rPr>
                <w:rFonts w:hint="eastAsia"/>
              </w:rPr>
              <w:t>00万元，</w:t>
            </w:r>
            <w:r>
              <w:rPr>
                <w:rFonts w:hint="eastAsia"/>
                <w:highlight w:val="none"/>
              </w:rPr>
              <w:t>其中环保投资</w:t>
            </w:r>
            <w:r>
              <w:rPr>
                <w:rFonts w:hint="eastAsia"/>
                <w:highlight w:val="none"/>
                <w:lang w:val="en-US" w:eastAsia="zh-CN"/>
              </w:rPr>
              <w:t>20</w:t>
            </w:r>
            <w:r>
              <w:rPr>
                <w:rFonts w:hint="eastAsia"/>
                <w:highlight w:val="none"/>
              </w:rPr>
              <w:t>万元</w:t>
            </w:r>
            <w:r>
              <w:rPr>
                <w:rFonts w:hint="eastAsia"/>
              </w:rPr>
              <w:t>。</w:t>
            </w:r>
          </w:p>
          <w:p w14:paraId="2C91B291">
            <w:pPr>
              <w:ind w:firstLine="482"/>
              <w:rPr>
                <w:b/>
                <w:bCs/>
              </w:rPr>
            </w:pPr>
            <w:r>
              <w:rPr>
                <w:rFonts w:hint="eastAsia"/>
                <w:b/>
                <w:bCs/>
              </w:rPr>
              <w:t>3、建设内容及规模</w:t>
            </w:r>
          </w:p>
          <w:p w14:paraId="2DDE50B7">
            <w:pPr>
              <w:pStyle w:val="16"/>
              <w:ind w:firstLine="480"/>
            </w:pPr>
            <w:r>
              <w:rPr>
                <w:rFonts w:hint="eastAsia"/>
              </w:rPr>
              <w:t>本项目建设内容包括主体工程、储运工程、公用工程、环保工程，具体建设内容详见下表。</w:t>
            </w:r>
          </w:p>
          <w:p w14:paraId="4961F50A">
            <w:pPr>
              <w:pStyle w:val="17"/>
            </w:pPr>
            <w:r>
              <w:rPr>
                <w:rFonts w:hint="eastAsia"/>
              </w:rPr>
              <w:t xml:space="preserve">表2-1  </w:t>
            </w:r>
            <w:r>
              <w:rPr>
                <w:rFonts w:hint="eastAsia"/>
                <w:lang w:val="en-US" w:eastAsia="zh-CN"/>
              </w:rPr>
              <w:t>项目</w:t>
            </w:r>
            <w:r>
              <w:rPr>
                <w:rFonts w:hint="eastAsia"/>
              </w:rPr>
              <w:t>建设内容</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281"/>
              <w:gridCol w:w="5465"/>
            </w:tblGrid>
            <w:tr w14:paraId="34DC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E00BF55">
                  <w:pPr>
                    <w:pStyle w:val="15"/>
                  </w:pPr>
                  <w:r>
                    <w:rPr>
                      <w:rFonts w:hint="eastAsia"/>
                    </w:rPr>
                    <w:t>工程类别</w:t>
                  </w:r>
                </w:p>
              </w:tc>
              <w:tc>
                <w:tcPr>
                  <w:tcW w:w="817" w:type="pct"/>
                  <w:vAlign w:val="center"/>
                </w:tcPr>
                <w:p w14:paraId="608B9962">
                  <w:pPr>
                    <w:pStyle w:val="15"/>
                  </w:pPr>
                  <w:r>
                    <w:rPr>
                      <w:rFonts w:hint="eastAsia"/>
                    </w:rPr>
                    <w:t>工程内容</w:t>
                  </w:r>
                </w:p>
              </w:tc>
              <w:tc>
                <w:tcPr>
                  <w:tcW w:w="3486" w:type="pct"/>
                  <w:vAlign w:val="center"/>
                </w:tcPr>
                <w:p w14:paraId="7A2F4938">
                  <w:pPr>
                    <w:pStyle w:val="15"/>
                  </w:pPr>
                  <w:r>
                    <w:rPr>
                      <w:rFonts w:hint="eastAsia"/>
                    </w:rPr>
                    <w:t>建设内容</w:t>
                  </w:r>
                </w:p>
              </w:tc>
            </w:tr>
            <w:tr w14:paraId="6196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3171576C">
                  <w:pPr>
                    <w:pStyle w:val="15"/>
                  </w:pPr>
                  <w:r>
                    <w:rPr>
                      <w:rFonts w:hint="eastAsia"/>
                    </w:rPr>
                    <w:t>主体工程</w:t>
                  </w:r>
                </w:p>
              </w:tc>
              <w:tc>
                <w:tcPr>
                  <w:tcW w:w="817" w:type="pct"/>
                  <w:vAlign w:val="center"/>
                </w:tcPr>
                <w:p w14:paraId="0574967F">
                  <w:pPr>
                    <w:pStyle w:val="15"/>
                    <w:rPr>
                      <w:rFonts w:hint="eastAsia" w:eastAsia="宋体"/>
                      <w:lang w:eastAsia="zh-CN"/>
                    </w:rPr>
                  </w:pPr>
                  <w:r>
                    <w:rPr>
                      <w:rFonts w:hint="eastAsia"/>
                    </w:rPr>
                    <w:t>生产</w:t>
                  </w:r>
                  <w:r>
                    <w:rPr>
                      <w:rFonts w:hint="eastAsia"/>
                      <w:lang w:val="en-US" w:eastAsia="zh-CN"/>
                    </w:rPr>
                    <w:t>区</w:t>
                  </w:r>
                </w:p>
              </w:tc>
              <w:tc>
                <w:tcPr>
                  <w:tcW w:w="3486" w:type="pct"/>
                  <w:vAlign w:val="center"/>
                </w:tcPr>
                <w:p w14:paraId="6553FDE6">
                  <w:pPr>
                    <w:pStyle w:val="15"/>
                  </w:pPr>
                  <w:r>
                    <w:rPr>
                      <w:rFonts w:hint="eastAsia"/>
                      <w:highlight w:val="none"/>
                    </w:rPr>
                    <w:t>占地面积</w:t>
                  </w:r>
                  <w:r>
                    <w:rPr>
                      <w:rFonts w:hint="eastAsia"/>
                      <w:highlight w:val="none"/>
                      <w:lang w:val="en-US" w:eastAsia="zh-CN"/>
                    </w:rPr>
                    <w:t>620</w:t>
                  </w:r>
                  <w:r>
                    <w:rPr>
                      <w:rFonts w:hint="eastAsia"/>
                      <w:highlight w:val="none"/>
                    </w:rPr>
                    <w:t>m</w:t>
                  </w:r>
                  <w:r>
                    <w:rPr>
                      <w:rFonts w:hint="eastAsia"/>
                      <w:highlight w:val="none"/>
                      <w:vertAlign w:val="superscript"/>
                    </w:rPr>
                    <w:t>2</w:t>
                  </w:r>
                  <w:r>
                    <w:rPr>
                      <w:rFonts w:hint="eastAsia"/>
                      <w:highlight w:val="none"/>
                    </w:rPr>
                    <w:t>，</w:t>
                  </w:r>
                  <w:r>
                    <w:rPr>
                      <w:rFonts w:hint="eastAsia"/>
                    </w:rPr>
                    <w:t>1层，彩钢结构，全封闭，地面硬化</w:t>
                  </w:r>
                  <w:r>
                    <w:rPr>
                      <w:rFonts w:hint="eastAsia"/>
                      <w:lang w:eastAsia="zh-CN"/>
                    </w:rPr>
                    <w:t>，</w:t>
                  </w:r>
                  <w:r>
                    <w:rPr>
                      <w:rFonts w:hint="eastAsia"/>
                      <w:lang w:val="en-US" w:eastAsia="zh-CN"/>
                    </w:rPr>
                    <w:t>建设条玻璃纤维颗粒生产线</w:t>
                  </w:r>
                  <w:r>
                    <w:rPr>
                      <w:rFonts w:hint="eastAsia"/>
                    </w:rPr>
                    <w:t>。</w:t>
                  </w:r>
                </w:p>
              </w:tc>
            </w:tr>
            <w:tr w14:paraId="350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restart"/>
                  <w:vAlign w:val="center"/>
                </w:tcPr>
                <w:p w14:paraId="30DB248C">
                  <w:pPr>
                    <w:pStyle w:val="15"/>
                  </w:pPr>
                  <w:r>
                    <w:rPr>
                      <w:rFonts w:hint="eastAsia"/>
                    </w:rPr>
                    <w:t>储运工程</w:t>
                  </w:r>
                </w:p>
              </w:tc>
              <w:tc>
                <w:tcPr>
                  <w:tcW w:w="817" w:type="pct"/>
                  <w:shd w:val="clear" w:color="auto" w:fill="auto"/>
                  <w:vAlign w:val="center"/>
                </w:tcPr>
                <w:p w14:paraId="1FDAF080">
                  <w:pPr>
                    <w:pStyle w:val="15"/>
                    <w:ind w:firstLine="0" w:firstLineChars="0"/>
                    <w:rPr>
                      <w:rFonts w:hint="default" w:ascii="Times New Roman" w:hAnsi="Times New Roman" w:eastAsia="宋体" w:cs="Times New Roman"/>
                      <w:snapToGrid w:val="0"/>
                      <w:kern w:val="0"/>
                      <w:sz w:val="21"/>
                      <w:szCs w:val="24"/>
                      <w:lang w:val="en-US" w:eastAsia="zh-CN" w:bidi="ar-SA"/>
                    </w:rPr>
                  </w:pPr>
                  <w:r>
                    <w:rPr>
                      <w:rFonts w:hint="eastAsia"/>
                      <w:lang w:val="en-US" w:eastAsia="zh-CN"/>
                    </w:rPr>
                    <w:t>原料区</w:t>
                  </w:r>
                </w:p>
              </w:tc>
              <w:tc>
                <w:tcPr>
                  <w:tcW w:w="3486" w:type="pct"/>
                  <w:shd w:val="clear" w:color="auto" w:fill="auto"/>
                  <w:vAlign w:val="center"/>
                </w:tcPr>
                <w:p w14:paraId="63CA4A1A">
                  <w:pPr>
                    <w:pStyle w:val="15"/>
                    <w:ind w:firstLine="0" w:firstLineChars="0"/>
                    <w:rPr>
                      <w:rFonts w:hint="default" w:ascii="Times New Roman" w:hAnsi="Times New Roman" w:eastAsia="宋体" w:cs="Times New Roman"/>
                      <w:snapToGrid w:val="0"/>
                      <w:kern w:val="0"/>
                      <w:sz w:val="21"/>
                      <w:szCs w:val="24"/>
                      <w:lang w:val="en-US" w:eastAsia="zh-CN" w:bidi="ar-SA"/>
                    </w:rPr>
                  </w:pPr>
                  <w:r>
                    <w:rPr>
                      <w:rFonts w:hint="eastAsia"/>
                      <w:lang w:val="en-US" w:eastAsia="zh-CN"/>
                    </w:rPr>
                    <w:t>占地</w:t>
                  </w:r>
                  <w:r>
                    <w:rPr>
                      <w:rFonts w:hint="eastAsia"/>
                    </w:rPr>
                    <w:t>面积</w:t>
                  </w:r>
                  <w:r>
                    <w:rPr>
                      <w:rFonts w:hint="eastAsia"/>
                      <w:lang w:val="en-US" w:eastAsia="zh-CN"/>
                    </w:rPr>
                    <w:t>500</w:t>
                  </w:r>
                  <w:r>
                    <w:rPr>
                      <w:rFonts w:hint="eastAsia"/>
                    </w:rPr>
                    <w:t>m</w:t>
                  </w:r>
                  <w:r>
                    <w:rPr>
                      <w:rFonts w:hint="eastAsia"/>
                      <w:vertAlign w:val="superscript"/>
                    </w:rPr>
                    <w:t>2</w:t>
                  </w:r>
                  <w:r>
                    <w:rPr>
                      <w:rFonts w:hint="eastAsia"/>
                    </w:rPr>
                    <w:t>，</w:t>
                  </w:r>
                  <w:r>
                    <w:rPr>
                      <w:rFonts w:hint="eastAsia"/>
                      <w:lang w:val="en-US" w:eastAsia="zh-CN"/>
                    </w:rPr>
                    <w:t>用于玻璃纤维丝储存</w:t>
                  </w:r>
                </w:p>
              </w:tc>
            </w:tr>
            <w:tr w14:paraId="730E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730CD3AF">
                  <w:pPr>
                    <w:pStyle w:val="15"/>
                  </w:pPr>
                </w:p>
              </w:tc>
              <w:tc>
                <w:tcPr>
                  <w:tcW w:w="817" w:type="pct"/>
                  <w:shd w:val="clear" w:color="auto" w:fill="auto"/>
                  <w:vAlign w:val="center"/>
                </w:tcPr>
                <w:p w14:paraId="001C41A0">
                  <w:pPr>
                    <w:pStyle w:val="15"/>
                    <w:ind w:firstLine="0" w:firstLineChars="0"/>
                    <w:rPr>
                      <w:rFonts w:hint="default" w:ascii="Times New Roman" w:hAnsi="Times New Roman" w:eastAsia="宋体" w:cs="Times New Roman"/>
                      <w:snapToGrid w:val="0"/>
                      <w:kern w:val="0"/>
                      <w:sz w:val="21"/>
                      <w:szCs w:val="24"/>
                      <w:lang w:val="en-US" w:eastAsia="zh-CN" w:bidi="ar-SA"/>
                    </w:rPr>
                  </w:pPr>
                  <w:r>
                    <w:rPr>
                      <w:rFonts w:hint="eastAsia"/>
                      <w:lang w:val="en-US" w:eastAsia="zh-CN"/>
                    </w:rPr>
                    <w:t>产品区</w:t>
                  </w:r>
                </w:p>
              </w:tc>
              <w:tc>
                <w:tcPr>
                  <w:tcW w:w="3486" w:type="pct"/>
                  <w:shd w:val="clear" w:color="auto" w:fill="auto"/>
                  <w:vAlign w:val="center"/>
                </w:tcPr>
                <w:p w14:paraId="4F040FAC">
                  <w:pPr>
                    <w:pStyle w:val="15"/>
                    <w:ind w:firstLine="0" w:firstLineChars="0"/>
                    <w:rPr>
                      <w:rFonts w:hint="default" w:ascii="Times New Roman" w:hAnsi="Times New Roman" w:eastAsia="宋体" w:cs="Times New Roman"/>
                      <w:snapToGrid w:val="0"/>
                      <w:kern w:val="0"/>
                      <w:sz w:val="21"/>
                      <w:szCs w:val="24"/>
                      <w:lang w:val="en-US" w:eastAsia="zh-CN" w:bidi="ar-SA"/>
                    </w:rPr>
                  </w:pPr>
                  <w:r>
                    <w:rPr>
                      <w:rFonts w:hint="eastAsia"/>
                      <w:lang w:val="en-US" w:eastAsia="zh-CN"/>
                    </w:rPr>
                    <w:t>占地</w:t>
                  </w:r>
                  <w:r>
                    <w:rPr>
                      <w:rFonts w:hint="eastAsia"/>
                    </w:rPr>
                    <w:t>面积</w:t>
                  </w:r>
                  <w:r>
                    <w:rPr>
                      <w:rFonts w:hint="eastAsia"/>
                      <w:lang w:val="en-US" w:eastAsia="zh-CN"/>
                    </w:rPr>
                    <w:t>120</w:t>
                  </w:r>
                  <w:r>
                    <w:rPr>
                      <w:rFonts w:hint="eastAsia"/>
                    </w:rPr>
                    <w:t>m</w:t>
                  </w:r>
                  <w:r>
                    <w:rPr>
                      <w:rFonts w:hint="eastAsia"/>
                      <w:vertAlign w:val="superscript"/>
                    </w:rPr>
                    <w:t>2</w:t>
                  </w:r>
                  <w:r>
                    <w:rPr>
                      <w:rFonts w:hint="eastAsia"/>
                    </w:rPr>
                    <w:t>，</w:t>
                  </w:r>
                  <w:r>
                    <w:rPr>
                      <w:rFonts w:hint="eastAsia"/>
                      <w:lang w:val="en-US" w:eastAsia="zh-CN"/>
                    </w:rPr>
                    <w:t>用于产品暂存</w:t>
                  </w:r>
                </w:p>
              </w:tc>
            </w:tr>
            <w:tr w14:paraId="1416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restart"/>
                  <w:vAlign w:val="center"/>
                </w:tcPr>
                <w:p w14:paraId="220C80EC">
                  <w:pPr>
                    <w:pStyle w:val="15"/>
                  </w:pPr>
                  <w:r>
                    <w:rPr>
                      <w:rFonts w:hint="eastAsia"/>
                    </w:rPr>
                    <w:t>公用工程</w:t>
                  </w:r>
                </w:p>
              </w:tc>
              <w:tc>
                <w:tcPr>
                  <w:tcW w:w="817" w:type="pct"/>
                  <w:vAlign w:val="center"/>
                </w:tcPr>
                <w:p w14:paraId="12EF4FE3">
                  <w:pPr>
                    <w:pStyle w:val="15"/>
                  </w:pPr>
                  <w:r>
                    <w:rPr>
                      <w:rFonts w:hint="eastAsia"/>
                    </w:rPr>
                    <w:t>供水</w:t>
                  </w:r>
                </w:p>
              </w:tc>
              <w:tc>
                <w:tcPr>
                  <w:tcW w:w="3486" w:type="pct"/>
                  <w:vAlign w:val="center"/>
                </w:tcPr>
                <w:p w14:paraId="21E2E1DC">
                  <w:pPr>
                    <w:pStyle w:val="15"/>
                  </w:pPr>
                  <w:r>
                    <w:rPr>
                      <w:rFonts w:hint="eastAsia"/>
                    </w:rPr>
                    <w:t>由乡镇给水管网供给</w:t>
                  </w:r>
                </w:p>
              </w:tc>
            </w:tr>
            <w:tr w14:paraId="663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31B19805">
                  <w:pPr>
                    <w:pStyle w:val="15"/>
                  </w:pPr>
                </w:p>
              </w:tc>
              <w:tc>
                <w:tcPr>
                  <w:tcW w:w="817" w:type="pct"/>
                  <w:vAlign w:val="center"/>
                </w:tcPr>
                <w:p w14:paraId="23CD6350">
                  <w:pPr>
                    <w:pStyle w:val="15"/>
                  </w:pPr>
                  <w:r>
                    <w:rPr>
                      <w:rFonts w:hint="eastAsia"/>
                    </w:rPr>
                    <w:t>供电</w:t>
                  </w:r>
                </w:p>
              </w:tc>
              <w:tc>
                <w:tcPr>
                  <w:tcW w:w="3486" w:type="pct"/>
                  <w:vAlign w:val="center"/>
                </w:tcPr>
                <w:p w14:paraId="15C7AED5">
                  <w:pPr>
                    <w:pStyle w:val="15"/>
                  </w:pPr>
                  <w:r>
                    <w:rPr>
                      <w:rFonts w:hint="eastAsia"/>
                    </w:rPr>
                    <w:t>由乡镇电网供给</w:t>
                  </w:r>
                </w:p>
              </w:tc>
            </w:tr>
            <w:tr w14:paraId="48E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7B721B9E">
                  <w:pPr>
                    <w:pStyle w:val="15"/>
                  </w:pPr>
                </w:p>
              </w:tc>
              <w:tc>
                <w:tcPr>
                  <w:tcW w:w="817" w:type="pct"/>
                  <w:vAlign w:val="center"/>
                </w:tcPr>
                <w:p w14:paraId="32347E26">
                  <w:pPr>
                    <w:pStyle w:val="15"/>
                  </w:pPr>
                  <w:r>
                    <w:rPr>
                      <w:rFonts w:hint="eastAsia"/>
                    </w:rPr>
                    <w:t>排水</w:t>
                  </w:r>
                </w:p>
              </w:tc>
              <w:tc>
                <w:tcPr>
                  <w:tcW w:w="3486" w:type="pct"/>
                  <w:vAlign w:val="center"/>
                </w:tcPr>
                <w:p w14:paraId="4657E1B9">
                  <w:pPr>
                    <w:pStyle w:val="15"/>
                    <w:rPr>
                      <w:rFonts w:hint="default" w:eastAsia="宋体"/>
                      <w:lang w:val="en-US" w:eastAsia="zh-CN"/>
                    </w:rPr>
                  </w:pPr>
                  <w:r>
                    <w:rPr>
                      <w:rFonts w:hint="eastAsia"/>
                    </w:rPr>
                    <w:t>生活</w:t>
                  </w:r>
                  <w:r>
                    <w:rPr>
                      <w:rFonts w:hint="eastAsia"/>
                      <w:lang w:val="en-US" w:eastAsia="zh-CN"/>
                    </w:rPr>
                    <w:t>污水</w:t>
                  </w:r>
                  <w:r>
                    <w:rPr>
                      <w:rFonts w:hint="eastAsia"/>
                    </w:rPr>
                    <w:t>经化粪池处理后</w:t>
                  </w:r>
                  <w:r>
                    <w:rPr>
                      <w:rFonts w:hint="eastAsia"/>
                      <w:lang w:val="en-US" w:eastAsia="zh-CN"/>
                    </w:rPr>
                    <w:t>用作农肥</w:t>
                  </w:r>
                </w:p>
              </w:tc>
            </w:tr>
            <w:tr w14:paraId="191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restart"/>
                  <w:vAlign w:val="center"/>
                </w:tcPr>
                <w:p w14:paraId="3CE1C73B">
                  <w:pPr>
                    <w:pStyle w:val="15"/>
                  </w:pPr>
                  <w:r>
                    <w:rPr>
                      <w:rFonts w:hint="eastAsia"/>
                    </w:rPr>
                    <w:t>环保工程</w:t>
                  </w:r>
                </w:p>
              </w:tc>
              <w:tc>
                <w:tcPr>
                  <w:tcW w:w="817" w:type="pct"/>
                  <w:vAlign w:val="center"/>
                </w:tcPr>
                <w:p w14:paraId="7624EA0F">
                  <w:pPr>
                    <w:pStyle w:val="15"/>
                    <w:rPr>
                      <w:highlight w:val="none"/>
                    </w:rPr>
                  </w:pPr>
                  <w:r>
                    <w:rPr>
                      <w:rFonts w:hint="eastAsia"/>
                      <w:highlight w:val="none"/>
                    </w:rPr>
                    <w:t>废气</w:t>
                  </w:r>
                </w:p>
              </w:tc>
              <w:tc>
                <w:tcPr>
                  <w:tcW w:w="3486" w:type="pct"/>
                  <w:vAlign w:val="center"/>
                </w:tcPr>
                <w:p w14:paraId="0452A063">
                  <w:pPr>
                    <w:pStyle w:val="15"/>
                    <w:rPr>
                      <w:rFonts w:hint="eastAsia" w:eastAsia="宋体"/>
                      <w:lang w:eastAsia="zh-CN"/>
                    </w:rPr>
                  </w:pPr>
                  <w:r>
                    <w:rPr>
                      <w:rFonts w:hint="eastAsia"/>
                      <w:lang w:val="en-US" w:eastAsia="zh-CN"/>
                    </w:rPr>
                    <w:t>热风炉废气</w:t>
                  </w:r>
                  <w:r>
                    <w:rPr>
                      <w:rFonts w:hint="eastAsia" w:eastAsia="宋体"/>
                      <w:lang w:eastAsia="zh-CN"/>
                    </w:rPr>
                    <w:t>经</w:t>
                  </w:r>
                  <w:r>
                    <w:rPr>
                      <w:rFonts w:hint="eastAsia"/>
                      <w:lang w:eastAsia="zh-CN"/>
                    </w:rPr>
                    <w:t>脉冲布袋除尘</w:t>
                  </w:r>
                  <w:r>
                    <w:rPr>
                      <w:rFonts w:hint="eastAsia" w:eastAsia="宋体"/>
                      <w:lang w:eastAsia="zh-CN"/>
                    </w:rPr>
                    <w:t>处理后</w:t>
                  </w:r>
                  <w:r>
                    <w:rPr>
                      <w:rFonts w:hint="eastAsia"/>
                      <w:lang w:val="en-US" w:eastAsia="zh-CN"/>
                    </w:rPr>
                    <w:t>15</w:t>
                  </w:r>
                  <w:r>
                    <w:rPr>
                      <w:rFonts w:hint="eastAsia" w:eastAsia="宋体"/>
                      <w:lang w:eastAsia="zh-CN"/>
                    </w:rPr>
                    <w:t>m排气筒外排</w:t>
                  </w:r>
                  <w:r>
                    <w:rPr>
                      <w:rFonts w:hint="eastAsia"/>
                      <w:lang w:eastAsia="zh-CN"/>
                    </w:rPr>
                    <w:t>；粉碎挤出废气</w:t>
                  </w:r>
                  <w:r>
                    <w:rPr>
                      <w:rFonts w:hint="eastAsia"/>
                      <w:lang w:val="en-US" w:eastAsia="zh-CN"/>
                    </w:rPr>
                    <w:t>和烘干废气经</w:t>
                  </w:r>
                  <w:r>
                    <w:rPr>
                      <w:rFonts w:hint="eastAsia" w:eastAsia="宋体"/>
                      <w:lang w:eastAsia="zh-CN"/>
                    </w:rPr>
                    <w:t>集气罩收集后水喷淋活性炭+</w:t>
                  </w:r>
                  <w:r>
                    <w:rPr>
                      <w:rFonts w:hint="eastAsia"/>
                      <w:lang w:val="en-US" w:eastAsia="zh-CN"/>
                    </w:rPr>
                    <w:t>15</w:t>
                  </w:r>
                  <w:r>
                    <w:rPr>
                      <w:rFonts w:hint="eastAsia" w:eastAsia="宋体"/>
                      <w:lang w:eastAsia="zh-CN"/>
                    </w:rPr>
                    <w:t>m排气筒外排</w:t>
                  </w:r>
                </w:p>
              </w:tc>
            </w:tr>
            <w:tr w14:paraId="4F02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2F879EFE">
                  <w:pPr>
                    <w:pStyle w:val="15"/>
                  </w:pPr>
                </w:p>
              </w:tc>
              <w:tc>
                <w:tcPr>
                  <w:tcW w:w="817" w:type="pct"/>
                  <w:vAlign w:val="center"/>
                </w:tcPr>
                <w:p w14:paraId="2FDE4D7B">
                  <w:pPr>
                    <w:pStyle w:val="15"/>
                    <w:rPr>
                      <w:highlight w:val="none"/>
                    </w:rPr>
                  </w:pPr>
                  <w:r>
                    <w:rPr>
                      <w:rFonts w:hint="eastAsia"/>
                      <w:highlight w:val="none"/>
                    </w:rPr>
                    <w:t>废水</w:t>
                  </w:r>
                </w:p>
              </w:tc>
              <w:tc>
                <w:tcPr>
                  <w:tcW w:w="3486" w:type="pct"/>
                  <w:vAlign w:val="center"/>
                </w:tcPr>
                <w:p w14:paraId="2D357FDF">
                  <w:pPr>
                    <w:pStyle w:val="15"/>
                  </w:pPr>
                  <w:r>
                    <w:rPr>
                      <w:rFonts w:hint="eastAsia"/>
                      <w:lang w:val="en-US" w:eastAsia="zh-CN"/>
                    </w:rPr>
                    <w:t>生活污水</w:t>
                  </w:r>
                  <w:r>
                    <w:rPr>
                      <w:rFonts w:hint="eastAsia" w:eastAsia="宋体"/>
                      <w:lang w:eastAsia="zh-CN"/>
                    </w:rPr>
                    <w:t>经化粪池处理后用作农肥</w:t>
                  </w:r>
                </w:p>
              </w:tc>
            </w:tr>
            <w:tr w14:paraId="2B71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1A0A468B">
                  <w:pPr>
                    <w:pStyle w:val="15"/>
                  </w:pPr>
                </w:p>
              </w:tc>
              <w:tc>
                <w:tcPr>
                  <w:tcW w:w="817" w:type="pct"/>
                  <w:vAlign w:val="center"/>
                </w:tcPr>
                <w:p w14:paraId="6E04026E">
                  <w:pPr>
                    <w:pStyle w:val="15"/>
                    <w:rPr>
                      <w:highlight w:val="none"/>
                    </w:rPr>
                  </w:pPr>
                  <w:r>
                    <w:rPr>
                      <w:rFonts w:hint="eastAsia"/>
                      <w:highlight w:val="none"/>
                    </w:rPr>
                    <w:t>噪声</w:t>
                  </w:r>
                </w:p>
              </w:tc>
              <w:tc>
                <w:tcPr>
                  <w:tcW w:w="3486" w:type="pct"/>
                  <w:vAlign w:val="center"/>
                </w:tcPr>
                <w:p w14:paraId="77471C5A">
                  <w:pPr>
                    <w:pStyle w:val="15"/>
                  </w:pPr>
                  <w:r>
                    <w:rPr>
                      <w:rFonts w:hint="eastAsia"/>
                    </w:rPr>
                    <w:t>基础减振、厂房隔声，加强管理</w:t>
                  </w:r>
                </w:p>
              </w:tc>
            </w:tr>
            <w:tr w14:paraId="7CAA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Merge w:val="continue"/>
                  <w:vAlign w:val="center"/>
                </w:tcPr>
                <w:p w14:paraId="2EEDD49A">
                  <w:pPr>
                    <w:pStyle w:val="15"/>
                  </w:pPr>
                </w:p>
              </w:tc>
              <w:tc>
                <w:tcPr>
                  <w:tcW w:w="817" w:type="pct"/>
                  <w:vAlign w:val="center"/>
                </w:tcPr>
                <w:p w14:paraId="57650F35">
                  <w:pPr>
                    <w:pStyle w:val="15"/>
                    <w:rPr>
                      <w:highlight w:val="none"/>
                    </w:rPr>
                  </w:pPr>
                  <w:r>
                    <w:rPr>
                      <w:rFonts w:hint="eastAsia"/>
                      <w:highlight w:val="none"/>
                    </w:rPr>
                    <w:t>固废</w:t>
                  </w:r>
                </w:p>
              </w:tc>
              <w:tc>
                <w:tcPr>
                  <w:tcW w:w="3486" w:type="pct"/>
                  <w:vAlign w:val="center"/>
                </w:tcPr>
                <w:p w14:paraId="126365A0">
                  <w:pPr>
                    <w:pStyle w:val="15"/>
                  </w:pPr>
                  <w:r>
                    <w:rPr>
                      <w:rFonts w:hint="eastAsia"/>
                      <w:lang w:val="en-US" w:eastAsia="zh-CN"/>
                    </w:rPr>
                    <w:t>生活垃圾</w:t>
                  </w:r>
                  <w:r>
                    <w:rPr>
                      <w:rFonts w:hint="eastAsia" w:eastAsia="宋体"/>
                      <w:lang w:eastAsia="zh-CN"/>
                    </w:rPr>
                    <w:t>交由环卫部门处理</w:t>
                  </w:r>
                  <w:r>
                    <w:rPr>
                      <w:rFonts w:hint="eastAsia"/>
                      <w:lang w:eastAsia="zh-CN"/>
                    </w:rPr>
                    <w:t>；</w:t>
                  </w:r>
                  <w:r>
                    <w:rPr>
                      <w:rFonts w:hint="eastAsia" w:eastAsia="宋体"/>
                      <w:lang w:eastAsia="zh-CN"/>
                    </w:rPr>
                    <w:t>热风炉灰渣和除尘器收集的粉尘收集后交由周边农户做肥料</w:t>
                  </w:r>
                  <w:r>
                    <w:rPr>
                      <w:rFonts w:hint="eastAsia"/>
                      <w:lang w:eastAsia="zh-CN"/>
                    </w:rPr>
                    <w:t>；</w:t>
                  </w:r>
                  <w:r>
                    <w:rPr>
                      <w:rFonts w:hint="eastAsia" w:eastAsia="宋体"/>
                      <w:lang w:eastAsia="zh-CN"/>
                    </w:rPr>
                    <w:t>废活性炭暂存于危废暂存间，定期交由有资质单位处理</w:t>
                  </w:r>
                </w:p>
              </w:tc>
            </w:tr>
          </w:tbl>
          <w:p w14:paraId="62485FF4">
            <w:pPr>
              <w:ind w:firstLine="482"/>
              <w:rPr>
                <w:b/>
                <w:bCs/>
              </w:rPr>
            </w:pPr>
            <w:r>
              <w:rPr>
                <w:rFonts w:hint="eastAsia"/>
                <w:b/>
                <w:bCs/>
              </w:rPr>
              <w:t>4、产品方案</w:t>
            </w:r>
          </w:p>
          <w:p w14:paraId="7D1BFA1A">
            <w:pPr>
              <w:pStyle w:val="16"/>
              <w:ind w:firstLine="480"/>
            </w:pPr>
            <w:r>
              <w:rPr>
                <w:rFonts w:hint="eastAsia"/>
              </w:rPr>
              <w:t>本项目产品方案详见下表。</w:t>
            </w:r>
          </w:p>
          <w:p w14:paraId="72E68B0A">
            <w:pPr>
              <w:pStyle w:val="17"/>
            </w:pPr>
            <w:r>
              <w:rPr>
                <w:rFonts w:hint="eastAsia"/>
              </w:rPr>
              <w:t>表2-2  产品及产量表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778"/>
              <w:gridCol w:w="2076"/>
              <w:gridCol w:w="1942"/>
            </w:tblGrid>
            <w:tr w14:paraId="704E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1566F202">
                  <w:pPr>
                    <w:pStyle w:val="15"/>
                  </w:pPr>
                  <w:r>
                    <w:rPr>
                      <w:rFonts w:hint="eastAsia"/>
                    </w:rPr>
                    <w:t>序号</w:t>
                  </w:r>
                </w:p>
              </w:tc>
              <w:tc>
                <w:tcPr>
                  <w:tcW w:w="1772" w:type="pct"/>
                  <w:vAlign w:val="center"/>
                </w:tcPr>
                <w:p w14:paraId="5256D290">
                  <w:pPr>
                    <w:pStyle w:val="15"/>
                  </w:pPr>
                  <w:r>
                    <w:rPr>
                      <w:rFonts w:hint="eastAsia"/>
                      <w:lang w:val="en-US" w:eastAsia="zh-CN"/>
                    </w:rPr>
                    <w:t>产品</w:t>
                  </w:r>
                  <w:r>
                    <w:rPr>
                      <w:rFonts w:hint="eastAsia"/>
                    </w:rPr>
                    <w:t>名称</w:t>
                  </w:r>
                </w:p>
              </w:tc>
              <w:tc>
                <w:tcPr>
                  <w:tcW w:w="1324" w:type="pct"/>
                  <w:vAlign w:val="center"/>
                </w:tcPr>
                <w:p w14:paraId="719C3D97">
                  <w:pPr>
                    <w:pStyle w:val="15"/>
                  </w:pPr>
                  <w:r>
                    <w:rPr>
                      <w:rFonts w:hint="eastAsia"/>
                    </w:rPr>
                    <w:t>产量</w:t>
                  </w:r>
                </w:p>
              </w:tc>
              <w:tc>
                <w:tcPr>
                  <w:tcW w:w="1238" w:type="pct"/>
                  <w:vAlign w:val="center"/>
                </w:tcPr>
                <w:p w14:paraId="1302D689">
                  <w:pPr>
                    <w:pStyle w:val="15"/>
                  </w:pPr>
                  <w:r>
                    <w:rPr>
                      <w:rFonts w:hint="eastAsia"/>
                    </w:rPr>
                    <w:t>单位</w:t>
                  </w:r>
                </w:p>
              </w:tc>
            </w:tr>
            <w:tr w14:paraId="26EE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vAlign w:val="center"/>
                </w:tcPr>
                <w:p w14:paraId="2ADB40E1">
                  <w:pPr>
                    <w:pStyle w:val="15"/>
                  </w:pPr>
                  <w:r>
                    <w:rPr>
                      <w:rFonts w:hint="eastAsia"/>
                    </w:rPr>
                    <w:t>1</w:t>
                  </w:r>
                </w:p>
              </w:tc>
              <w:tc>
                <w:tcPr>
                  <w:tcW w:w="1772" w:type="pct"/>
                  <w:vAlign w:val="center"/>
                </w:tcPr>
                <w:p w14:paraId="4D693AAC">
                  <w:pPr>
                    <w:pStyle w:val="15"/>
                    <w:rPr>
                      <w:rFonts w:hint="default" w:eastAsia="宋体"/>
                      <w:lang w:val="en-US" w:eastAsia="zh-CN"/>
                    </w:rPr>
                  </w:pPr>
                  <w:r>
                    <w:rPr>
                      <w:rFonts w:hint="eastAsia"/>
                      <w:lang w:val="en-US" w:eastAsia="zh-CN"/>
                    </w:rPr>
                    <w:t>玻璃纤维颗粒</w:t>
                  </w:r>
                </w:p>
              </w:tc>
              <w:tc>
                <w:tcPr>
                  <w:tcW w:w="1324" w:type="pct"/>
                  <w:vAlign w:val="center"/>
                </w:tcPr>
                <w:p w14:paraId="12DDF11F">
                  <w:pPr>
                    <w:pStyle w:val="15"/>
                    <w:rPr>
                      <w:rFonts w:hint="default" w:eastAsia="宋体"/>
                      <w:lang w:val="en-US" w:eastAsia="zh-CN"/>
                    </w:rPr>
                  </w:pPr>
                  <w:r>
                    <w:rPr>
                      <w:rFonts w:hint="eastAsia"/>
                      <w:lang w:val="en-US" w:eastAsia="zh-CN"/>
                    </w:rPr>
                    <w:t>6000</w:t>
                  </w:r>
                </w:p>
              </w:tc>
              <w:tc>
                <w:tcPr>
                  <w:tcW w:w="1238" w:type="pct"/>
                  <w:vAlign w:val="center"/>
                </w:tcPr>
                <w:p w14:paraId="48771E74">
                  <w:pPr>
                    <w:pStyle w:val="15"/>
                  </w:pPr>
                  <w:r>
                    <w:rPr>
                      <w:rFonts w:hint="eastAsia"/>
                      <w:lang w:val="en-US" w:eastAsia="zh-CN"/>
                    </w:rPr>
                    <w:t>吨</w:t>
                  </w:r>
                  <w:r>
                    <w:rPr>
                      <w:rFonts w:hint="eastAsia"/>
                    </w:rPr>
                    <w:t>/年</w:t>
                  </w:r>
                </w:p>
              </w:tc>
            </w:tr>
          </w:tbl>
          <w:p w14:paraId="52DF913C">
            <w:pPr>
              <w:ind w:firstLine="482"/>
              <w:rPr>
                <w:b/>
                <w:bCs/>
              </w:rPr>
            </w:pPr>
            <w:r>
              <w:rPr>
                <w:rFonts w:hint="eastAsia"/>
                <w:b/>
                <w:bCs/>
              </w:rPr>
              <w:t>5、主要原辅材料</w:t>
            </w:r>
          </w:p>
          <w:p w14:paraId="6E349EC8">
            <w:pPr>
              <w:pStyle w:val="16"/>
              <w:ind w:firstLine="480"/>
              <w:rPr>
                <w:highlight w:val="none"/>
              </w:rPr>
            </w:pPr>
            <w:r>
              <w:rPr>
                <w:rFonts w:hint="eastAsia"/>
                <w:highlight w:val="none"/>
              </w:rPr>
              <w:t>根据企业提供的资料，主要原辅材料情况详见下表。</w:t>
            </w:r>
          </w:p>
          <w:p w14:paraId="3BCC4F30">
            <w:pPr>
              <w:pStyle w:val="17"/>
            </w:pPr>
            <w:r>
              <w:rPr>
                <w:rFonts w:hint="eastAsia"/>
              </w:rPr>
              <w:t>表2-3  主要</w:t>
            </w:r>
            <w:r>
              <w:rPr>
                <w:rFonts w:hint="eastAsia"/>
                <w:lang w:val="en-US" w:eastAsia="zh-CN"/>
              </w:rPr>
              <w:t>原辅</w:t>
            </w:r>
            <w:r>
              <w:rPr>
                <w:rFonts w:hint="eastAsia"/>
              </w:rPr>
              <w:t>材料表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721"/>
              <w:gridCol w:w="1782"/>
              <w:gridCol w:w="1750"/>
              <w:gridCol w:w="1797"/>
            </w:tblGrid>
            <w:tr w14:paraId="4E66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14:paraId="2B958EEC">
                  <w:pPr>
                    <w:pStyle w:val="15"/>
                  </w:pPr>
                  <w:r>
                    <w:rPr>
                      <w:rFonts w:hint="eastAsia"/>
                    </w:rPr>
                    <w:t>序号</w:t>
                  </w:r>
                </w:p>
              </w:tc>
              <w:tc>
                <w:tcPr>
                  <w:tcW w:w="1097" w:type="pct"/>
                </w:tcPr>
                <w:p w14:paraId="7ABE39FB">
                  <w:pPr>
                    <w:pStyle w:val="15"/>
                  </w:pPr>
                  <w:r>
                    <w:rPr>
                      <w:rFonts w:hint="eastAsia"/>
                    </w:rPr>
                    <w:t>名称</w:t>
                  </w:r>
                </w:p>
              </w:tc>
              <w:tc>
                <w:tcPr>
                  <w:tcW w:w="1136" w:type="pct"/>
                </w:tcPr>
                <w:p w14:paraId="44FE5DE7">
                  <w:pPr>
                    <w:pStyle w:val="15"/>
                  </w:pPr>
                  <w:r>
                    <w:rPr>
                      <w:rFonts w:hint="eastAsia"/>
                    </w:rPr>
                    <w:t>状态</w:t>
                  </w:r>
                </w:p>
              </w:tc>
              <w:tc>
                <w:tcPr>
                  <w:tcW w:w="1116" w:type="pct"/>
                </w:tcPr>
                <w:p w14:paraId="64009C8C">
                  <w:pPr>
                    <w:pStyle w:val="15"/>
                  </w:pPr>
                  <w:r>
                    <w:rPr>
                      <w:rFonts w:hint="eastAsia"/>
                    </w:rPr>
                    <w:t>年用量（t）</w:t>
                  </w:r>
                </w:p>
              </w:tc>
              <w:tc>
                <w:tcPr>
                  <w:tcW w:w="1146" w:type="pct"/>
                </w:tcPr>
                <w:p w14:paraId="2A28063A">
                  <w:pPr>
                    <w:pStyle w:val="15"/>
                  </w:pPr>
                  <w:r>
                    <w:rPr>
                      <w:rFonts w:hint="eastAsia"/>
                    </w:rPr>
                    <w:t>最大储存量（t）</w:t>
                  </w:r>
                </w:p>
              </w:tc>
            </w:tr>
            <w:tr w14:paraId="193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14:paraId="78720F09">
                  <w:pPr>
                    <w:pStyle w:val="15"/>
                  </w:pPr>
                  <w:r>
                    <w:rPr>
                      <w:rFonts w:hint="eastAsia"/>
                    </w:rPr>
                    <w:t>1</w:t>
                  </w:r>
                </w:p>
              </w:tc>
              <w:tc>
                <w:tcPr>
                  <w:tcW w:w="1097" w:type="pct"/>
                </w:tcPr>
                <w:p w14:paraId="1D63FFD7">
                  <w:pPr>
                    <w:pStyle w:val="15"/>
                    <w:rPr>
                      <w:rFonts w:hint="default" w:eastAsia="宋体"/>
                      <w:lang w:val="en-US" w:eastAsia="zh-CN"/>
                    </w:rPr>
                  </w:pPr>
                  <w:r>
                    <w:rPr>
                      <w:rFonts w:hint="eastAsia"/>
                      <w:lang w:val="en-US" w:eastAsia="zh-CN"/>
                    </w:rPr>
                    <w:t>玻璃纤维尾纱</w:t>
                  </w:r>
                </w:p>
              </w:tc>
              <w:tc>
                <w:tcPr>
                  <w:tcW w:w="1136" w:type="pct"/>
                </w:tcPr>
                <w:p w14:paraId="7A44187E">
                  <w:pPr>
                    <w:pStyle w:val="15"/>
                  </w:pPr>
                  <w:r>
                    <w:rPr>
                      <w:rFonts w:hint="eastAsia"/>
                      <w:lang w:val="en-US" w:eastAsia="zh-CN"/>
                    </w:rPr>
                    <w:t>固</w:t>
                  </w:r>
                  <w:r>
                    <w:rPr>
                      <w:rFonts w:hint="eastAsia"/>
                    </w:rPr>
                    <w:t>态</w:t>
                  </w:r>
                </w:p>
              </w:tc>
              <w:tc>
                <w:tcPr>
                  <w:tcW w:w="1116" w:type="pct"/>
                </w:tcPr>
                <w:p w14:paraId="410B445C">
                  <w:pPr>
                    <w:pStyle w:val="15"/>
                    <w:rPr>
                      <w:rFonts w:hint="default" w:eastAsia="宋体"/>
                      <w:lang w:val="en-US" w:eastAsia="zh-CN"/>
                    </w:rPr>
                  </w:pPr>
                  <w:r>
                    <w:rPr>
                      <w:rFonts w:hint="eastAsia"/>
                      <w:lang w:val="en-US" w:eastAsia="zh-CN"/>
                    </w:rPr>
                    <w:t>6000</w:t>
                  </w:r>
                </w:p>
              </w:tc>
              <w:tc>
                <w:tcPr>
                  <w:tcW w:w="1146" w:type="pct"/>
                </w:tcPr>
                <w:p w14:paraId="2082A616">
                  <w:pPr>
                    <w:pStyle w:val="15"/>
                    <w:rPr>
                      <w:rFonts w:hint="default" w:eastAsia="宋体"/>
                      <w:lang w:val="en-US" w:eastAsia="zh-CN"/>
                    </w:rPr>
                  </w:pPr>
                  <w:r>
                    <w:rPr>
                      <w:rFonts w:hint="eastAsia"/>
                      <w:lang w:val="en-US" w:eastAsia="zh-CN"/>
                    </w:rPr>
                    <w:t>1000</w:t>
                  </w:r>
                </w:p>
              </w:tc>
            </w:tr>
            <w:tr w14:paraId="1A55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tcPr>
                <w:p w14:paraId="3CB24609">
                  <w:pPr>
                    <w:pStyle w:val="15"/>
                  </w:pPr>
                  <w:r>
                    <w:rPr>
                      <w:rFonts w:hint="eastAsia"/>
                    </w:rPr>
                    <w:t>2</w:t>
                  </w:r>
                </w:p>
              </w:tc>
              <w:tc>
                <w:tcPr>
                  <w:tcW w:w="1097" w:type="pct"/>
                </w:tcPr>
                <w:p w14:paraId="0F08B36C">
                  <w:pPr>
                    <w:pStyle w:val="15"/>
                    <w:rPr>
                      <w:rFonts w:hint="eastAsia" w:eastAsia="宋体"/>
                      <w:lang w:val="en-US" w:eastAsia="zh-CN"/>
                    </w:rPr>
                  </w:pPr>
                  <w:r>
                    <w:rPr>
                      <w:rFonts w:hint="eastAsia"/>
                      <w:lang w:val="en-US" w:eastAsia="zh-CN"/>
                    </w:rPr>
                    <w:t>乳液</w:t>
                  </w:r>
                </w:p>
              </w:tc>
              <w:tc>
                <w:tcPr>
                  <w:tcW w:w="1136" w:type="pct"/>
                </w:tcPr>
                <w:p w14:paraId="08933A14">
                  <w:pPr>
                    <w:pStyle w:val="15"/>
                  </w:pPr>
                  <w:r>
                    <w:rPr>
                      <w:rFonts w:hint="eastAsia"/>
                    </w:rPr>
                    <w:t>液态</w:t>
                  </w:r>
                </w:p>
              </w:tc>
              <w:tc>
                <w:tcPr>
                  <w:tcW w:w="1116" w:type="pct"/>
                </w:tcPr>
                <w:p w14:paraId="1B8FAB23">
                  <w:pPr>
                    <w:pStyle w:val="15"/>
                    <w:rPr>
                      <w:rFonts w:hint="default" w:eastAsia="宋体"/>
                      <w:lang w:val="en-US" w:eastAsia="zh-CN"/>
                    </w:rPr>
                  </w:pPr>
                  <w:r>
                    <w:rPr>
                      <w:rFonts w:hint="eastAsia"/>
                      <w:lang w:val="en-US" w:eastAsia="zh-CN"/>
                    </w:rPr>
                    <w:t>100</w:t>
                  </w:r>
                </w:p>
              </w:tc>
              <w:tc>
                <w:tcPr>
                  <w:tcW w:w="1146" w:type="pct"/>
                </w:tcPr>
                <w:p w14:paraId="26209E18">
                  <w:pPr>
                    <w:pStyle w:val="15"/>
                    <w:rPr>
                      <w:rFonts w:hint="default" w:eastAsia="宋体"/>
                      <w:lang w:val="en-US" w:eastAsia="zh-CN"/>
                    </w:rPr>
                  </w:pPr>
                  <w:r>
                    <w:rPr>
                      <w:rFonts w:hint="eastAsia"/>
                      <w:lang w:val="en-US" w:eastAsia="zh-CN"/>
                    </w:rPr>
                    <w:t>10</w:t>
                  </w:r>
                </w:p>
              </w:tc>
            </w:tr>
            <w:tr w14:paraId="2036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14:paraId="1EDA176C">
                  <w:pPr>
                    <w:pStyle w:val="15"/>
                  </w:pPr>
                  <w:r>
                    <w:rPr>
                      <w:rFonts w:hint="eastAsia"/>
                    </w:rPr>
                    <w:t>3</w:t>
                  </w:r>
                </w:p>
              </w:tc>
              <w:tc>
                <w:tcPr>
                  <w:tcW w:w="1097" w:type="pct"/>
                </w:tcPr>
                <w:p w14:paraId="33E22602">
                  <w:pPr>
                    <w:pStyle w:val="15"/>
                  </w:pPr>
                  <w:r>
                    <w:rPr>
                      <w:rFonts w:hint="eastAsia"/>
                    </w:rPr>
                    <w:t>生物质颗粒</w:t>
                  </w:r>
                </w:p>
              </w:tc>
              <w:tc>
                <w:tcPr>
                  <w:tcW w:w="1136" w:type="pct"/>
                </w:tcPr>
                <w:p w14:paraId="54B776E3">
                  <w:pPr>
                    <w:pStyle w:val="15"/>
                  </w:pPr>
                  <w:r>
                    <w:rPr>
                      <w:rFonts w:hint="eastAsia"/>
                    </w:rPr>
                    <w:t>固态</w:t>
                  </w:r>
                </w:p>
              </w:tc>
              <w:tc>
                <w:tcPr>
                  <w:tcW w:w="1116" w:type="pct"/>
                </w:tcPr>
                <w:p w14:paraId="639ABF39">
                  <w:pPr>
                    <w:pStyle w:val="15"/>
                    <w:rPr>
                      <w:rFonts w:hint="default" w:eastAsia="宋体"/>
                      <w:lang w:val="en-US" w:eastAsia="zh-CN"/>
                    </w:rPr>
                  </w:pPr>
                  <w:r>
                    <w:rPr>
                      <w:rFonts w:hint="eastAsia"/>
                      <w:lang w:val="en-US" w:eastAsia="zh-CN"/>
                    </w:rPr>
                    <w:t>536</w:t>
                  </w:r>
                </w:p>
              </w:tc>
              <w:tc>
                <w:tcPr>
                  <w:tcW w:w="1146" w:type="pct"/>
                </w:tcPr>
                <w:p w14:paraId="457AEF92">
                  <w:pPr>
                    <w:pStyle w:val="15"/>
                    <w:rPr>
                      <w:rFonts w:hint="default" w:eastAsia="宋体"/>
                      <w:lang w:val="en-US" w:eastAsia="zh-CN"/>
                    </w:rPr>
                  </w:pPr>
                  <w:r>
                    <w:rPr>
                      <w:rFonts w:hint="eastAsia"/>
                      <w:lang w:val="en-US" w:eastAsia="zh-CN"/>
                    </w:rPr>
                    <w:t>100</w:t>
                  </w:r>
                </w:p>
              </w:tc>
            </w:tr>
          </w:tbl>
          <w:p w14:paraId="5BF503AD">
            <w:pPr>
              <w:pStyle w:val="16"/>
              <w:ind w:firstLine="422"/>
              <w:rPr>
                <w:rFonts w:hint="eastAsia"/>
                <w:b/>
                <w:bCs/>
                <w:sz w:val="21"/>
                <w:szCs w:val="21"/>
              </w:rPr>
            </w:pPr>
            <w:r>
              <w:rPr>
                <w:rFonts w:hint="eastAsia"/>
                <w:b/>
                <w:bCs/>
                <w:sz w:val="21"/>
                <w:szCs w:val="21"/>
              </w:rPr>
              <w:t>理化性质：</w:t>
            </w:r>
          </w:p>
          <w:p w14:paraId="453708C1">
            <w:pPr>
              <w:pStyle w:val="16"/>
              <w:ind w:firstLine="422"/>
              <w:rPr>
                <w:rFonts w:hint="default"/>
                <w:b w:val="0"/>
                <w:bCs w:val="0"/>
                <w:sz w:val="21"/>
                <w:szCs w:val="21"/>
                <w:lang w:val="en-US" w:eastAsia="zh-CN"/>
              </w:rPr>
            </w:pPr>
            <w:r>
              <w:rPr>
                <w:rFonts w:hint="eastAsia"/>
                <w:b w:val="0"/>
                <w:bCs w:val="0"/>
                <w:sz w:val="21"/>
                <w:szCs w:val="21"/>
                <w:lang w:val="en-US" w:eastAsia="zh-CN"/>
              </w:rPr>
              <w:t>乳液：化学品俗名为玻纤网格布乳液，主要为苯乙烯-丙烯酸酯共聚物、水、氧化剂和乳化剂组成。毒性：在通常的使用情况下，对健康没有危害；皮肤接触：长期皮肤接触可能会引起过敏性发红；吸入：微量的残余单体对眼睛和呼吸道有刺激，可能引起头痛。</w:t>
            </w:r>
          </w:p>
          <w:p w14:paraId="1675AAE8">
            <w:pPr>
              <w:rPr>
                <w:b/>
                <w:bCs/>
              </w:rPr>
            </w:pPr>
            <w:r>
              <w:rPr>
                <w:rFonts w:hint="eastAsia"/>
                <w:b/>
                <w:bCs/>
                <w:lang w:val="en-US" w:eastAsia="zh-CN"/>
              </w:rPr>
              <w:t>6</w:t>
            </w:r>
            <w:r>
              <w:rPr>
                <w:rFonts w:hint="eastAsia"/>
                <w:b/>
                <w:bCs/>
              </w:rPr>
              <w:t>、主要生产设备</w:t>
            </w:r>
          </w:p>
          <w:p w14:paraId="031DD9AF">
            <w:pPr>
              <w:pStyle w:val="16"/>
              <w:ind w:firstLine="480"/>
              <w:rPr>
                <w:highlight w:val="none"/>
              </w:rPr>
            </w:pPr>
            <w:r>
              <w:rPr>
                <w:rFonts w:hint="eastAsia"/>
                <w:highlight w:val="none"/>
              </w:rPr>
              <w:t>根据企业提供的资料，主要生产设备详见下表。</w:t>
            </w:r>
          </w:p>
          <w:p w14:paraId="5E0A48DD">
            <w:pPr>
              <w:pStyle w:val="17"/>
            </w:pPr>
            <w:r>
              <w:rPr>
                <w:rFonts w:hint="eastAsia"/>
              </w:rPr>
              <w:t>表2-4  主要生产设备表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288"/>
              <w:gridCol w:w="2333"/>
              <w:gridCol w:w="1944"/>
            </w:tblGrid>
            <w:tr w14:paraId="2147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5F3235B0">
                  <w:pPr>
                    <w:pStyle w:val="15"/>
                  </w:pPr>
                  <w:r>
                    <w:rPr>
                      <w:rFonts w:hint="eastAsia"/>
                    </w:rPr>
                    <w:t>序号</w:t>
                  </w:r>
                </w:p>
              </w:tc>
              <w:tc>
                <w:tcPr>
                  <w:tcW w:w="1459" w:type="pct"/>
                  <w:vAlign w:val="center"/>
                </w:tcPr>
                <w:p w14:paraId="64781FA1">
                  <w:pPr>
                    <w:pStyle w:val="15"/>
                  </w:pPr>
                  <w:r>
                    <w:rPr>
                      <w:rFonts w:hint="eastAsia"/>
                    </w:rPr>
                    <w:t>设备名称</w:t>
                  </w:r>
                </w:p>
              </w:tc>
              <w:tc>
                <w:tcPr>
                  <w:tcW w:w="1488" w:type="pct"/>
                  <w:vAlign w:val="center"/>
                </w:tcPr>
                <w:p w14:paraId="4125B9DA">
                  <w:pPr>
                    <w:pStyle w:val="15"/>
                  </w:pPr>
                  <w:r>
                    <w:rPr>
                      <w:rFonts w:hint="eastAsia"/>
                    </w:rPr>
                    <w:t>规格型号</w:t>
                  </w:r>
                </w:p>
              </w:tc>
              <w:tc>
                <w:tcPr>
                  <w:tcW w:w="1240" w:type="pct"/>
                  <w:vAlign w:val="center"/>
                </w:tcPr>
                <w:p w14:paraId="6DD359FB">
                  <w:pPr>
                    <w:pStyle w:val="15"/>
                  </w:pPr>
                  <w:r>
                    <w:rPr>
                      <w:rFonts w:hint="eastAsia"/>
                    </w:rPr>
                    <w:t>数量</w:t>
                  </w:r>
                </w:p>
              </w:tc>
            </w:tr>
            <w:tr w14:paraId="27C8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0B3AF201">
                  <w:pPr>
                    <w:pStyle w:val="15"/>
                  </w:pPr>
                  <w:r>
                    <w:rPr>
                      <w:rFonts w:hint="eastAsia"/>
                    </w:rPr>
                    <w:t>1</w:t>
                  </w:r>
                </w:p>
              </w:tc>
              <w:tc>
                <w:tcPr>
                  <w:tcW w:w="1459" w:type="pct"/>
                  <w:vAlign w:val="center"/>
                </w:tcPr>
                <w:p w14:paraId="71EA3027">
                  <w:pPr>
                    <w:pStyle w:val="15"/>
                  </w:pPr>
                  <w:r>
                    <w:rPr>
                      <w:rFonts w:hint="eastAsia"/>
                    </w:rPr>
                    <w:t>锥螺旋粉碎</w:t>
                  </w:r>
                  <w:r>
                    <w:rPr>
                      <w:rFonts w:hint="eastAsia"/>
                      <w:lang w:val="en-US" w:eastAsia="zh-CN"/>
                    </w:rPr>
                    <w:t>挤出</w:t>
                  </w:r>
                  <w:r>
                    <w:rPr>
                      <w:rFonts w:hint="eastAsia"/>
                    </w:rPr>
                    <w:t>机</w:t>
                  </w:r>
                </w:p>
              </w:tc>
              <w:tc>
                <w:tcPr>
                  <w:tcW w:w="1488" w:type="pct"/>
                  <w:vAlign w:val="center"/>
                </w:tcPr>
                <w:p w14:paraId="0E6F7C9A">
                  <w:pPr>
                    <w:pStyle w:val="15"/>
                    <w:rPr>
                      <w:rFonts w:hint="default" w:eastAsia="宋体"/>
                      <w:lang w:val="en-US" w:eastAsia="zh-CN"/>
                    </w:rPr>
                  </w:pPr>
                  <w:r>
                    <w:rPr>
                      <w:rFonts w:hint="eastAsia"/>
                      <w:lang w:val="en-US" w:eastAsia="zh-CN"/>
                    </w:rPr>
                    <w:t>ZES</w:t>
                  </w:r>
                  <w:r>
                    <w:rPr>
                      <w:rFonts w:hint="eastAsia"/>
                    </w:rPr>
                    <w:t>-</w:t>
                  </w:r>
                  <w:r>
                    <w:rPr>
                      <w:rFonts w:hint="eastAsia"/>
                      <w:lang w:val="en-US" w:eastAsia="zh-CN"/>
                    </w:rPr>
                    <w:t>600</w:t>
                  </w:r>
                </w:p>
              </w:tc>
              <w:tc>
                <w:tcPr>
                  <w:tcW w:w="1240" w:type="pct"/>
                  <w:vAlign w:val="center"/>
                </w:tcPr>
                <w:p w14:paraId="47A1220A">
                  <w:pPr>
                    <w:pStyle w:val="15"/>
                    <w:rPr>
                      <w:rFonts w:hint="default" w:eastAsia="宋体"/>
                      <w:lang w:val="en-US" w:eastAsia="zh-CN"/>
                    </w:rPr>
                  </w:pPr>
                  <w:r>
                    <w:rPr>
                      <w:rFonts w:hint="eastAsia"/>
                      <w:lang w:val="en-US" w:eastAsia="zh-CN"/>
                    </w:rPr>
                    <w:t>2台</w:t>
                  </w:r>
                </w:p>
              </w:tc>
            </w:tr>
            <w:tr w14:paraId="2EF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2C86D472">
                  <w:pPr>
                    <w:pStyle w:val="15"/>
                  </w:pPr>
                  <w:r>
                    <w:rPr>
                      <w:rFonts w:hint="eastAsia"/>
                    </w:rPr>
                    <w:t>2</w:t>
                  </w:r>
                </w:p>
              </w:tc>
              <w:tc>
                <w:tcPr>
                  <w:tcW w:w="1459" w:type="pct"/>
                  <w:vAlign w:val="center"/>
                </w:tcPr>
                <w:p w14:paraId="04239FBE">
                  <w:pPr>
                    <w:pStyle w:val="15"/>
                    <w:rPr>
                      <w:rFonts w:hint="default" w:eastAsia="宋体"/>
                      <w:lang w:val="en-US" w:eastAsia="zh-CN"/>
                    </w:rPr>
                  </w:pPr>
                  <w:r>
                    <w:rPr>
                      <w:rFonts w:hint="eastAsia"/>
                      <w:lang w:val="en-US" w:eastAsia="zh-CN"/>
                    </w:rPr>
                    <w:t>热风炉</w:t>
                  </w:r>
                </w:p>
              </w:tc>
              <w:tc>
                <w:tcPr>
                  <w:tcW w:w="1488" w:type="pct"/>
                  <w:vAlign w:val="center"/>
                </w:tcPr>
                <w:p w14:paraId="22B675F3">
                  <w:pPr>
                    <w:pStyle w:val="15"/>
                    <w:rPr>
                      <w:rFonts w:hint="default" w:eastAsia="宋体"/>
                      <w:lang w:val="en-US" w:eastAsia="zh-CN"/>
                    </w:rPr>
                  </w:pPr>
                  <w:r>
                    <w:rPr>
                      <w:rFonts w:hint="eastAsia"/>
                      <w:lang w:val="en-US" w:eastAsia="zh-CN"/>
                    </w:rPr>
                    <w:t>RYL</w:t>
                  </w:r>
                </w:p>
              </w:tc>
              <w:tc>
                <w:tcPr>
                  <w:tcW w:w="1240" w:type="pct"/>
                  <w:vAlign w:val="center"/>
                </w:tcPr>
                <w:p w14:paraId="63925E42">
                  <w:pPr>
                    <w:pStyle w:val="15"/>
                  </w:pPr>
                  <w:r>
                    <w:rPr>
                      <w:rFonts w:hint="eastAsia"/>
                      <w:lang w:val="en-US" w:eastAsia="zh-CN"/>
                    </w:rPr>
                    <w:t>2台</w:t>
                  </w:r>
                </w:p>
              </w:tc>
            </w:tr>
            <w:tr w14:paraId="3BAD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1C19A00D">
                  <w:pPr>
                    <w:pStyle w:val="15"/>
                  </w:pPr>
                  <w:r>
                    <w:rPr>
                      <w:rFonts w:hint="eastAsia"/>
                    </w:rPr>
                    <w:t>3</w:t>
                  </w:r>
                </w:p>
              </w:tc>
              <w:tc>
                <w:tcPr>
                  <w:tcW w:w="1459" w:type="pct"/>
                  <w:vAlign w:val="center"/>
                </w:tcPr>
                <w:p w14:paraId="242AAE41">
                  <w:pPr>
                    <w:pStyle w:val="15"/>
                    <w:rPr>
                      <w:rFonts w:hint="default" w:eastAsia="宋体"/>
                      <w:lang w:val="en-US" w:eastAsia="zh-CN"/>
                    </w:rPr>
                  </w:pPr>
                  <w:r>
                    <w:rPr>
                      <w:rFonts w:hint="eastAsia"/>
                      <w:lang w:val="en-US" w:eastAsia="zh-CN"/>
                    </w:rPr>
                    <w:t>皮带输送机</w:t>
                  </w:r>
                </w:p>
              </w:tc>
              <w:tc>
                <w:tcPr>
                  <w:tcW w:w="1488" w:type="pct"/>
                  <w:vAlign w:val="center"/>
                </w:tcPr>
                <w:p w14:paraId="273E0865">
                  <w:pPr>
                    <w:pStyle w:val="15"/>
                    <w:rPr>
                      <w:rFonts w:hint="default" w:eastAsia="宋体"/>
                      <w:lang w:val="en-US" w:eastAsia="zh-CN"/>
                    </w:rPr>
                  </w:pPr>
                  <w:r>
                    <w:rPr>
                      <w:rFonts w:hint="eastAsia"/>
                      <w:lang w:val="en-US" w:eastAsia="zh-CN"/>
                    </w:rPr>
                    <w:t>SF-600</w:t>
                  </w:r>
                </w:p>
              </w:tc>
              <w:tc>
                <w:tcPr>
                  <w:tcW w:w="1240" w:type="pct"/>
                  <w:vAlign w:val="center"/>
                </w:tcPr>
                <w:p w14:paraId="3CF6E382">
                  <w:pPr>
                    <w:pStyle w:val="15"/>
                    <w:rPr>
                      <w:rFonts w:hint="default" w:eastAsia="宋体"/>
                      <w:lang w:val="en-US" w:eastAsia="zh-CN"/>
                    </w:rPr>
                  </w:pPr>
                  <w:r>
                    <w:rPr>
                      <w:rFonts w:hint="eastAsia"/>
                      <w:lang w:val="en-US" w:eastAsia="zh-CN"/>
                    </w:rPr>
                    <w:t>2台</w:t>
                  </w:r>
                </w:p>
              </w:tc>
            </w:tr>
            <w:tr w14:paraId="496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shd w:val="clear" w:color="auto" w:fill="auto"/>
                  <w:vAlign w:val="center"/>
                </w:tcPr>
                <w:p w14:paraId="7160B42C">
                  <w:pPr>
                    <w:pStyle w:val="15"/>
                  </w:pPr>
                  <w:r>
                    <w:rPr>
                      <w:rFonts w:hint="eastAsia"/>
                    </w:rPr>
                    <w:t>4</w:t>
                  </w:r>
                </w:p>
              </w:tc>
              <w:tc>
                <w:tcPr>
                  <w:tcW w:w="1459" w:type="pct"/>
                  <w:vAlign w:val="center"/>
                </w:tcPr>
                <w:p w14:paraId="6DD5E8A7">
                  <w:pPr>
                    <w:pStyle w:val="15"/>
                    <w:rPr>
                      <w:rFonts w:hint="default" w:eastAsia="宋体"/>
                      <w:lang w:val="en-US" w:eastAsia="zh-CN"/>
                    </w:rPr>
                  </w:pPr>
                  <w:r>
                    <w:rPr>
                      <w:rFonts w:hint="eastAsia"/>
                      <w:lang w:val="en-US" w:eastAsia="zh-CN"/>
                    </w:rPr>
                    <w:t>振动流化床</w:t>
                  </w:r>
                </w:p>
              </w:tc>
              <w:tc>
                <w:tcPr>
                  <w:tcW w:w="1488" w:type="pct"/>
                  <w:vAlign w:val="center"/>
                </w:tcPr>
                <w:p w14:paraId="7FA78345">
                  <w:pPr>
                    <w:pStyle w:val="15"/>
                    <w:rPr>
                      <w:rFonts w:hint="default" w:eastAsia="宋体"/>
                      <w:lang w:val="en-US" w:eastAsia="zh-CN"/>
                    </w:rPr>
                  </w:pPr>
                  <w:r>
                    <w:rPr>
                      <w:rFonts w:hint="eastAsia"/>
                      <w:lang w:val="en-US" w:eastAsia="zh-CN"/>
                    </w:rPr>
                    <w:t>ZGL-800*9m</w:t>
                  </w:r>
                </w:p>
              </w:tc>
              <w:tc>
                <w:tcPr>
                  <w:tcW w:w="1240" w:type="pct"/>
                  <w:vAlign w:val="center"/>
                </w:tcPr>
                <w:p w14:paraId="094DC8A6">
                  <w:pPr>
                    <w:pStyle w:val="15"/>
                  </w:pPr>
                  <w:r>
                    <w:rPr>
                      <w:rFonts w:hint="eastAsia"/>
                      <w:lang w:val="en-US" w:eastAsia="zh-CN"/>
                    </w:rPr>
                    <w:t>2</w:t>
                  </w:r>
                  <w:r>
                    <w:rPr>
                      <w:rFonts w:hint="eastAsia"/>
                    </w:rPr>
                    <w:t>台</w:t>
                  </w:r>
                </w:p>
              </w:tc>
            </w:tr>
            <w:tr w14:paraId="1B66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shd w:val="clear" w:color="auto" w:fill="auto"/>
                  <w:vAlign w:val="center"/>
                </w:tcPr>
                <w:p w14:paraId="039DFD80">
                  <w:pPr>
                    <w:pStyle w:val="15"/>
                    <w:rPr>
                      <w:rFonts w:hint="eastAsia" w:eastAsia="宋体"/>
                      <w:lang w:eastAsia="zh-CN"/>
                    </w:rPr>
                  </w:pPr>
                  <w:r>
                    <w:rPr>
                      <w:rFonts w:hint="eastAsia"/>
                      <w:lang w:val="en-US" w:eastAsia="zh-CN"/>
                    </w:rPr>
                    <w:t>5</w:t>
                  </w:r>
                </w:p>
              </w:tc>
              <w:tc>
                <w:tcPr>
                  <w:tcW w:w="1459" w:type="pct"/>
                  <w:vAlign w:val="center"/>
                </w:tcPr>
                <w:p w14:paraId="3C4FF6C9">
                  <w:pPr>
                    <w:pStyle w:val="15"/>
                  </w:pPr>
                  <w:r>
                    <w:rPr>
                      <w:rFonts w:hint="eastAsia"/>
                    </w:rPr>
                    <w:t>冷风机</w:t>
                  </w:r>
                </w:p>
              </w:tc>
              <w:tc>
                <w:tcPr>
                  <w:tcW w:w="1488" w:type="pct"/>
                  <w:vAlign w:val="center"/>
                </w:tcPr>
                <w:p w14:paraId="7F7575EB">
                  <w:pPr>
                    <w:pStyle w:val="15"/>
                    <w:rPr>
                      <w:rFonts w:hint="default" w:eastAsia="宋体"/>
                      <w:lang w:val="en-US" w:eastAsia="zh-CN"/>
                    </w:rPr>
                  </w:pPr>
                  <w:r>
                    <w:rPr>
                      <w:rFonts w:hint="eastAsia"/>
                    </w:rPr>
                    <w:t>2.2</w:t>
                  </w:r>
                  <w:r>
                    <w:rPr>
                      <w:rFonts w:hint="eastAsia"/>
                      <w:lang w:val="en-US" w:eastAsia="zh-CN"/>
                    </w:rPr>
                    <w:t>k</w:t>
                  </w:r>
                  <w:r>
                    <w:rPr>
                      <w:rFonts w:hint="eastAsia"/>
                    </w:rPr>
                    <w:t>w</w:t>
                  </w:r>
                </w:p>
              </w:tc>
              <w:tc>
                <w:tcPr>
                  <w:tcW w:w="1240" w:type="pct"/>
                  <w:vAlign w:val="center"/>
                </w:tcPr>
                <w:p w14:paraId="69738D1B">
                  <w:pPr>
                    <w:pStyle w:val="15"/>
                  </w:pPr>
                  <w:r>
                    <w:rPr>
                      <w:rFonts w:hint="eastAsia"/>
                      <w:lang w:val="en-US" w:eastAsia="zh-CN"/>
                    </w:rPr>
                    <w:t>2</w:t>
                  </w:r>
                  <w:r>
                    <w:rPr>
                      <w:rFonts w:hint="eastAsia"/>
                    </w:rPr>
                    <w:t>台</w:t>
                  </w:r>
                </w:p>
              </w:tc>
            </w:tr>
            <w:tr w14:paraId="214E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40631E02">
                  <w:pPr>
                    <w:pStyle w:val="15"/>
                    <w:rPr>
                      <w:rFonts w:hint="eastAsia" w:eastAsia="宋体"/>
                      <w:lang w:eastAsia="zh-CN"/>
                    </w:rPr>
                  </w:pPr>
                  <w:r>
                    <w:rPr>
                      <w:rFonts w:hint="eastAsia"/>
                      <w:lang w:val="en-US" w:eastAsia="zh-CN"/>
                    </w:rPr>
                    <w:t>6</w:t>
                  </w:r>
                </w:p>
              </w:tc>
              <w:tc>
                <w:tcPr>
                  <w:tcW w:w="1459" w:type="pct"/>
                  <w:vAlign w:val="center"/>
                </w:tcPr>
                <w:p w14:paraId="708B20CC">
                  <w:pPr>
                    <w:pStyle w:val="15"/>
                  </w:pPr>
                  <w:r>
                    <w:rPr>
                      <w:rFonts w:hint="eastAsia"/>
                    </w:rPr>
                    <w:t>送风机</w:t>
                  </w:r>
                </w:p>
              </w:tc>
              <w:tc>
                <w:tcPr>
                  <w:tcW w:w="1488" w:type="pct"/>
                  <w:vAlign w:val="center"/>
                </w:tcPr>
                <w:p w14:paraId="5A7BC0D6">
                  <w:pPr>
                    <w:pStyle w:val="15"/>
                  </w:pPr>
                  <w:r>
                    <w:rPr>
                      <w:rFonts w:hint="eastAsia"/>
                    </w:rPr>
                    <w:t>15</w:t>
                  </w:r>
                  <w:r>
                    <w:rPr>
                      <w:rFonts w:hint="eastAsia"/>
                      <w:lang w:val="en-US" w:eastAsia="zh-CN"/>
                    </w:rPr>
                    <w:t>k</w:t>
                  </w:r>
                  <w:r>
                    <w:rPr>
                      <w:rFonts w:hint="eastAsia"/>
                    </w:rPr>
                    <w:t>w</w:t>
                  </w:r>
                </w:p>
              </w:tc>
              <w:tc>
                <w:tcPr>
                  <w:tcW w:w="1240" w:type="pct"/>
                  <w:vAlign w:val="center"/>
                </w:tcPr>
                <w:p w14:paraId="3C6059AC">
                  <w:pPr>
                    <w:pStyle w:val="15"/>
                  </w:pPr>
                  <w:r>
                    <w:rPr>
                      <w:rFonts w:hint="eastAsia"/>
                      <w:lang w:val="en-US" w:eastAsia="zh-CN"/>
                    </w:rPr>
                    <w:t>2</w:t>
                  </w:r>
                  <w:r>
                    <w:rPr>
                      <w:rFonts w:hint="eastAsia"/>
                    </w:rPr>
                    <w:t>台</w:t>
                  </w:r>
                </w:p>
              </w:tc>
            </w:tr>
            <w:tr w14:paraId="604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Align w:val="center"/>
                </w:tcPr>
                <w:p w14:paraId="7394CE1A">
                  <w:pPr>
                    <w:pStyle w:val="15"/>
                    <w:rPr>
                      <w:rFonts w:hint="default"/>
                      <w:lang w:val="en-US" w:eastAsia="zh-CN"/>
                    </w:rPr>
                  </w:pPr>
                  <w:r>
                    <w:rPr>
                      <w:rFonts w:hint="eastAsia"/>
                      <w:lang w:val="en-US" w:eastAsia="zh-CN"/>
                    </w:rPr>
                    <w:t>7</w:t>
                  </w:r>
                </w:p>
              </w:tc>
              <w:tc>
                <w:tcPr>
                  <w:tcW w:w="1459" w:type="pct"/>
                  <w:vAlign w:val="center"/>
                </w:tcPr>
                <w:p w14:paraId="0BDD4753">
                  <w:pPr>
                    <w:pStyle w:val="15"/>
                    <w:rPr>
                      <w:rFonts w:hint="eastAsia"/>
                    </w:rPr>
                  </w:pPr>
                  <w:r>
                    <w:rPr>
                      <w:rFonts w:hint="eastAsia"/>
                    </w:rPr>
                    <w:t>引风机</w:t>
                  </w:r>
                </w:p>
              </w:tc>
              <w:tc>
                <w:tcPr>
                  <w:tcW w:w="1488" w:type="pct"/>
                  <w:vAlign w:val="center"/>
                </w:tcPr>
                <w:p w14:paraId="4FE544F6">
                  <w:pPr>
                    <w:pStyle w:val="15"/>
                    <w:rPr>
                      <w:rFonts w:hint="eastAsia"/>
                    </w:rPr>
                  </w:pPr>
                  <w:r>
                    <w:rPr>
                      <w:rFonts w:hint="eastAsia"/>
                    </w:rPr>
                    <w:t>30</w:t>
                  </w:r>
                  <w:r>
                    <w:rPr>
                      <w:rFonts w:hint="eastAsia"/>
                      <w:lang w:val="en-US" w:eastAsia="zh-CN"/>
                    </w:rPr>
                    <w:t>k</w:t>
                  </w:r>
                  <w:r>
                    <w:rPr>
                      <w:rFonts w:hint="eastAsia"/>
                    </w:rPr>
                    <w:t>w</w:t>
                  </w:r>
                </w:p>
              </w:tc>
              <w:tc>
                <w:tcPr>
                  <w:tcW w:w="1240" w:type="pct"/>
                  <w:vAlign w:val="center"/>
                </w:tcPr>
                <w:p w14:paraId="1490657B">
                  <w:pPr>
                    <w:pStyle w:val="15"/>
                    <w:rPr>
                      <w:rFonts w:hint="default"/>
                      <w:lang w:val="en-US" w:eastAsia="zh-CN"/>
                    </w:rPr>
                  </w:pPr>
                  <w:r>
                    <w:rPr>
                      <w:rFonts w:hint="eastAsia"/>
                      <w:lang w:val="en-US" w:eastAsia="zh-CN"/>
                    </w:rPr>
                    <w:t>2台</w:t>
                  </w:r>
                </w:p>
              </w:tc>
            </w:tr>
          </w:tbl>
          <w:p w14:paraId="38E6B2BD">
            <w:pPr>
              <w:ind w:firstLine="482"/>
              <w:rPr>
                <w:b/>
                <w:bCs/>
              </w:rPr>
            </w:pPr>
            <w:r>
              <w:rPr>
                <w:rFonts w:hint="eastAsia"/>
                <w:b/>
                <w:bCs/>
                <w:lang w:val="en-US" w:eastAsia="zh-CN"/>
              </w:rPr>
              <w:t>7</w:t>
            </w:r>
            <w:r>
              <w:rPr>
                <w:rFonts w:hint="eastAsia"/>
                <w:b/>
                <w:bCs/>
              </w:rPr>
              <w:t>、劳动定员及工作制度</w:t>
            </w:r>
          </w:p>
          <w:p w14:paraId="5A9231F1">
            <w:pPr>
              <w:pStyle w:val="16"/>
              <w:ind w:firstLine="480"/>
            </w:pPr>
            <w:r>
              <w:rPr>
                <w:rFonts w:hint="eastAsia"/>
              </w:rPr>
              <w:t>本项目劳动定员</w:t>
            </w:r>
            <w:r>
              <w:rPr>
                <w:rFonts w:hint="eastAsia"/>
                <w:lang w:val="en-US" w:eastAsia="zh-CN"/>
              </w:rPr>
              <w:t>10</w:t>
            </w:r>
            <w:r>
              <w:rPr>
                <w:rFonts w:hint="eastAsia"/>
              </w:rPr>
              <w:t>人，生产采用一班工作制，每天工作8个小时，夜间不进行生产，工作</w:t>
            </w:r>
            <w:r>
              <w:rPr>
                <w:rFonts w:hint="eastAsia"/>
                <w:lang w:val="en-US" w:eastAsia="zh-CN"/>
              </w:rPr>
              <w:t>3</w:t>
            </w:r>
            <w:r>
              <w:rPr>
                <w:rFonts w:hint="eastAsia"/>
              </w:rPr>
              <w:t>00天，</w:t>
            </w:r>
            <w:r>
              <w:rPr>
                <w:rFonts w:hint="eastAsia"/>
                <w:lang w:val="en-US" w:eastAsia="zh-CN"/>
              </w:rPr>
              <w:t>不</w:t>
            </w:r>
            <w:r>
              <w:rPr>
                <w:rFonts w:hint="eastAsia"/>
              </w:rPr>
              <w:t>在厂区食宿。</w:t>
            </w:r>
          </w:p>
          <w:p w14:paraId="754FB51A">
            <w:pPr>
              <w:numPr>
                <w:ilvl w:val="0"/>
                <w:numId w:val="0"/>
              </w:numPr>
              <w:ind w:firstLine="482" w:firstLineChars="200"/>
              <w:rPr>
                <w:b/>
                <w:bCs/>
              </w:rPr>
            </w:pPr>
            <w:r>
              <w:rPr>
                <w:rFonts w:hint="eastAsia"/>
                <w:b/>
                <w:bCs/>
                <w:lang w:val="en-US" w:eastAsia="zh-CN"/>
              </w:rPr>
              <w:t>8、</w:t>
            </w:r>
            <w:r>
              <w:rPr>
                <w:rFonts w:hint="eastAsia"/>
                <w:b/>
                <w:bCs/>
              </w:rPr>
              <w:t>公用工程</w:t>
            </w:r>
          </w:p>
          <w:p w14:paraId="763E4C9D">
            <w:pPr>
              <w:pStyle w:val="16"/>
              <w:ind w:firstLine="480"/>
              <w:rPr>
                <w:b/>
                <w:bCs/>
                <w:u w:val="none"/>
              </w:rPr>
            </w:pPr>
            <w:r>
              <w:rPr>
                <w:rFonts w:hint="eastAsia"/>
                <w:b/>
                <w:bCs/>
                <w:u w:val="none"/>
              </w:rPr>
              <w:t>（1）给</w:t>
            </w:r>
            <w:r>
              <w:rPr>
                <w:rFonts w:hint="eastAsia"/>
                <w:b/>
                <w:bCs/>
                <w:u w:val="none"/>
                <w:lang w:val="en-US" w:eastAsia="zh-CN"/>
              </w:rPr>
              <w:t>排</w:t>
            </w:r>
            <w:r>
              <w:rPr>
                <w:rFonts w:hint="eastAsia"/>
                <w:b/>
                <w:bCs/>
                <w:u w:val="none"/>
              </w:rPr>
              <w:t>水</w:t>
            </w:r>
          </w:p>
          <w:p w14:paraId="71033EF4">
            <w:pPr>
              <w:pStyle w:val="16"/>
              <w:ind w:firstLine="480"/>
              <w:rPr>
                <w:rFonts w:hint="eastAsia"/>
                <w:u w:val="none"/>
              </w:rPr>
            </w:pPr>
            <w:r>
              <w:rPr>
                <w:rFonts w:hint="eastAsia"/>
                <w:u w:val="none"/>
              </w:rPr>
              <w:t>供水由乡镇供水管网统一供应引入，项目用水</w:t>
            </w:r>
            <w:r>
              <w:rPr>
                <w:rFonts w:hint="eastAsia"/>
                <w:u w:val="none"/>
                <w:lang w:val="en-US" w:eastAsia="zh-CN"/>
              </w:rPr>
              <w:t>主要为水喷淋用水和</w:t>
            </w:r>
            <w:r>
              <w:rPr>
                <w:rFonts w:hint="eastAsia"/>
                <w:u w:val="none"/>
              </w:rPr>
              <w:t>生活用水。</w:t>
            </w:r>
          </w:p>
          <w:p w14:paraId="08D9D863">
            <w:pPr>
              <w:pStyle w:val="16"/>
              <w:ind w:firstLine="480"/>
              <w:rPr>
                <w:rFonts w:hint="eastAsia"/>
                <w:u w:val="none"/>
                <w:lang w:val="en-US" w:eastAsia="zh-CN"/>
              </w:rPr>
            </w:pPr>
            <w:r>
              <w:rPr>
                <w:rFonts w:hint="eastAsia"/>
                <w:u w:val="none"/>
              </w:rPr>
              <w:t>①</w:t>
            </w:r>
            <w:r>
              <w:rPr>
                <w:rFonts w:hint="eastAsia"/>
                <w:u w:val="none"/>
                <w:lang w:val="en-US" w:eastAsia="zh-CN"/>
              </w:rPr>
              <w:t>水喷淋用水：本项目设置水喷淋+活性炭装置处理废气，根据企业提供资料，配套水箱有效容积0.8m</w:t>
            </w:r>
            <w:r>
              <w:rPr>
                <w:rFonts w:hint="eastAsia"/>
                <w:u w:val="none"/>
                <w:vertAlign w:val="superscript"/>
                <w:lang w:val="en-US" w:eastAsia="zh-CN"/>
              </w:rPr>
              <w:t>3</w:t>
            </w:r>
            <w:r>
              <w:rPr>
                <w:rFonts w:hint="eastAsia"/>
                <w:u w:val="none"/>
                <w:lang w:val="en-US" w:eastAsia="zh-CN"/>
              </w:rPr>
              <w:t>，设计循环水量为0.8m</w:t>
            </w:r>
            <w:r>
              <w:rPr>
                <w:rFonts w:hint="eastAsia"/>
                <w:u w:val="none"/>
                <w:vertAlign w:val="superscript"/>
                <w:lang w:val="en-US" w:eastAsia="zh-CN"/>
              </w:rPr>
              <w:t>3</w:t>
            </w:r>
            <w:r>
              <w:rPr>
                <w:rFonts w:hint="eastAsia"/>
                <w:u w:val="none"/>
                <w:lang w:val="en-US" w:eastAsia="zh-CN"/>
              </w:rPr>
              <w:t>/h（1920m</w:t>
            </w:r>
            <w:r>
              <w:rPr>
                <w:rFonts w:hint="eastAsia"/>
                <w:u w:val="none"/>
                <w:vertAlign w:val="superscript"/>
                <w:lang w:val="en-US" w:eastAsia="zh-CN"/>
              </w:rPr>
              <w:t>3</w:t>
            </w:r>
            <w:r>
              <w:rPr>
                <w:rFonts w:hint="eastAsia"/>
                <w:u w:val="none"/>
                <w:lang w:val="en-US" w:eastAsia="zh-CN"/>
              </w:rPr>
              <w:t>/a），考虑蒸发损耗为5%，新鲜水补水量0.32m</w:t>
            </w:r>
            <w:r>
              <w:rPr>
                <w:rFonts w:hint="eastAsia"/>
                <w:u w:val="none"/>
                <w:vertAlign w:val="superscript"/>
                <w:lang w:val="en-US" w:eastAsia="zh-CN"/>
              </w:rPr>
              <w:t>3</w:t>
            </w:r>
            <w:r>
              <w:rPr>
                <w:rFonts w:hint="eastAsia"/>
                <w:u w:val="none"/>
                <w:lang w:val="en-US" w:eastAsia="zh-CN"/>
              </w:rPr>
              <w:t>/d（96m</w:t>
            </w:r>
            <w:r>
              <w:rPr>
                <w:rFonts w:hint="eastAsia"/>
                <w:u w:val="none"/>
                <w:vertAlign w:val="superscript"/>
                <w:lang w:val="en-US" w:eastAsia="zh-CN"/>
              </w:rPr>
              <w:t>3</w:t>
            </w:r>
            <w:r>
              <w:rPr>
                <w:rFonts w:hint="eastAsia"/>
                <w:u w:val="none"/>
                <w:lang w:val="en-US" w:eastAsia="zh-CN"/>
              </w:rPr>
              <w:t>/a），循环使用，不外排。</w:t>
            </w:r>
          </w:p>
          <w:p w14:paraId="414EF389">
            <w:pPr>
              <w:pStyle w:val="16"/>
              <w:ind w:firstLine="480"/>
              <w:rPr>
                <w:u w:val="none"/>
              </w:rPr>
            </w:pPr>
            <w:r>
              <w:rPr>
                <w:rFonts w:hint="eastAsia"/>
                <w:u w:val="none"/>
              </w:rPr>
              <w:t>②</w:t>
            </w:r>
            <w:r>
              <w:rPr>
                <w:rFonts w:hint="eastAsia"/>
                <w:u w:val="none"/>
                <w:lang w:val="en-US" w:eastAsia="zh-CN"/>
              </w:rPr>
              <w:t>生活污水：</w:t>
            </w:r>
            <w:r>
              <w:rPr>
                <w:rFonts w:hint="eastAsia"/>
                <w:u w:val="none"/>
              </w:rPr>
              <w:t>根据《湖南省地方标准 用水定额》（DB43/T388-2020）中相关标准，在厂区住宿人员生活用水平均按</w:t>
            </w:r>
            <w:r>
              <w:rPr>
                <w:rFonts w:hint="eastAsia"/>
                <w:u w:val="none"/>
                <w:lang w:val="en-US" w:eastAsia="zh-CN"/>
              </w:rPr>
              <w:t>140</w:t>
            </w:r>
            <w:r>
              <w:rPr>
                <w:rFonts w:hint="eastAsia"/>
                <w:u w:val="none"/>
              </w:rPr>
              <w:t>L/人·天计，本项目劳动定员为1</w:t>
            </w:r>
            <w:r>
              <w:rPr>
                <w:rFonts w:hint="eastAsia"/>
                <w:u w:val="none"/>
                <w:lang w:val="en-US" w:eastAsia="zh-CN"/>
              </w:rPr>
              <w:t>0</w:t>
            </w:r>
            <w:r>
              <w:rPr>
                <w:rFonts w:hint="eastAsia"/>
                <w:u w:val="none"/>
              </w:rPr>
              <w:t>人，则本项目生活用水量为</w:t>
            </w:r>
            <w:r>
              <w:rPr>
                <w:rFonts w:hint="eastAsia"/>
                <w:u w:val="none"/>
                <w:lang w:val="en-US" w:eastAsia="zh-CN"/>
              </w:rPr>
              <w:t>1.4</w:t>
            </w:r>
            <w:r>
              <w:rPr>
                <w:rFonts w:hint="eastAsia"/>
                <w:u w:val="none"/>
              </w:rPr>
              <w:t>m</w:t>
            </w:r>
            <w:r>
              <w:rPr>
                <w:rFonts w:hint="eastAsia"/>
                <w:u w:val="none"/>
                <w:vertAlign w:val="superscript"/>
              </w:rPr>
              <w:t>3</w:t>
            </w:r>
            <w:r>
              <w:rPr>
                <w:rFonts w:hint="eastAsia"/>
                <w:u w:val="none"/>
              </w:rPr>
              <w:t>/d（</w:t>
            </w:r>
            <w:r>
              <w:rPr>
                <w:rFonts w:hint="eastAsia"/>
                <w:u w:val="none"/>
                <w:lang w:val="en-US" w:eastAsia="zh-CN"/>
              </w:rPr>
              <w:t>420</w:t>
            </w:r>
            <w:r>
              <w:rPr>
                <w:rFonts w:hint="eastAsia"/>
                <w:u w:val="none"/>
              </w:rPr>
              <w:t>m</w:t>
            </w:r>
            <w:r>
              <w:rPr>
                <w:rFonts w:hint="eastAsia"/>
                <w:u w:val="none"/>
                <w:vertAlign w:val="superscript"/>
              </w:rPr>
              <w:t>3</w:t>
            </w:r>
            <w:r>
              <w:rPr>
                <w:rFonts w:hint="eastAsia"/>
                <w:u w:val="none"/>
              </w:rPr>
              <w:t>/a）</w:t>
            </w:r>
            <w:r>
              <w:rPr>
                <w:rFonts w:hint="eastAsia"/>
                <w:u w:val="none"/>
                <w:lang w:eastAsia="zh-CN"/>
              </w:rPr>
              <w:t>，</w:t>
            </w:r>
            <w:r>
              <w:rPr>
                <w:rFonts w:hint="eastAsia"/>
                <w:u w:val="none"/>
              </w:rPr>
              <w:t>排污系数的80%计，则生活污水产生量为</w:t>
            </w:r>
            <w:r>
              <w:rPr>
                <w:rFonts w:hint="eastAsia"/>
                <w:u w:val="none"/>
                <w:lang w:val="en-US" w:eastAsia="zh-CN"/>
              </w:rPr>
              <w:t>1.12</w:t>
            </w:r>
            <w:r>
              <w:rPr>
                <w:rFonts w:hint="eastAsia"/>
                <w:u w:val="none"/>
              </w:rPr>
              <w:t>m</w:t>
            </w:r>
            <w:r>
              <w:rPr>
                <w:rFonts w:hint="eastAsia"/>
                <w:u w:val="none"/>
                <w:vertAlign w:val="superscript"/>
              </w:rPr>
              <w:t>3</w:t>
            </w:r>
            <w:r>
              <w:rPr>
                <w:rFonts w:hint="eastAsia"/>
                <w:u w:val="none"/>
              </w:rPr>
              <w:t>/d（</w:t>
            </w:r>
            <w:r>
              <w:rPr>
                <w:rFonts w:hint="eastAsia"/>
                <w:u w:val="none"/>
                <w:lang w:val="en-US" w:eastAsia="zh-CN"/>
              </w:rPr>
              <w:t>336</w:t>
            </w:r>
            <w:r>
              <w:rPr>
                <w:rFonts w:hint="eastAsia"/>
                <w:u w:val="none"/>
              </w:rPr>
              <w:t>m</w:t>
            </w:r>
            <w:r>
              <w:rPr>
                <w:rFonts w:hint="eastAsia"/>
                <w:u w:val="none"/>
                <w:vertAlign w:val="superscript"/>
              </w:rPr>
              <w:t>3</w:t>
            </w:r>
            <w:r>
              <w:rPr>
                <w:rFonts w:hint="eastAsia"/>
                <w:u w:val="none"/>
              </w:rPr>
              <w:t>/a），</w:t>
            </w:r>
            <w:r>
              <w:rPr>
                <w:rFonts w:hint="eastAsia"/>
                <w:u w:val="none"/>
                <w:lang w:val="en-US" w:eastAsia="zh-CN"/>
              </w:rPr>
              <w:t>经</w:t>
            </w:r>
            <w:r>
              <w:rPr>
                <w:rFonts w:hint="eastAsia"/>
                <w:u w:val="none"/>
              </w:rPr>
              <w:t>化粪池处理后</w:t>
            </w:r>
            <w:r>
              <w:rPr>
                <w:rFonts w:hint="eastAsia"/>
                <w:u w:val="none"/>
                <w:lang w:val="en-US" w:eastAsia="zh-CN"/>
              </w:rPr>
              <w:t>用作农肥</w:t>
            </w:r>
            <w:r>
              <w:rPr>
                <w:rFonts w:hint="eastAsia"/>
                <w:u w:val="none"/>
              </w:rPr>
              <w:t>。</w:t>
            </w:r>
          </w:p>
          <w:p w14:paraId="3B55F8F3">
            <w:pPr>
              <w:pStyle w:val="16"/>
              <w:ind w:firstLine="480"/>
              <w:rPr>
                <w:u w:val="none"/>
              </w:rPr>
            </w:pPr>
            <w:r>
              <w:rPr>
                <w:rFonts w:hint="eastAsia"/>
                <w:u w:val="none"/>
              </w:rPr>
              <w:t>项目水平衡图见图2-1。</w:t>
            </w:r>
          </w:p>
          <w:p w14:paraId="464D7524">
            <w:pPr>
              <w:pStyle w:val="16"/>
              <w:ind w:firstLine="0" w:firstLineChars="0"/>
              <w:jc w:val="center"/>
              <w:rPr>
                <w:u w:val="none"/>
              </w:rPr>
            </w:pPr>
            <w:r>
              <w:rPr>
                <w:rFonts w:hint="eastAsia" w:eastAsia="宋体"/>
                <w:u w:val="none"/>
                <w:lang w:eastAsia="zh-CN"/>
              </w:rPr>
              <w:object>
                <v:shape id="_x0000_i1025" o:spt="75" type="#_x0000_t75" style="height:147.5pt;width:385.5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r>
              <w:rPr>
                <w:rStyle w:val="18"/>
                <w:rFonts w:hint="eastAsia"/>
                <w:u w:val="none"/>
              </w:rPr>
              <w:t xml:space="preserve">图2-1  </w:t>
            </w:r>
            <w:r>
              <w:rPr>
                <w:rStyle w:val="18"/>
                <w:rFonts w:hint="eastAsia"/>
                <w:color w:val="auto"/>
                <w:u w:val="none"/>
              </w:rPr>
              <w:t xml:space="preserve">项目水平衡图 </w:t>
            </w:r>
            <w:r>
              <w:rPr>
                <w:rStyle w:val="18"/>
                <w:rFonts w:hint="eastAsia"/>
                <w:u w:val="none"/>
              </w:rPr>
              <w:t xml:space="preserve">  单位：t/a</w:t>
            </w:r>
          </w:p>
          <w:p w14:paraId="6015365C">
            <w:pPr>
              <w:pStyle w:val="16"/>
              <w:ind w:firstLine="480"/>
              <w:rPr>
                <w:b/>
                <w:bCs/>
              </w:rPr>
            </w:pPr>
            <w:r>
              <w:rPr>
                <w:rFonts w:hint="eastAsia"/>
                <w:b/>
                <w:bCs/>
              </w:rPr>
              <w:t>（</w:t>
            </w:r>
            <w:r>
              <w:rPr>
                <w:rFonts w:hint="eastAsia"/>
                <w:b/>
                <w:bCs/>
                <w:lang w:val="en-US" w:eastAsia="zh-CN"/>
              </w:rPr>
              <w:t>2</w:t>
            </w:r>
            <w:r>
              <w:rPr>
                <w:rFonts w:hint="eastAsia"/>
                <w:b/>
                <w:bCs/>
              </w:rPr>
              <w:t>）供电</w:t>
            </w:r>
          </w:p>
          <w:p w14:paraId="1A7BC0F2">
            <w:pPr>
              <w:pStyle w:val="16"/>
              <w:ind w:firstLine="480"/>
            </w:pPr>
            <w:r>
              <w:rPr>
                <w:rFonts w:hint="eastAsia"/>
              </w:rPr>
              <w:t>由乡镇电网供给。</w:t>
            </w:r>
          </w:p>
        </w:tc>
      </w:tr>
      <w:tr w14:paraId="0B07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2B9FC0DE">
            <w:pPr>
              <w:ind w:firstLine="0" w:firstLineChars="0"/>
              <w:jc w:val="center"/>
            </w:pPr>
          </w:p>
          <w:p w14:paraId="058C6465">
            <w:pPr>
              <w:ind w:firstLine="0" w:firstLineChars="0"/>
              <w:jc w:val="center"/>
            </w:pPr>
          </w:p>
          <w:p w14:paraId="593E4292">
            <w:pPr>
              <w:ind w:firstLine="0" w:firstLineChars="0"/>
              <w:jc w:val="center"/>
            </w:pPr>
          </w:p>
          <w:p w14:paraId="6D32709E">
            <w:pPr>
              <w:ind w:firstLine="0" w:firstLineChars="0"/>
            </w:pPr>
            <w:r>
              <w:rPr>
                <w:rFonts w:hint="eastAsia"/>
              </w:rPr>
              <w:t>工</w:t>
            </w:r>
          </w:p>
          <w:p w14:paraId="3CAAC11A">
            <w:pPr>
              <w:ind w:firstLine="0" w:firstLineChars="0"/>
              <w:jc w:val="center"/>
            </w:pPr>
            <w:r>
              <w:rPr>
                <w:rFonts w:hint="eastAsia"/>
              </w:rPr>
              <w:t>艺</w:t>
            </w:r>
          </w:p>
          <w:p w14:paraId="6204E0E3">
            <w:pPr>
              <w:ind w:firstLine="0" w:firstLineChars="0"/>
              <w:jc w:val="center"/>
            </w:pPr>
            <w:r>
              <w:rPr>
                <w:rFonts w:hint="eastAsia"/>
              </w:rPr>
              <w:t>流</w:t>
            </w:r>
          </w:p>
          <w:p w14:paraId="618A73C0">
            <w:pPr>
              <w:ind w:firstLine="0" w:firstLineChars="0"/>
              <w:jc w:val="center"/>
            </w:pPr>
            <w:r>
              <w:rPr>
                <w:rFonts w:hint="eastAsia"/>
              </w:rPr>
              <w:t>程</w:t>
            </w:r>
          </w:p>
          <w:p w14:paraId="609E57B6">
            <w:pPr>
              <w:ind w:firstLine="0" w:firstLineChars="0"/>
              <w:jc w:val="center"/>
            </w:pPr>
            <w:r>
              <w:rPr>
                <w:rFonts w:hint="eastAsia"/>
              </w:rPr>
              <w:t>和</w:t>
            </w:r>
          </w:p>
          <w:p w14:paraId="74C65AD9">
            <w:pPr>
              <w:ind w:firstLine="0" w:firstLineChars="0"/>
              <w:jc w:val="center"/>
            </w:pPr>
            <w:r>
              <w:rPr>
                <w:rFonts w:hint="eastAsia"/>
              </w:rPr>
              <w:t>产</w:t>
            </w:r>
          </w:p>
          <w:p w14:paraId="550A3226">
            <w:pPr>
              <w:ind w:firstLine="0" w:firstLineChars="0"/>
              <w:jc w:val="center"/>
            </w:pPr>
            <w:r>
              <w:rPr>
                <w:rFonts w:hint="eastAsia"/>
              </w:rPr>
              <w:t>排</w:t>
            </w:r>
          </w:p>
          <w:p w14:paraId="583B3CC2">
            <w:pPr>
              <w:ind w:firstLine="0" w:firstLineChars="0"/>
              <w:jc w:val="center"/>
            </w:pPr>
            <w:r>
              <w:rPr>
                <w:rFonts w:hint="eastAsia"/>
              </w:rPr>
              <w:t>污</w:t>
            </w:r>
          </w:p>
          <w:p w14:paraId="72E09B96">
            <w:pPr>
              <w:ind w:firstLine="0" w:firstLineChars="0"/>
              <w:jc w:val="center"/>
            </w:pPr>
            <w:r>
              <w:rPr>
                <w:rFonts w:hint="eastAsia"/>
              </w:rPr>
              <w:t>环</w:t>
            </w:r>
          </w:p>
          <w:p w14:paraId="729069B3">
            <w:pPr>
              <w:ind w:firstLine="0" w:firstLineChars="0"/>
              <w:jc w:val="center"/>
            </w:pPr>
            <w:r>
              <w:rPr>
                <w:rFonts w:hint="eastAsia"/>
              </w:rPr>
              <w:t>节</w:t>
            </w:r>
          </w:p>
        </w:tc>
        <w:tc>
          <w:tcPr>
            <w:tcW w:w="8074" w:type="dxa"/>
          </w:tcPr>
          <w:p w14:paraId="3CB30557">
            <w:pPr>
              <w:numPr>
                <w:ilvl w:val="0"/>
                <w:numId w:val="2"/>
              </w:numPr>
              <w:ind w:firstLine="482"/>
              <w:rPr>
                <w:b/>
                <w:bCs/>
              </w:rPr>
            </w:pPr>
            <w:r>
              <w:rPr>
                <w:b/>
                <w:bCs/>
              </w:rPr>
              <w:t>施工期工艺流程图及产污环节</w:t>
            </w:r>
          </w:p>
          <w:p w14:paraId="05F972EC">
            <w:pPr>
              <w:pStyle w:val="16"/>
              <w:bidi w:val="0"/>
              <w:rPr>
                <w:rFonts w:hint="default"/>
                <w:lang w:val="en-US" w:eastAsia="zh-CN"/>
              </w:rPr>
            </w:pPr>
            <w:r>
              <w:t>本项目租赁</w:t>
            </w:r>
            <w:r>
              <w:rPr>
                <w:rFonts w:hint="eastAsia"/>
                <w:lang w:eastAsia="zh-CN"/>
              </w:rPr>
              <w:t>岳阳县筻口镇原华福炮厂</w:t>
            </w:r>
            <w:r>
              <w:rPr>
                <w:rFonts w:hint="eastAsia"/>
                <w:lang w:val="en-US" w:eastAsia="zh-CN"/>
              </w:rPr>
              <w:t>已废弃部分厂房</w:t>
            </w:r>
            <w:r>
              <w:t>进行生产，</w:t>
            </w:r>
            <w:r>
              <w:rPr>
                <w:rFonts w:hint="default"/>
                <w:lang w:val="en-US" w:eastAsia="zh-CN"/>
              </w:rPr>
              <w:t>施工期只在厂房中进行设备安装，污染物产生量较小，故项目施工期不会对周围环境产生明显影响，本次评价不对施工期影响进行分析。</w:t>
            </w:r>
          </w:p>
          <w:p w14:paraId="3A92E71A">
            <w:pPr>
              <w:ind w:firstLine="482"/>
              <w:rPr>
                <w:b/>
                <w:bCs/>
              </w:rPr>
            </w:pPr>
            <w:r>
              <w:rPr>
                <w:rFonts w:hint="eastAsia"/>
                <w:b/>
                <w:bCs/>
              </w:rPr>
              <w:t>2、营运期</w:t>
            </w:r>
            <w:r>
              <w:rPr>
                <w:b/>
                <w:bCs/>
              </w:rPr>
              <w:t>工艺流程图及产污环节</w:t>
            </w:r>
          </w:p>
          <w:p w14:paraId="023EDB10">
            <w:pPr>
              <w:pStyle w:val="16"/>
              <w:ind w:firstLine="482"/>
            </w:pPr>
            <w:r>
              <w:rPr>
                <w:rFonts w:hint="eastAsia"/>
                <w:b/>
                <w:bCs/>
                <w:lang w:val="en-US" w:eastAsia="zh-CN"/>
              </w:rPr>
              <w:t>生产</w:t>
            </w:r>
            <w:r>
              <w:rPr>
                <w:rFonts w:hint="eastAsia"/>
                <w:b/>
                <w:bCs/>
              </w:rPr>
              <w:t>工艺及产污环节详见下图。</w:t>
            </w:r>
          </w:p>
          <w:p w14:paraId="1EB86EB4">
            <w:pPr>
              <w:pStyle w:val="17"/>
              <w:rPr>
                <w:rFonts w:hint="eastAsia" w:eastAsia="宋体"/>
                <w:lang w:eastAsia="zh-CN"/>
              </w:rPr>
            </w:pPr>
          </w:p>
          <w:p w14:paraId="11F5A249">
            <w:pPr>
              <w:pStyle w:val="17"/>
              <w:rPr>
                <w:rFonts w:hint="eastAsia" w:eastAsia="宋体"/>
                <w:lang w:eastAsia="zh-CN"/>
              </w:rPr>
            </w:pPr>
            <w:r>
              <w:rPr>
                <w:rFonts w:hint="eastAsia" w:eastAsia="宋体"/>
                <w:lang w:eastAsia="zh-CN"/>
              </w:rPr>
              <w:object>
                <v:shape id="_x0000_i1026" o:spt="75" type="#_x0000_t75" style="height:138pt;width:359.25pt;" o:ole="t" filled="f" o:preferrelative="t" stroked="f" coordsize="21600,21600">
                  <v:path/>
                  <v:fill on="f" focussize="0,0"/>
                  <v:stroke on="f"/>
                  <v:imagedata r:id="rId17" o:title=""/>
                  <o:lock v:ext="edit" aspectratio="t"/>
                  <w10:wrap type="none"/>
                  <w10:anchorlock/>
                </v:shape>
                <o:OLEObject Type="Embed" ProgID="Visio.Drawing.11" ShapeID="_x0000_i1026" DrawAspect="Content" ObjectID="_1468075726" r:id="rId16">
                  <o:LockedField>false</o:LockedField>
                </o:OLEObject>
              </w:object>
            </w:r>
          </w:p>
          <w:p w14:paraId="2ED4F97C">
            <w:pPr>
              <w:pStyle w:val="17"/>
            </w:pPr>
            <w:r>
              <w:rPr>
                <w:rFonts w:hint="eastAsia"/>
              </w:rPr>
              <w:t>图2-</w:t>
            </w:r>
            <w:r>
              <w:rPr>
                <w:rFonts w:hint="eastAsia"/>
                <w:lang w:val="en-US" w:eastAsia="zh-CN"/>
              </w:rPr>
              <w:t>2</w:t>
            </w:r>
            <w:r>
              <w:rPr>
                <w:rFonts w:hint="eastAsia"/>
              </w:rPr>
              <w:t xml:space="preserve">  </w:t>
            </w:r>
            <w:r>
              <w:rPr>
                <w:rFonts w:hint="eastAsia"/>
                <w:lang w:val="en-US" w:eastAsia="zh-CN"/>
              </w:rPr>
              <w:t>生产</w:t>
            </w:r>
            <w:r>
              <w:rPr>
                <w:rFonts w:hint="eastAsia"/>
              </w:rPr>
              <w:t>工艺流程图</w:t>
            </w:r>
          </w:p>
          <w:p w14:paraId="04A67B6D">
            <w:pPr>
              <w:pStyle w:val="16"/>
              <w:ind w:firstLine="480"/>
              <w:rPr>
                <w:b/>
                <w:bCs/>
              </w:rPr>
            </w:pPr>
            <w:r>
              <w:rPr>
                <w:rFonts w:hint="eastAsia"/>
                <w:b/>
                <w:bCs/>
              </w:rPr>
              <w:t>生产工艺简述：</w:t>
            </w:r>
          </w:p>
          <w:p w14:paraId="160ECEAC">
            <w:pPr>
              <w:pStyle w:val="16"/>
              <w:ind w:firstLine="480"/>
              <w:rPr>
                <w:rFonts w:hint="default" w:eastAsia="宋体"/>
                <w:lang w:val="en-US" w:eastAsia="zh-CN"/>
              </w:rPr>
            </w:pPr>
            <w:r>
              <w:rPr>
                <w:rFonts w:hint="eastAsia"/>
                <w:lang w:val="en-US" w:eastAsia="zh-CN"/>
              </w:rPr>
              <w:t>玻璃纤维尾纱进入破碎挤出机破碎后加入乳液进行挤压切割成颗粒状，此过程无需加热，通过成型生物质热风炉100~120℃加热空气后流化床烘干将水分蒸发，烘干时间为3分钟左右，将合格成品包装后入库待售。</w:t>
            </w:r>
          </w:p>
        </w:tc>
      </w:tr>
      <w:tr w14:paraId="0ED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dxa"/>
            <w:vAlign w:val="center"/>
          </w:tcPr>
          <w:p w14:paraId="15D47A04">
            <w:pPr>
              <w:spacing w:line="240" w:lineRule="auto"/>
              <w:ind w:firstLine="0" w:firstLineChars="0"/>
              <w:jc w:val="center"/>
            </w:pPr>
            <w:r>
              <w:rPr>
                <w:rFonts w:hint="eastAsia"/>
              </w:rPr>
              <w:t>与项目有关的原有环境污染问题</w:t>
            </w:r>
          </w:p>
        </w:tc>
        <w:tc>
          <w:tcPr>
            <w:tcW w:w="8074" w:type="dxa"/>
            <w:vAlign w:val="center"/>
          </w:tcPr>
          <w:p w14:paraId="37BA892E">
            <w:pPr>
              <w:pStyle w:val="16"/>
              <w:ind w:left="0" w:leftChars="0" w:firstLine="0" w:firstLineChars="0"/>
              <w:rPr>
                <w:rFonts w:hint="eastAsia"/>
              </w:rPr>
            </w:pPr>
          </w:p>
          <w:p w14:paraId="0AA60D99">
            <w:pPr>
              <w:pStyle w:val="16"/>
              <w:ind w:firstLine="480"/>
            </w:pPr>
            <w:r>
              <w:rPr>
                <w:rFonts w:hint="eastAsia"/>
              </w:rPr>
              <w:t>本项目</w:t>
            </w:r>
            <w:r>
              <w:t>租赁</w:t>
            </w:r>
            <w:r>
              <w:rPr>
                <w:rFonts w:hint="eastAsia"/>
                <w:lang w:eastAsia="zh-CN"/>
              </w:rPr>
              <w:t>岳阳县筻口镇原华福炮厂</w:t>
            </w:r>
            <w:r>
              <w:rPr>
                <w:rFonts w:hint="eastAsia"/>
                <w:lang w:val="en-US" w:eastAsia="zh-CN"/>
              </w:rPr>
              <w:t>已废弃部分厂房生产</w:t>
            </w:r>
            <w:r>
              <w:t>，</w:t>
            </w:r>
            <w:r>
              <w:rPr>
                <w:rFonts w:hint="eastAsia"/>
              </w:rPr>
              <w:t>地面硬化，</w:t>
            </w:r>
            <w:r>
              <w:t>不存在土壤污染问题。没有与本次评价有关的原有环境污染问题。</w:t>
            </w:r>
          </w:p>
        </w:tc>
      </w:tr>
    </w:tbl>
    <w:p w14:paraId="377A44EF">
      <w:pPr>
        <w:ind w:firstLine="480"/>
      </w:pPr>
      <w:r>
        <w:rPr>
          <w:rFonts w:hint="eastAsia"/>
        </w:rPr>
        <w:br w:type="page"/>
      </w:r>
    </w:p>
    <w:p w14:paraId="756C4E76">
      <w:pPr>
        <w:pStyle w:val="2"/>
        <w:numPr>
          <w:ilvl w:val="0"/>
          <w:numId w:val="3"/>
        </w:numPr>
      </w:pPr>
      <w:bookmarkStart w:id="10" w:name="_Toc20279"/>
      <w:bookmarkStart w:id="11" w:name="_Toc30241"/>
      <w:r>
        <w:t>区域环境质量现状、环境保护目标及评价标准</w:t>
      </w:r>
      <w:bookmarkEnd w:id="10"/>
      <w:bookmarkEnd w:id="1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14:paraId="2ECD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AC107A7">
            <w:pPr>
              <w:ind w:firstLine="0" w:firstLineChars="0"/>
              <w:jc w:val="center"/>
            </w:pPr>
            <w:r>
              <w:rPr>
                <w:rFonts w:hint="eastAsia"/>
              </w:rPr>
              <w:t>区域环境质量现状</w:t>
            </w:r>
          </w:p>
        </w:tc>
        <w:tc>
          <w:tcPr>
            <w:tcW w:w="8115" w:type="dxa"/>
          </w:tcPr>
          <w:p w14:paraId="6E961BDA">
            <w:pPr>
              <w:ind w:firstLine="482"/>
              <w:rPr>
                <w:b/>
                <w:bCs/>
              </w:rPr>
            </w:pPr>
            <w:r>
              <w:rPr>
                <w:rFonts w:hint="eastAsia"/>
                <w:b/>
                <w:bCs/>
              </w:rPr>
              <w:t>1、环境空气质量现状</w:t>
            </w:r>
          </w:p>
          <w:p w14:paraId="56850507">
            <w:pPr>
              <w:pStyle w:val="16"/>
              <w:ind w:firstLine="480"/>
              <w:rPr>
                <w:rFonts w:hint="eastAsia"/>
                <w:b/>
                <w:bCs/>
              </w:rPr>
            </w:pPr>
            <w:r>
              <w:rPr>
                <w:rFonts w:hint="eastAsia"/>
                <w:b/>
                <w:bCs/>
              </w:rPr>
              <w:t>（1）基本污染物</w:t>
            </w:r>
          </w:p>
          <w:p w14:paraId="5F7F6134">
            <w:pPr>
              <w:pStyle w:val="16"/>
              <w:ind w:firstLine="480"/>
            </w:pPr>
            <w:r>
              <w:rPr>
                <w:rFonts w:hint="eastAsia"/>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479ABD9C">
            <w:pPr>
              <w:pStyle w:val="16"/>
              <w:ind w:firstLine="480"/>
            </w:pPr>
            <w:r>
              <w:rPr>
                <w:rFonts w:hint="eastAsia"/>
              </w:rPr>
              <w:t>根据《环境影响评价技术导则 大气环境》（HJ2.2-2018）中“6.21项目所在区域达标判定，优先采用评价基准年国家或地方生态环境主管部门公布的数据质量公告或环境质量报告中的数据或结论”。本次评价引用岳阳市生态环境主管部门已公布的</w:t>
            </w:r>
            <w:r>
              <w:rPr>
                <w:rFonts w:hint="eastAsia"/>
                <w:lang w:eastAsia="zh-CN"/>
              </w:rPr>
              <w:t>《</w:t>
            </w:r>
            <w:r>
              <w:rPr>
                <w:rFonts w:hint="eastAsia"/>
              </w:rPr>
              <w:t>岳阳市202</w:t>
            </w:r>
            <w:r>
              <w:rPr>
                <w:rFonts w:hint="eastAsia"/>
                <w:lang w:val="en-US" w:eastAsia="zh-CN"/>
              </w:rPr>
              <w:t>4</w:t>
            </w:r>
            <w:r>
              <w:rPr>
                <w:rFonts w:hint="eastAsia"/>
              </w:rPr>
              <w:t>年度生态环境质量公报</w:t>
            </w:r>
            <w:r>
              <w:rPr>
                <w:rFonts w:hint="eastAsia"/>
                <w:lang w:eastAsia="zh-CN"/>
              </w:rPr>
              <w:t>》</w:t>
            </w:r>
            <w:r>
              <w:rPr>
                <w:rFonts w:hint="eastAsia"/>
              </w:rPr>
              <w:t>中</w:t>
            </w:r>
            <w:r>
              <w:rPr>
                <w:rFonts w:hint="eastAsia"/>
                <w:lang w:eastAsia="zh-CN"/>
              </w:rPr>
              <w:t>“</w:t>
            </w:r>
            <w:r>
              <w:rPr>
                <w:rFonts w:hint="eastAsia"/>
              </w:rPr>
              <w:t>岳阳县</w:t>
            </w:r>
            <w:r>
              <w:rPr>
                <w:rFonts w:hint="eastAsia"/>
                <w:lang w:eastAsia="zh-CN"/>
              </w:rPr>
              <w:t>”</w:t>
            </w:r>
            <w:r>
              <w:rPr>
                <w:rFonts w:hint="eastAsia"/>
              </w:rPr>
              <w:t>监测数据，具体监测数据统计详见下表。</w:t>
            </w:r>
          </w:p>
          <w:p w14:paraId="7BF6AAEE">
            <w:pPr>
              <w:pStyle w:val="17"/>
            </w:pPr>
            <w:r>
              <w:rPr>
                <w:rFonts w:hint="eastAsia"/>
              </w:rPr>
              <w:t>表3-1  基本污染物环境质量现状统计表</w:t>
            </w:r>
          </w:p>
          <w:tbl>
            <w:tblPr>
              <w:tblStyle w:val="11"/>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077"/>
              <w:gridCol w:w="1162"/>
              <w:gridCol w:w="1136"/>
              <w:gridCol w:w="853"/>
              <w:gridCol w:w="739"/>
            </w:tblGrid>
            <w:tr w14:paraId="1AB5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6A3CC388">
                  <w:pPr>
                    <w:pStyle w:val="15"/>
                  </w:pPr>
                  <w:r>
                    <w:rPr>
                      <w:rFonts w:hint="eastAsia"/>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4A2A19C8">
                  <w:pPr>
                    <w:pStyle w:val="15"/>
                  </w:pPr>
                  <w:r>
                    <w:rPr>
                      <w:rFonts w:hint="eastAsia"/>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0996E5DE">
                  <w:pPr>
                    <w:pStyle w:val="15"/>
                  </w:pPr>
                  <w:r>
                    <w:rPr>
                      <w:rFonts w:hint="eastAsia"/>
                    </w:rPr>
                    <w:t>现状浓度（</w:t>
                  </w:r>
                  <w:r>
                    <w:t>ug/m</w:t>
                  </w:r>
                  <w:r>
                    <w:rPr>
                      <w:vertAlign w:val="superscript"/>
                    </w:rPr>
                    <w:t>3</w:t>
                  </w:r>
                  <w:r>
                    <w:rPr>
                      <w:rFonts w:hint="eastAsia"/>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255176A0">
                  <w:pPr>
                    <w:pStyle w:val="15"/>
                  </w:pPr>
                  <w:r>
                    <w:rPr>
                      <w:rFonts w:hint="eastAsia"/>
                    </w:rPr>
                    <w:t>标准值（</w:t>
                  </w:r>
                  <w:r>
                    <w:t>ug/m</w:t>
                  </w:r>
                  <w:r>
                    <w:rPr>
                      <w:vertAlign w:val="superscript"/>
                    </w:rPr>
                    <w:t>3</w:t>
                  </w:r>
                  <w:r>
                    <w:rPr>
                      <w:rFonts w:hint="eastAsia"/>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31F507FF">
                  <w:pPr>
                    <w:pStyle w:val="15"/>
                  </w:pPr>
                  <w:r>
                    <w:rPr>
                      <w:rFonts w:hint="eastAsia"/>
                    </w:rPr>
                    <w:t>占标率（</w:t>
                  </w:r>
                  <w:r>
                    <w:t>%</w:t>
                  </w:r>
                  <w:r>
                    <w:rPr>
                      <w:rFonts w:hint="eastAsia"/>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3C3C1E17">
                  <w:pPr>
                    <w:pStyle w:val="15"/>
                  </w:pPr>
                  <w:r>
                    <w:rPr>
                      <w:rFonts w:hint="eastAsia"/>
                    </w:rPr>
                    <w:t>达标情况</w:t>
                  </w:r>
                </w:p>
              </w:tc>
            </w:tr>
            <w:tr w14:paraId="2717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7243DE73">
                  <w:pPr>
                    <w:pStyle w:val="15"/>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4E68AB0C">
                  <w:pPr>
                    <w:pStyle w:val="15"/>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3395674A">
                  <w:pPr>
                    <w:pStyle w:val="15"/>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7B359268">
                  <w:pPr>
                    <w:pStyle w:val="15"/>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632352BC">
                  <w:pPr>
                    <w:pStyle w:val="15"/>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5C0E116A">
                  <w:pPr>
                    <w:pStyle w:val="15"/>
                  </w:pPr>
                </w:p>
              </w:tc>
            </w:tr>
            <w:tr w14:paraId="52D6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5DA7C94">
                  <w:pPr>
                    <w:pStyle w:val="15"/>
                    <w:rPr>
                      <w:szCs w:val="21"/>
                    </w:rPr>
                  </w:pPr>
                  <w:r>
                    <w:t>PM</w:t>
                  </w:r>
                  <w:r>
                    <w:rPr>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672DF952">
                  <w:pPr>
                    <w:pStyle w:val="15"/>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7D2A8A1">
                  <w:pPr>
                    <w:pStyle w:val="15"/>
                    <w:rPr>
                      <w:rFonts w:hint="eastAsia" w:eastAsia="宋体"/>
                      <w:lang w:eastAsia="zh-CN"/>
                    </w:rPr>
                  </w:pPr>
                  <w:r>
                    <w:rPr>
                      <w:rFonts w:hint="eastAsia"/>
                    </w:rPr>
                    <w:t>3</w:t>
                  </w:r>
                  <w:r>
                    <w:rPr>
                      <w:rFonts w:hint="eastAsia"/>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415FE136">
                  <w:pPr>
                    <w:pStyle w:val="15"/>
                  </w:pPr>
                  <w:r>
                    <w:t>35</w:t>
                  </w:r>
                </w:p>
              </w:tc>
              <w:tc>
                <w:tcPr>
                  <w:tcW w:w="555" w:type="pct"/>
                  <w:tcBorders>
                    <w:top w:val="single" w:color="auto" w:sz="4" w:space="0"/>
                    <w:left w:val="single" w:color="auto" w:sz="4" w:space="0"/>
                    <w:bottom w:val="single" w:color="auto" w:sz="4" w:space="0"/>
                    <w:right w:val="single" w:color="auto" w:sz="4" w:space="0"/>
                  </w:tcBorders>
                  <w:vAlign w:val="center"/>
                </w:tcPr>
                <w:p w14:paraId="3AE80881">
                  <w:pPr>
                    <w:pStyle w:val="15"/>
                    <w:rPr>
                      <w:rFonts w:hint="default" w:eastAsia="宋体"/>
                      <w:lang w:val="en-US" w:eastAsia="zh-CN"/>
                    </w:rPr>
                  </w:pPr>
                  <w:r>
                    <w:rPr>
                      <w:rFonts w:hint="eastAsia"/>
                    </w:rPr>
                    <w:t>9</w:t>
                  </w:r>
                  <w:r>
                    <w:rPr>
                      <w:rFonts w:hint="eastAsia"/>
                      <w:lang w:val="en-US" w:eastAsia="zh-CN"/>
                    </w:rPr>
                    <w:t>4.3</w:t>
                  </w:r>
                </w:p>
              </w:tc>
              <w:tc>
                <w:tcPr>
                  <w:tcW w:w="482" w:type="pct"/>
                  <w:tcBorders>
                    <w:top w:val="single" w:color="auto" w:sz="4" w:space="0"/>
                    <w:left w:val="single" w:color="auto" w:sz="4" w:space="0"/>
                    <w:bottom w:val="single" w:color="auto" w:sz="4" w:space="0"/>
                    <w:right w:val="single" w:color="auto" w:sz="4" w:space="0"/>
                  </w:tcBorders>
                  <w:vAlign w:val="center"/>
                </w:tcPr>
                <w:p w14:paraId="1A94EF4F">
                  <w:pPr>
                    <w:pStyle w:val="15"/>
                  </w:pPr>
                  <w:r>
                    <w:rPr>
                      <w:rFonts w:hint="eastAsia"/>
                    </w:rPr>
                    <w:t>达标</w:t>
                  </w:r>
                </w:p>
              </w:tc>
            </w:tr>
            <w:tr w14:paraId="184E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11BD2193">
                  <w:pPr>
                    <w:pStyle w:val="15"/>
                    <w:rPr>
                      <w:szCs w:val="21"/>
                    </w:rPr>
                  </w:pPr>
                  <w:r>
                    <w:t>PM</w:t>
                  </w:r>
                  <w:r>
                    <w:rPr>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5E4DD212">
                  <w:pPr>
                    <w:pStyle w:val="15"/>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0791D9B">
                  <w:pPr>
                    <w:pStyle w:val="15"/>
                    <w:rPr>
                      <w:rFonts w:hint="default" w:eastAsia="宋体"/>
                      <w:szCs w:val="21"/>
                      <w:lang w:val="en-US" w:eastAsia="zh-CN"/>
                    </w:rPr>
                  </w:pPr>
                  <w:r>
                    <w:rPr>
                      <w:rFonts w:hint="eastAsia"/>
                      <w:szCs w:val="21"/>
                      <w:lang w:val="en-US" w:eastAsia="zh-CN"/>
                    </w:rPr>
                    <w:t>45</w:t>
                  </w:r>
                </w:p>
              </w:tc>
              <w:tc>
                <w:tcPr>
                  <w:tcW w:w="680" w:type="pct"/>
                  <w:tcBorders>
                    <w:top w:val="single" w:color="auto" w:sz="4" w:space="0"/>
                    <w:left w:val="single" w:color="auto" w:sz="4" w:space="0"/>
                    <w:bottom w:val="single" w:color="auto" w:sz="4" w:space="0"/>
                    <w:right w:val="single" w:color="auto" w:sz="4" w:space="0"/>
                  </w:tcBorders>
                  <w:vAlign w:val="center"/>
                </w:tcPr>
                <w:p w14:paraId="1E5F8762">
                  <w:pPr>
                    <w:pStyle w:val="15"/>
                    <w:rPr>
                      <w:szCs w:val="21"/>
                    </w:rPr>
                  </w:pPr>
                  <w:r>
                    <w:t>70</w:t>
                  </w:r>
                </w:p>
              </w:tc>
              <w:tc>
                <w:tcPr>
                  <w:tcW w:w="555" w:type="pct"/>
                  <w:tcBorders>
                    <w:top w:val="single" w:color="auto" w:sz="4" w:space="0"/>
                    <w:left w:val="single" w:color="auto" w:sz="4" w:space="0"/>
                    <w:bottom w:val="single" w:color="auto" w:sz="4" w:space="0"/>
                    <w:right w:val="single" w:color="auto" w:sz="4" w:space="0"/>
                  </w:tcBorders>
                  <w:vAlign w:val="center"/>
                </w:tcPr>
                <w:p w14:paraId="475642EA">
                  <w:pPr>
                    <w:pStyle w:val="15"/>
                    <w:rPr>
                      <w:rFonts w:hint="default" w:eastAsia="宋体"/>
                      <w:szCs w:val="21"/>
                      <w:lang w:val="en-US" w:eastAsia="zh-CN"/>
                    </w:rPr>
                  </w:pPr>
                  <w:r>
                    <w:rPr>
                      <w:rFonts w:hint="eastAsia"/>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15172E55">
                  <w:pPr>
                    <w:pStyle w:val="15"/>
                    <w:rPr>
                      <w:szCs w:val="21"/>
                    </w:rPr>
                  </w:pPr>
                  <w:r>
                    <w:rPr>
                      <w:rFonts w:hint="eastAsia"/>
                    </w:rPr>
                    <w:t>达标</w:t>
                  </w:r>
                </w:p>
              </w:tc>
            </w:tr>
            <w:tr w14:paraId="1DE1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AA0A952">
                  <w:pPr>
                    <w:pStyle w:val="15"/>
                    <w:rPr>
                      <w:szCs w:val="21"/>
                    </w:rPr>
                  </w:pPr>
                  <w:r>
                    <w:t>O</w:t>
                  </w:r>
                  <w:r>
                    <w:rPr>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7B1585A8">
                  <w:pPr>
                    <w:pStyle w:val="15"/>
                    <w:rPr>
                      <w:szCs w:val="21"/>
                    </w:rPr>
                  </w:pPr>
                  <w:r>
                    <w:t>90</w:t>
                  </w:r>
                  <w:r>
                    <w:rPr>
                      <w:rFonts w:hint="eastAsia"/>
                    </w:rPr>
                    <w:t>百分位数</w:t>
                  </w:r>
                  <w:r>
                    <w:t>8</w:t>
                  </w:r>
                  <w:r>
                    <w:rPr>
                      <w:rFonts w:hint="eastAsia"/>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5C3008F">
                  <w:pPr>
                    <w:pStyle w:val="15"/>
                    <w:rPr>
                      <w:rFonts w:hint="default" w:eastAsia="宋体"/>
                      <w:szCs w:val="21"/>
                      <w:lang w:val="en-US" w:eastAsia="zh-CN"/>
                    </w:rPr>
                  </w:pPr>
                  <w:r>
                    <w:rPr>
                      <w:rFonts w:hint="eastAsia"/>
                    </w:rPr>
                    <w:t>1</w:t>
                  </w:r>
                  <w:r>
                    <w:rPr>
                      <w:rFonts w:hint="eastAsia"/>
                      <w:lang w:val="en-US" w:eastAsia="zh-CN"/>
                    </w:rPr>
                    <w:t>42</w:t>
                  </w:r>
                </w:p>
              </w:tc>
              <w:tc>
                <w:tcPr>
                  <w:tcW w:w="680" w:type="pct"/>
                  <w:tcBorders>
                    <w:top w:val="single" w:color="auto" w:sz="4" w:space="0"/>
                    <w:left w:val="single" w:color="auto" w:sz="4" w:space="0"/>
                    <w:bottom w:val="single" w:color="auto" w:sz="4" w:space="0"/>
                    <w:right w:val="single" w:color="auto" w:sz="4" w:space="0"/>
                  </w:tcBorders>
                  <w:vAlign w:val="center"/>
                </w:tcPr>
                <w:p w14:paraId="1D9F5544">
                  <w:pPr>
                    <w:pStyle w:val="15"/>
                    <w:rPr>
                      <w:rFonts w:hint="default" w:eastAsia="宋体"/>
                      <w:szCs w:val="21"/>
                      <w:lang w:val="en-US" w:eastAsia="zh-CN"/>
                    </w:rPr>
                  </w:pPr>
                  <w:r>
                    <w:t>1</w:t>
                  </w:r>
                  <w:r>
                    <w:rPr>
                      <w:rFonts w:hint="eastAsia"/>
                      <w:lang w:val="en-US" w:eastAsia="zh-CN"/>
                    </w:rPr>
                    <w:t>60</w:t>
                  </w:r>
                </w:p>
              </w:tc>
              <w:tc>
                <w:tcPr>
                  <w:tcW w:w="555" w:type="pct"/>
                  <w:tcBorders>
                    <w:top w:val="single" w:color="auto" w:sz="4" w:space="0"/>
                    <w:left w:val="single" w:color="auto" w:sz="4" w:space="0"/>
                    <w:bottom w:val="single" w:color="auto" w:sz="4" w:space="0"/>
                    <w:right w:val="single" w:color="auto" w:sz="4" w:space="0"/>
                  </w:tcBorders>
                  <w:vAlign w:val="center"/>
                </w:tcPr>
                <w:p w14:paraId="378B675C">
                  <w:pPr>
                    <w:pStyle w:val="15"/>
                    <w:rPr>
                      <w:rFonts w:hint="default" w:eastAsia="宋体"/>
                      <w:szCs w:val="21"/>
                      <w:lang w:val="en-US" w:eastAsia="zh-CN"/>
                    </w:rPr>
                  </w:pPr>
                  <w:r>
                    <w:rPr>
                      <w:rFonts w:hint="eastAsia"/>
                      <w:szCs w:val="21"/>
                    </w:rPr>
                    <w:t>8</w:t>
                  </w:r>
                  <w:r>
                    <w:rPr>
                      <w:rFonts w:hint="eastAsia"/>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551D7986">
                  <w:pPr>
                    <w:pStyle w:val="15"/>
                    <w:rPr>
                      <w:szCs w:val="21"/>
                    </w:rPr>
                  </w:pPr>
                  <w:r>
                    <w:rPr>
                      <w:rFonts w:hint="eastAsia"/>
                    </w:rPr>
                    <w:t>达标</w:t>
                  </w:r>
                </w:p>
              </w:tc>
            </w:tr>
            <w:tr w14:paraId="2157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594497D">
                  <w:pPr>
                    <w:pStyle w:val="15"/>
                  </w:pPr>
                  <w:r>
                    <w:t>NO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2A3A5ED4">
                  <w:pPr>
                    <w:pStyle w:val="15"/>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6A00C665">
                  <w:pPr>
                    <w:pStyle w:val="15"/>
                    <w:rPr>
                      <w:rFonts w:hint="default" w:eastAsia="宋体"/>
                      <w:lang w:val="en-US" w:eastAsia="zh-CN"/>
                    </w:rPr>
                  </w:pPr>
                  <w:r>
                    <w:rPr>
                      <w:rFonts w:hint="eastAsia"/>
                      <w:lang w:val="en-US" w:eastAsia="zh-CN"/>
                    </w:rPr>
                    <w:t>16</w:t>
                  </w:r>
                </w:p>
              </w:tc>
              <w:tc>
                <w:tcPr>
                  <w:tcW w:w="680" w:type="pct"/>
                  <w:tcBorders>
                    <w:top w:val="single" w:color="auto" w:sz="4" w:space="0"/>
                    <w:left w:val="single" w:color="auto" w:sz="4" w:space="0"/>
                    <w:bottom w:val="single" w:color="auto" w:sz="4" w:space="0"/>
                    <w:right w:val="single" w:color="auto" w:sz="4" w:space="0"/>
                  </w:tcBorders>
                  <w:vAlign w:val="center"/>
                </w:tcPr>
                <w:p w14:paraId="311E6A97">
                  <w:pPr>
                    <w:pStyle w:val="15"/>
                  </w:pPr>
                  <w:r>
                    <w:t>40</w:t>
                  </w:r>
                </w:p>
              </w:tc>
              <w:tc>
                <w:tcPr>
                  <w:tcW w:w="555" w:type="pct"/>
                  <w:tcBorders>
                    <w:top w:val="single" w:color="auto" w:sz="4" w:space="0"/>
                    <w:left w:val="single" w:color="auto" w:sz="4" w:space="0"/>
                    <w:bottom w:val="single" w:color="auto" w:sz="4" w:space="0"/>
                    <w:right w:val="single" w:color="auto" w:sz="4" w:space="0"/>
                  </w:tcBorders>
                  <w:vAlign w:val="center"/>
                </w:tcPr>
                <w:p w14:paraId="413457A2">
                  <w:pPr>
                    <w:pStyle w:val="15"/>
                    <w:rPr>
                      <w:rFonts w:hint="eastAsia" w:eastAsia="宋体"/>
                      <w:lang w:eastAsia="zh-CN"/>
                    </w:rPr>
                  </w:pPr>
                  <w:r>
                    <w:rPr>
                      <w:rFonts w:hint="eastAsia"/>
                    </w:rPr>
                    <w:t>4</w:t>
                  </w:r>
                  <w:r>
                    <w:rPr>
                      <w:rFonts w:hint="eastAsia"/>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F9BF800">
                  <w:pPr>
                    <w:pStyle w:val="15"/>
                  </w:pPr>
                  <w:r>
                    <w:rPr>
                      <w:rFonts w:hint="eastAsia"/>
                    </w:rPr>
                    <w:t>达标</w:t>
                  </w:r>
                </w:p>
              </w:tc>
            </w:tr>
            <w:tr w14:paraId="38B0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1009E12">
                  <w:pPr>
                    <w:pStyle w:val="15"/>
                    <w:rPr>
                      <w:szCs w:val="21"/>
                    </w:rPr>
                  </w:pPr>
                  <w:r>
                    <w:t>SO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7A8AC462">
                  <w:pPr>
                    <w:pStyle w:val="15"/>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907D063">
                  <w:pPr>
                    <w:pStyle w:val="15"/>
                    <w:rPr>
                      <w:rFonts w:hint="eastAsia" w:eastAsia="宋体"/>
                      <w:szCs w:val="21"/>
                      <w:lang w:eastAsia="zh-CN"/>
                    </w:rPr>
                  </w:pPr>
                  <w:r>
                    <w:rPr>
                      <w:rFonts w:hint="eastAsia"/>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6725D8B3">
                  <w:pPr>
                    <w:pStyle w:val="15"/>
                    <w:rPr>
                      <w:szCs w:val="21"/>
                    </w:rPr>
                  </w:pPr>
                  <w:r>
                    <w:t>60</w:t>
                  </w:r>
                </w:p>
              </w:tc>
              <w:tc>
                <w:tcPr>
                  <w:tcW w:w="555" w:type="pct"/>
                  <w:tcBorders>
                    <w:top w:val="single" w:color="auto" w:sz="4" w:space="0"/>
                    <w:left w:val="single" w:color="auto" w:sz="4" w:space="0"/>
                    <w:bottom w:val="single" w:color="auto" w:sz="4" w:space="0"/>
                    <w:right w:val="single" w:color="auto" w:sz="4" w:space="0"/>
                  </w:tcBorders>
                  <w:vAlign w:val="center"/>
                </w:tcPr>
                <w:p w14:paraId="03921C98">
                  <w:pPr>
                    <w:pStyle w:val="15"/>
                    <w:rPr>
                      <w:rFonts w:hint="default" w:eastAsia="宋体"/>
                      <w:szCs w:val="21"/>
                      <w:lang w:val="en-US" w:eastAsia="zh-CN"/>
                    </w:rPr>
                  </w:pPr>
                  <w:r>
                    <w:rPr>
                      <w:rFonts w:hint="eastAsia"/>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06C83AED">
                  <w:pPr>
                    <w:pStyle w:val="15"/>
                  </w:pPr>
                  <w:r>
                    <w:rPr>
                      <w:rFonts w:hint="eastAsia"/>
                    </w:rPr>
                    <w:t>达标</w:t>
                  </w:r>
                </w:p>
              </w:tc>
            </w:tr>
            <w:tr w14:paraId="7103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6D66B4BC">
                  <w:pPr>
                    <w:pStyle w:val="15"/>
                  </w:pPr>
                  <w:r>
                    <w:t>CO</w:t>
                  </w:r>
                </w:p>
              </w:tc>
              <w:tc>
                <w:tcPr>
                  <w:tcW w:w="1979" w:type="pct"/>
                  <w:tcBorders>
                    <w:top w:val="single" w:color="auto" w:sz="4" w:space="0"/>
                    <w:left w:val="single" w:color="auto" w:sz="4" w:space="0"/>
                    <w:bottom w:val="single" w:color="auto" w:sz="4" w:space="0"/>
                    <w:right w:val="single" w:color="auto" w:sz="4" w:space="0"/>
                  </w:tcBorders>
                  <w:vAlign w:val="center"/>
                </w:tcPr>
                <w:p w14:paraId="5B399E3D">
                  <w:pPr>
                    <w:pStyle w:val="15"/>
                  </w:pPr>
                  <w:r>
                    <w:t>95</w:t>
                  </w:r>
                  <w:r>
                    <w:rPr>
                      <w:rFonts w:hint="eastAsia"/>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DF96FF7">
                  <w:pPr>
                    <w:pStyle w:val="15"/>
                    <w:rPr>
                      <w:rFonts w:hint="default" w:eastAsia="宋体"/>
                      <w:lang w:val="en-US" w:eastAsia="zh-CN"/>
                    </w:rPr>
                  </w:pPr>
                  <w:r>
                    <w:rPr>
                      <w:rFonts w:hint="eastAsia"/>
                      <w:lang w:val="en-US" w:eastAsia="zh-CN"/>
                    </w:rPr>
                    <w:t>1000</w:t>
                  </w:r>
                </w:p>
              </w:tc>
              <w:tc>
                <w:tcPr>
                  <w:tcW w:w="680" w:type="pct"/>
                  <w:tcBorders>
                    <w:top w:val="single" w:color="auto" w:sz="4" w:space="0"/>
                    <w:left w:val="single" w:color="auto" w:sz="4" w:space="0"/>
                    <w:bottom w:val="single" w:color="auto" w:sz="4" w:space="0"/>
                    <w:right w:val="single" w:color="auto" w:sz="4" w:space="0"/>
                  </w:tcBorders>
                  <w:vAlign w:val="center"/>
                </w:tcPr>
                <w:p w14:paraId="39DC9D3F">
                  <w:pPr>
                    <w:pStyle w:val="15"/>
                  </w:pPr>
                  <w:r>
                    <w:t>4000</w:t>
                  </w:r>
                </w:p>
              </w:tc>
              <w:tc>
                <w:tcPr>
                  <w:tcW w:w="555" w:type="pct"/>
                  <w:tcBorders>
                    <w:top w:val="single" w:color="auto" w:sz="4" w:space="0"/>
                    <w:left w:val="single" w:color="auto" w:sz="4" w:space="0"/>
                    <w:bottom w:val="single" w:color="auto" w:sz="4" w:space="0"/>
                    <w:right w:val="single" w:color="auto" w:sz="4" w:space="0"/>
                  </w:tcBorders>
                  <w:vAlign w:val="center"/>
                </w:tcPr>
                <w:p w14:paraId="2F84F001">
                  <w:pPr>
                    <w:pStyle w:val="15"/>
                    <w:rPr>
                      <w:rFonts w:hint="eastAsia" w:eastAsia="宋体"/>
                      <w:lang w:eastAsia="zh-CN"/>
                    </w:rPr>
                  </w:pPr>
                  <w:r>
                    <w:rPr>
                      <w:rFonts w:hint="eastAsia"/>
                    </w:rPr>
                    <w:t>2</w:t>
                  </w:r>
                  <w:r>
                    <w:rPr>
                      <w:rFonts w:hint="eastAsia"/>
                      <w:lang w:val="en-US" w:eastAsia="zh-CN"/>
                    </w:rPr>
                    <w:t>5</w:t>
                  </w:r>
                </w:p>
              </w:tc>
              <w:tc>
                <w:tcPr>
                  <w:tcW w:w="482" w:type="pct"/>
                  <w:tcBorders>
                    <w:top w:val="single" w:color="auto" w:sz="4" w:space="0"/>
                    <w:left w:val="single" w:color="auto" w:sz="4" w:space="0"/>
                    <w:bottom w:val="single" w:color="auto" w:sz="4" w:space="0"/>
                    <w:right w:val="single" w:color="auto" w:sz="4" w:space="0"/>
                  </w:tcBorders>
                  <w:vAlign w:val="center"/>
                </w:tcPr>
                <w:p w14:paraId="17E89613">
                  <w:pPr>
                    <w:pStyle w:val="15"/>
                  </w:pPr>
                  <w:r>
                    <w:rPr>
                      <w:rFonts w:hint="eastAsia"/>
                    </w:rPr>
                    <w:t>达标</w:t>
                  </w:r>
                </w:p>
              </w:tc>
            </w:tr>
          </w:tbl>
          <w:p w14:paraId="1F52A257">
            <w:pPr>
              <w:pStyle w:val="16"/>
              <w:ind w:firstLine="480"/>
              <w:rPr>
                <w:rFonts w:hint="eastAsia"/>
              </w:rPr>
            </w:pPr>
            <w:r>
              <w:rPr>
                <w:rFonts w:hint="eastAsia"/>
              </w:rPr>
              <w:t>由上表可知，岳阳县202</w:t>
            </w:r>
            <w:r>
              <w:rPr>
                <w:rFonts w:hint="eastAsia"/>
                <w:lang w:val="en-US" w:eastAsia="zh-CN"/>
              </w:rPr>
              <w:t>4</w:t>
            </w:r>
            <w:r>
              <w:rPr>
                <w:rFonts w:hint="eastAsia"/>
              </w:rPr>
              <w:t>年PM</w:t>
            </w:r>
            <w:r>
              <w:rPr>
                <w:rFonts w:hint="eastAsia"/>
                <w:vertAlign w:val="subscript"/>
              </w:rPr>
              <w:t>2.5</w:t>
            </w:r>
            <w:r>
              <w:rPr>
                <w:rFonts w:hint="eastAsia"/>
              </w:rPr>
              <w:t>、PM</w:t>
            </w:r>
            <w:r>
              <w:rPr>
                <w:rFonts w:hint="eastAsia"/>
                <w:vertAlign w:val="subscript"/>
              </w:rPr>
              <w:t>10</w:t>
            </w:r>
            <w:r>
              <w:rPr>
                <w:rFonts w:hint="eastAsia"/>
              </w:rPr>
              <w:t>、O</w:t>
            </w:r>
            <w:r>
              <w:rPr>
                <w:rFonts w:hint="eastAsia"/>
                <w:vertAlign w:val="subscript"/>
              </w:rPr>
              <w:t>3</w:t>
            </w:r>
            <w:r>
              <w:rPr>
                <w:rFonts w:hint="eastAsia"/>
              </w:rPr>
              <w:t>、NO</w:t>
            </w:r>
            <w:r>
              <w:rPr>
                <w:rFonts w:hint="eastAsia"/>
                <w:vertAlign w:val="subscript"/>
              </w:rPr>
              <w:t>2</w:t>
            </w:r>
            <w:r>
              <w:rPr>
                <w:rFonts w:hint="eastAsia"/>
              </w:rPr>
              <w:t>、SO</w:t>
            </w:r>
            <w:r>
              <w:rPr>
                <w:rFonts w:hint="eastAsia"/>
                <w:vertAlign w:val="subscript"/>
              </w:rPr>
              <w:t>2</w:t>
            </w:r>
            <w:r>
              <w:rPr>
                <w:rFonts w:hint="eastAsia"/>
              </w:rPr>
              <w:t>、CO各项监测指标均能达到《环境空气质量标准》（GB3095-2012）及2018修改单中二级标准要求，项目所在区域为达标区。</w:t>
            </w:r>
          </w:p>
          <w:p w14:paraId="7BAB5935">
            <w:pPr>
              <w:pStyle w:val="16"/>
              <w:numPr>
                <w:ilvl w:val="0"/>
                <w:numId w:val="4"/>
              </w:numPr>
              <w:ind w:firstLine="480"/>
              <w:rPr>
                <w:rFonts w:hint="eastAsia"/>
                <w:b/>
                <w:bCs/>
                <w:lang w:val="en-US" w:eastAsia="zh-CN"/>
              </w:rPr>
            </w:pPr>
            <w:r>
              <w:rPr>
                <w:rFonts w:hint="eastAsia"/>
                <w:b/>
                <w:bCs/>
                <w:lang w:val="en-US" w:eastAsia="zh-CN"/>
              </w:rPr>
              <w:t>特征污染物</w:t>
            </w:r>
          </w:p>
          <w:p w14:paraId="0B0D9FF4">
            <w:pPr>
              <w:pStyle w:val="16"/>
              <w:bidi w:val="0"/>
              <w:rPr>
                <w:rFonts w:hint="eastAsia"/>
                <w:lang w:val="en-US" w:eastAsia="zh-CN"/>
              </w:rPr>
            </w:pPr>
            <w:r>
              <w:rPr>
                <w:rFonts w:hint="eastAsia"/>
                <w:lang w:val="en-US" w:eastAsia="zh-CN"/>
              </w:rPr>
              <w:t>本项目特征污染物为TSP、非甲烷总烃，为了解本项目特征污染物质量现状，本次评价建设单位委托</w:t>
            </w:r>
            <w:r>
              <w:rPr>
                <w:rFonts w:hint="eastAsia"/>
                <w:highlight w:val="none"/>
                <w:lang w:val="en-US" w:eastAsia="zh-CN"/>
              </w:rPr>
              <w:t>湖南中昊检测有限公司2025年7月14日～16日</w:t>
            </w:r>
            <w:r>
              <w:rPr>
                <w:rFonts w:hint="eastAsia"/>
                <w:lang w:val="en-US" w:eastAsia="zh-CN"/>
              </w:rPr>
              <w:t>对本项目所在区域的特征污染物进行现状监测，具体如下：</w:t>
            </w:r>
          </w:p>
          <w:p w14:paraId="16D965AA">
            <w:pPr>
              <w:pStyle w:val="16"/>
              <w:bidi w:val="0"/>
              <w:rPr>
                <w:rFonts w:hint="eastAsia"/>
                <w:lang w:val="en-US" w:eastAsia="zh-CN"/>
              </w:rPr>
            </w:pPr>
            <w:r>
              <w:rPr>
                <w:rFonts w:hint="eastAsia"/>
                <w:lang w:val="en-US" w:eastAsia="zh-CN"/>
              </w:rPr>
              <w:t>①监测因子：TSP、非甲烷总烃；</w:t>
            </w:r>
          </w:p>
          <w:p w14:paraId="7305D409">
            <w:pPr>
              <w:pStyle w:val="16"/>
              <w:bidi w:val="0"/>
              <w:rPr>
                <w:rFonts w:hint="eastAsia"/>
                <w:lang w:val="en-US" w:eastAsia="zh-CN"/>
              </w:rPr>
            </w:pPr>
            <w:r>
              <w:rPr>
                <w:rFonts w:hint="eastAsia"/>
                <w:lang w:val="en-US" w:eastAsia="zh-CN"/>
              </w:rPr>
              <w:t>②监测点位：G1项目厂界外西南侧（当季主导风下风向）；</w:t>
            </w:r>
          </w:p>
          <w:p w14:paraId="2FB4D529">
            <w:pPr>
              <w:pStyle w:val="16"/>
              <w:bidi w:val="0"/>
              <w:rPr>
                <w:rFonts w:hint="eastAsia"/>
                <w:lang w:val="en-US" w:eastAsia="zh-CN"/>
              </w:rPr>
            </w:pPr>
            <w:r>
              <w:rPr>
                <w:rFonts w:hint="eastAsia"/>
                <w:lang w:val="en-US" w:eastAsia="zh-CN"/>
              </w:rPr>
              <w:t>③监测时间与频次：连续监测3天，TSP监测日均值，非甲烷总烃监测小时均值；</w:t>
            </w:r>
          </w:p>
          <w:p w14:paraId="68F68192">
            <w:pPr>
              <w:pStyle w:val="16"/>
              <w:bidi w:val="0"/>
              <w:rPr>
                <w:rFonts w:hint="eastAsia"/>
                <w:lang w:val="en-US" w:eastAsia="zh-CN"/>
              </w:rPr>
            </w:pPr>
            <w:r>
              <w:rPr>
                <w:rFonts w:hint="eastAsia"/>
                <w:lang w:val="en-US" w:eastAsia="zh-CN"/>
              </w:rPr>
              <w:t>④监测结果：详见下表。</w:t>
            </w:r>
          </w:p>
          <w:p w14:paraId="32F9B310">
            <w:pPr>
              <w:pStyle w:val="17"/>
              <w:bidi w:val="0"/>
              <w:rPr>
                <w:rFonts w:hint="eastAsia"/>
                <w:lang w:val="en-US" w:eastAsia="zh-CN"/>
              </w:rPr>
            </w:pPr>
            <w:r>
              <w:rPr>
                <w:rFonts w:hint="eastAsia"/>
                <w:lang w:val="en-US" w:eastAsia="zh-CN"/>
              </w:rPr>
              <w:t>表3-2  环境空气质量现状监测结果一览表</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152"/>
              <w:gridCol w:w="2291"/>
              <w:gridCol w:w="1938"/>
            </w:tblGrid>
            <w:tr w14:paraId="0BCB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Align w:val="center"/>
                </w:tcPr>
                <w:p w14:paraId="5C9AD7D8">
                  <w:pPr>
                    <w:pStyle w:val="15"/>
                    <w:bidi w:val="0"/>
                    <w:jc w:val="center"/>
                    <w:rPr>
                      <w:rFonts w:hint="eastAsia"/>
                      <w:lang w:val="en-US" w:eastAsia="zh-CN"/>
                    </w:rPr>
                  </w:pPr>
                  <w:r>
                    <w:rPr>
                      <w:rFonts w:hint="eastAsia"/>
                      <w:lang w:val="en-US" w:eastAsia="zh-CN"/>
                    </w:rPr>
                    <w:t>检测点位</w:t>
                  </w:r>
                </w:p>
              </w:tc>
              <w:tc>
                <w:tcPr>
                  <w:tcW w:w="783" w:type="pct"/>
                  <w:vAlign w:val="center"/>
                </w:tcPr>
                <w:p w14:paraId="3B435DDD">
                  <w:pPr>
                    <w:pStyle w:val="15"/>
                    <w:bidi w:val="0"/>
                    <w:jc w:val="center"/>
                    <w:rPr>
                      <w:rFonts w:hint="default"/>
                      <w:lang w:val="en-US" w:eastAsia="zh-CN"/>
                    </w:rPr>
                  </w:pPr>
                  <w:r>
                    <w:rPr>
                      <w:rFonts w:hint="eastAsia"/>
                      <w:lang w:val="en-US" w:eastAsia="zh-CN"/>
                    </w:rPr>
                    <w:t>采样日期</w:t>
                  </w:r>
                </w:p>
              </w:tc>
              <w:tc>
                <w:tcPr>
                  <w:tcW w:w="735" w:type="pct"/>
                  <w:vAlign w:val="center"/>
                </w:tcPr>
                <w:p w14:paraId="1BFA3410">
                  <w:pPr>
                    <w:pStyle w:val="15"/>
                    <w:bidi w:val="0"/>
                    <w:jc w:val="center"/>
                    <w:rPr>
                      <w:rFonts w:hint="default"/>
                      <w:lang w:val="en-US" w:eastAsia="zh-CN"/>
                    </w:rPr>
                  </w:pPr>
                  <w:r>
                    <w:rPr>
                      <w:rFonts w:hint="eastAsia"/>
                      <w:lang w:val="en-US" w:eastAsia="zh-CN"/>
                    </w:rPr>
                    <w:t>检测项目</w:t>
                  </w:r>
                </w:p>
              </w:tc>
              <w:tc>
                <w:tcPr>
                  <w:tcW w:w="1462" w:type="pct"/>
                  <w:vAlign w:val="center"/>
                </w:tcPr>
                <w:p w14:paraId="571BBB50">
                  <w:pPr>
                    <w:pStyle w:val="15"/>
                    <w:bidi w:val="0"/>
                    <w:jc w:val="center"/>
                    <w:rPr>
                      <w:rFonts w:hint="default"/>
                      <w:lang w:val="en-US" w:eastAsia="zh-CN"/>
                    </w:rPr>
                  </w:pPr>
                  <w:r>
                    <w:rPr>
                      <w:rFonts w:hint="eastAsia"/>
                      <w:lang w:val="en-US" w:eastAsia="zh-CN"/>
                    </w:rPr>
                    <w:t>检测结果（mg/m</w:t>
                  </w:r>
                  <w:r>
                    <w:rPr>
                      <w:rFonts w:hint="eastAsia"/>
                      <w:vertAlign w:val="superscript"/>
                      <w:lang w:val="en-US" w:eastAsia="zh-CN"/>
                    </w:rPr>
                    <w:t>3</w:t>
                  </w:r>
                  <w:r>
                    <w:rPr>
                      <w:rFonts w:hint="eastAsia"/>
                      <w:lang w:val="en-US" w:eastAsia="zh-CN"/>
                    </w:rPr>
                    <w:t>）</w:t>
                  </w:r>
                </w:p>
              </w:tc>
              <w:tc>
                <w:tcPr>
                  <w:tcW w:w="1235" w:type="pct"/>
                  <w:vAlign w:val="center"/>
                </w:tcPr>
                <w:p w14:paraId="3BFBEE52">
                  <w:pPr>
                    <w:pStyle w:val="15"/>
                    <w:bidi w:val="0"/>
                    <w:jc w:val="center"/>
                    <w:rPr>
                      <w:rFonts w:hint="default"/>
                      <w:lang w:val="en-US" w:eastAsia="zh-CN"/>
                    </w:rPr>
                  </w:pPr>
                  <w:r>
                    <w:rPr>
                      <w:rFonts w:hint="eastAsia"/>
                      <w:lang w:val="en-US" w:eastAsia="zh-CN"/>
                    </w:rPr>
                    <w:t>参考限值（mg/m</w:t>
                  </w:r>
                  <w:r>
                    <w:rPr>
                      <w:rFonts w:hint="eastAsia"/>
                      <w:vertAlign w:val="superscript"/>
                      <w:lang w:val="en-US" w:eastAsia="zh-CN"/>
                    </w:rPr>
                    <w:t>3</w:t>
                  </w:r>
                  <w:r>
                    <w:rPr>
                      <w:rFonts w:hint="eastAsia"/>
                      <w:lang w:val="en-US" w:eastAsia="zh-CN"/>
                    </w:rPr>
                    <w:t>）</w:t>
                  </w:r>
                </w:p>
              </w:tc>
            </w:tr>
            <w:tr w14:paraId="7726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restart"/>
                  <w:vAlign w:val="center"/>
                </w:tcPr>
                <w:p w14:paraId="6FF2AAEB">
                  <w:pPr>
                    <w:pStyle w:val="15"/>
                    <w:bidi w:val="0"/>
                    <w:jc w:val="center"/>
                    <w:rPr>
                      <w:rFonts w:hint="eastAsia"/>
                      <w:lang w:val="en-US" w:eastAsia="zh-CN"/>
                    </w:rPr>
                  </w:pPr>
                  <w:r>
                    <w:rPr>
                      <w:rFonts w:hint="eastAsia"/>
                      <w:lang w:val="en-US" w:eastAsia="zh-CN"/>
                    </w:rPr>
                    <w:t>G1厂界西南侧外1m</w:t>
                  </w:r>
                </w:p>
              </w:tc>
              <w:tc>
                <w:tcPr>
                  <w:tcW w:w="783" w:type="pct"/>
                  <w:vAlign w:val="center"/>
                </w:tcPr>
                <w:p w14:paraId="625519E7">
                  <w:pPr>
                    <w:pStyle w:val="15"/>
                    <w:bidi w:val="0"/>
                    <w:jc w:val="center"/>
                    <w:rPr>
                      <w:rFonts w:hint="default"/>
                      <w:lang w:val="en-US" w:eastAsia="zh-CN"/>
                    </w:rPr>
                  </w:pPr>
                  <w:r>
                    <w:rPr>
                      <w:rFonts w:hint="eastAsia"/>
                      <w:lang w:val="en-US" w:eastAsia="zh-CN"/>
                    </w:rPr>
                    <w:t>2025-7-14</w:t>
                  </w:r>
                </w:p>
              </w:tc>
              <w:tc>
                <w:tcPr>
                  <w:tcW w:w="735" w:type="pct"/>
                  <w:vMerge w:val="restart"/>
                  <w:vAlign w:val="center"/>
                </w:tcPr>
                <w:p w14:paraId="26222B0D">
                  <w:pPr>
                    <w:pStyle w:val="15"/>
                    <w:bidi w:val="0"/>
                    <w:jc w:val="center"/>
                    <w:rPr>
                      <w:rFonts w:hint="default"/>
                      <w:lang w:val="en-US" w:eastAsia="zh-CN"/>
                    </w:rPr>
                  </w:pPr>
                  <w:r>
                    <w:rPr>
                      <w:rFonts w:hint="eastAsia"/>
                      <w:lang w:val="en-US" w:eastAsia="zh-CN"/>
                    </w:rPr>
                    <w:t>TSP</w:t>
                  </w:r>
                </w:p>
              </w:tc>
              <w:tc>
                <w:tcPr>
                  <w:tcW w:w="1462" w:type="pct"/>
                  <w:vAlign w:val="center"/>
                </w:tcPr>
                <w:p w14:paraId="42D832E6">
                  <w:pPr>
                    <w:pStyle w:val="15"/>
                    <w:bidi w:val="0"/>
                    <w:jc w:val="center"/>
                    <w:rPr>
                      <w:rFonts w:hint="default"/>
                      <w:lang w:val="en-US" w:eastAsia="zh-CN"/>
                    </w:rPr>
                  </w:pPr>
                  <w:r>
                    <w:rPr>
                      <w:rFonts w:hint="eastAsia"/>
                      <w:lang w:val="en-US" w:eastAsia="zh-CN"/>
                    </w:rPr>
                    <w:t>0.073</w:t>
                  </w:r>
                </w:p>
              </w:tc>
              <w:tc>
                <w:tcPr>
                  <w:tcW w:w="1235" w:type="pct"/>
                  <w:vMerge w:val="restart"/>
                  <w:vAlign w:val="center"/>
                </w:tcPr>
                <w:p w14:paraId="5F0BBF1C">
                  <w:pPr>
                    <w:pStyle w:val="15"/>
                    <w:bidi w:val="0"/>
                    <w:jc w:val="center"/>
                    <w:rPr>
                      <w:rFonts w:hint="default"/>
                      <w:lang w:val="en-US" w:eastAsia="zh-CN"/>
                    </w:rPr>
                  </w:pPr>
                  <w:r>
                    <w:rPr>
                      <w:rFonts w:hint="eastAsia"/>
                      <w:lang w:val="en-US" w:eastAsia="zh-CN"/>
                    </w:rPr>
                    <w:t>0.3</w:t>
                  </w:r>
                </w:p>
              </w:tc>
            </w:tr>
            <w:tr w14:paraId="4367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vAlign w:val="center"/>
                </w:tcPr>
                <w:p w14:paraId="388B4040">
                  <w:pPr>
                    <w:pStyle w:val="15"/>
                    <w:bidi w:val="0"/>
                    <w:jc w:val="center"/>
                    <w:rPr>
                      <w:rFonts w:hint="eastAsia"/>
                      <w:lang w:val="en-US" w:eastAsia="zh-CN"/>
                    </w:rPr>
                  </w:pPr>
                </w:p>
              </w:tc>
              <w:tc>
                <w:tcPr>
                  <w:tcW w:w="783" w:type="pct"/>
                  <w:vAlign w:val="center"/>
                </w:tcPr>
                <w:p w14:paraId="79065272">
                  <w:pPr>
                    <w:pStyle w:val="15"/>
                    <w:bidi w:val="0"/>
                    <w:jc w:val="center"/>
                    <w:rPr>
                      <w:rFonts w:hint="eastAsia"/>
                      <w:lang w:val="en-US" w:eastAsia="zh-CN"/>
                    </w:rPr>
                  </w:pPr>
                  <w:r>
                    <w:rPr>
                      <w:rFonts w:hint="eastAsia"/>
                      <w:lang w:val="en-US" w:eastAsia="zh-CN"/>
                    </w:rPr>
                    <w:t>2025-7-15</w:t>
                  </w:r>
                </w:p>
              </w:tc>
              <w:tc>
                <w:tcPr>
                  <w:tcW w:w="735" w:type="pct"/>
                  <w:vMerge w:val="continue"/>
                  <w:vAlign w:val="center"/>
                </w:tcPr>
                <w:p w14:paraId="12DA81BA">
                  <w:pPr>
                    <w:pStyle w:val="15"/>
                    <w:bidi w:val="0"/>
                    <w:jc w:val="center"/>
                    <w:rPr>
                      <w:rFonts w:hint="eastAsia"/>
                      <w:lang w:val="en-US" w:eastAsia="zh-CN"/>
                    </w:rPr>
                  </w:pPr>
                </w:p>
              </w:tc>
              <w:tc>
                <w:tcPr>
                  <w:tcW w:w="1462" w:type="pct"/>
                  <w:vAlign w:val="center"/>
                </w:tcPr>
                <w:p w14:paraId="111DB8A2">
                  <w:pPr>
                    <w:pStyle w:val="15"/>
                    <w:bidi w:val="0"/>
                    <w:jc w:val="center"/>
                    <w:rPr>
                      <w:rFonts w:hint="default"/>
                      <w:lang w:val="en-US" w:eastAsia="zh-CN"/>
                    </w:rPr>
                  </w:pPr>
                  <w:r>
                    <w:rPr>
                      <w:rFonts w:hint="eastAsia"/>
                      <w:lang w:val="en-US" w:eastAsia="zh-CN"/>
                    </w:rPr>
                    <w:t>0.076</w:t>
                  </w:r>
                </w:p>
              </w:tc>
              <w:tc>
                <w:tcPr>
                  <w:tcW w:w="1235" w:type="pct"/>
                  <w:vMerge w:val="continue"/>
                  <w:vAlign w:val="center"/>
                </w:tcPr>
                <w:p w14:paraId="2F86DFF2">
                  <w:pPr>
                    <w:pStyle w:val="15"/>
                    <w:bidi w:val="0"/>
                    <w:jc w:val="center"/>
                    <w:rPr>
                      <w:rFonts w:hint="eastAsia"/>
                      <w:lang w:val="en-US" w:eastAsia="zh-CN"/>
                    </w:rPr>
                  </w:pPr>
                </w:p>
              </w:tc>
            </w:tr>
            <w:tr w14:paraId="42C3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vAlign w:val="center"/>
                </w:tcPr>
                <w:p w14:paraId="12F3D75C">
                  <w:pPr>
                    <w:pStyle w:val="15"/>
                    <w:bidi w:val="0"/>
                    <w:jc w:val="center"/>
                    <w:rPr>
                      <w:rFonts w:hint="eastAsia"/>
                      <w:lang w:val="en-US" w:eastAsia="zh-CN"/>
                    </w:rPr>
                  </w:pPr>
                </w:p>
              </w:tc>
              <w:tc>
                <w:tcPr>
                  <w:tcW w:w="783" w:type="pct"/>
                  <w:vAlign w:val="center"/>
                </w:tcPr>
                <w:p w14:paraId="381636DB">
                  <w:pPr>
                    <w:pStyle w:val="15"/>
                    <w:bidi w:val="0"/>
                    <w:jc w:val="center"/>
                    <w:rPr>
                      <w:rFonts w:hint="eastAsia"/>
                      <w:lang w:val="en-US" w:eastAsia="zh-CN"/>
                    </w:rPr>
                  </w:pPr>
                  <w:r>
                    <w:rPr>
                      <w:rFonts w:hint="eastAsia"/>
                      <w:lang w:val="en-US" w:eastAsia="zh-CN"/>
                    </w:rPr>
                    <w:t>2025-7-16</w:t>
                  </w:r>
                </w:p>
              </w:tc>
              <w:tc>
                <w:tcPr>
                  <w:tcW w:w="735" w:type="pct"/>
                  <w:vMerge w:val="continue"/>
                  <w:vAlign w:val="center"/>
                </w:tcPr>
                <w:p w14:paraId="50811DF0">
                  <w:pPr>
                    <w:pStyle w:val="15"/>
                    <w:bidi w:val="0"/>
                    <w:jc w:val="center"/>
                    <w:rPr>
                      <w:rFonts w:hint="eastAsia"/>
                      <w:lang w:val="en-US" w:eastAsia="zh-CN"/>
                    </w:rPr>
                  </w:pPr>
                </w:p>
              </w:tc>
              <w:tc>
                <w:tcPr>
                  <w:tcW w:w="1462" w:type="pct"/>
                  <w:vAlign w:val="center"/>
                </w:tcPr>
                <w:p w14:paraId="1C8FF3E3">
                  <w:pPr>
                    <w:pStyle w:val="15"/>
                    <w:bidi w:val="0"/>
                    <w:jc w:val="center"/>
                    <w:rPr>
                      <w:rFonts w:hint="default"/>
                      <w:lang w:val="en-US" w:eastAsia="zh-CN"/>
                    </w:rPr>
                  </w:pPr>
                  <w:r>
                    <w:rPr>
                      <w:rFonts w:hint="eastAsia"/>
                      <w:lang w:val="en-US" w:eastAsia="zh-CN"/>
                    </w:rPr>
                    <w:t>0.075</w:t>
                  </w:r>
                </w:p>
              </w:tc>
              <w:tc>
                <w:tcPr>
                  <w:tcW w:w="1235" w:type="pct"/>
                  <w:vMerge w:val="continue"/>
                  <w:vAlign w:val="center"/>
                </w:tcPr>
                <w:p w14:paraId="7FF29369">
                  <w:pPr>
                    <w:pStyle w:val="15"/>
                    <w:bidi w:val="0"/>
                    <w:jc w:val="center"/>
                    <w:rPr>
                      <w:rFonts w:hint="eastAsia"/>
                      <w:lang w:val="en-US" w:eastAsia="zh-CN"/>
                    </w:rPr>
                  </w:pPr>
                </w:p>
              </w:tc>
            </w:tr>
            <w:tr w14:paraId="6AD5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vAlign w:val="center"/>
                </w:tcPr>
                <w:p w14:paraId="7CA992BB">
                  <w:pPr>
                    <w:pStyle w:val="15"/>
                    <w:bidi w:val="0"/>
                    <w:ind w:firstLine="0" w:firstLineChars="0"/>
                    <w:jc w:val="center"/>
                    <w:rPr>
                      <w:rFonts w:hint="eastAsia"/>
                      <w:lang w:val="en-US" w:eastAsia="zh-CN"/>
                    </w:rPr>
                  </w:pPr>
                </w:p>
              </w:tc>
              <w:tc>
                <w:tcPr>
                  <w:tcW w:w="783" w:type="pct"/>
                  <w:vAlign w:val="center"/>
                </w:tcPr>
                <w:p w14:paraId="24876A07">
                  <w:pPr>
                    <w:pStyle w:val="15"/>
                    <w:bidi w:val="0"/>
                    <w:ind w:firstLine="0" w:firstLineChars="0"/>
                    <w:jc w:val="center"/>
                    <w:rPr>
                      <w:rFonts w:hint="eastAsia"/>
                      <w:lang w:val="en-US" w:eastAsia="zh-CN"/>
                    </w:rPr>
                  </w:pPr>
                  <w:r>
                    <w:rPr>
                      <w:rFonts w:hint="eastAsia"/>
                      <w:lang w:val="en-US" w:eastAsia="zh-CN"/>
                    </w:rPr>
                    <w:t>2025-7-14</w:t>
                  </w:r>
                </w:p>
              </w:tc>
              <w:tc>
                <w:tcPr>
                  <w:tcW w:w="735" w:type="pct"/>
                  <w:vMerge w:val="restart"/>
                  <w:vAlign w:val="center"/>
                </w:tcPr>
                <w:p w14:paraId="70A96D0D">
                  <w:pPr>
                    <w:pStyle w:val="15"/>
                    <w:bidi w:val="0"/>
                    <w:jc w:val="center"/>
                    <w:rPr>
                      <w:rFonts w:hint="default"/>
                      <w:lang w:val="en-US" w:eastAsia="zh-CN"/>
                    </w:rPr>
                  </w:pPr>
                  <w:r>
                    <w:rPr>
                      <w:rFonts w:hint="eastAsia"/>
                      <w:lang w:val="en-US" w:eastAsia="zh-CN"/>
                    </w:rPr>
                    <w:t>非甲烷总烃</w:t>
                  </w:r>
                </w:p>
              </w:tc>
              <w:tc>
                <w:tcPr>
                  <w:tcW w:w="1462" w:type="pct"/>
                  <w:vAlign w:val="center"/>
                </w:tcPr>
                <w:p w14:paraId="52C8390E">
                  <w:pPr>
                    <w:pStyle w:val="15"/>
                    <w:bidi w:val="0"/>
                    <w:jc w:val="center"/>
                    <w:rPr>
                      <w:rFonts w:hint="default"/>
                      <w:lang w:val="en-US" w:eastAsia="zh-CN"/>
                    </w:rPr>
                  </w:pPr>
                  <w:r>
                    <w:rPr>
                      <w:rFonts w:hint="eastAsia"/>
                      <w:lang w:val="en-US" w:eastAsia="zh-CN"/>
                    </w:rPr>
                    <w:t>0.61</w:t>
                  </w:r>
                </w:p>
              </w:tc>
              <w:tc>
                <w:tcPr>
                  <w:tcW w:w="1235" w:type="pct"/>
                  <w:vMerge w:val="restart"/>
                  <w:vAlign w:val="center"/>
                </w:tcPr>
                <w:p w14:paraId="0C1AFB3B">
                  <w:pPr>
                    <w:pStyle w:val="15"/>
                    <w:bidi w:val="0"/>
                    <w:jc w:val="center"/>
                    <w:rPr>
                      <w:rFonts w:hint="default"/>
                      <w:lang w:val="en-US" w:eastAsia="zh-CN"/>
                    </w:rPr>
                  </w:pPr>
                  <w:r>
                    <w:rPr>
                      <w:rFonts w:hint="eastAsia"/>
                      <w:lang w:val="en-US" w:eastAsia="zh-CN"/>
                    </w:rPr>
                    <w:t>1.2</w:t>
                  </w:r>
                </w:p>
              </w:tc>
            </w:tr>
            <w:tr w14:paraId="531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vAlign w:val="center"/>
                </w:tcPr>
                <w:p w14:paraId="678FD684">
                  <w:pPr>
                    <w:pStyle w:val="15"/>
                    <w:bidi w:val="0"/>
                    <w:ind w:firstLine="0" w:firstLineChars="0"/>
                    <w:jc w:val="center"/>
                    <w:rPr>
                      <w:rFonts w:hint="eastAsia"/>
                      <w:lang w:val="en-US" w:eastAsia="zh-CN"/>
                    </w:rPr>
                  </w:pPr>
                </w:p>
              </w:tc>
              <w:tc>
                <w:tcPr>
                  <w:tcW w:w="783" w:type="pct"/>
                  <w:vAlign w:val="center"/>
                </w:tcPr>
                <w:p w14:paraId="76C0AC67">
                  <w:pPr>
                    <w:pStyle w:val="15"/>
                    <w:bidi w:val="0"/>
                    <w:ind w:firstLine="0" w:firstLineChars="0"/>
                    <w:jc w:val="center"/>
                    <w:rPr>
                      <w:rFonts w:hint="eastAsia"/>
                      <w:lang w:val="en-US" w:eastAsia="zh-CN"/>
                    </w:rPr>
                  </w:pPr>
                  <w:r>
                    <w:rPr>
                      <w:rFonts w:hint="eastAsia"/>
                      <w:lang w:val="en-US" w:eastAsia="zh-CN"/>
                    </w:rPr>
                    <w:t>2025-7-15</w:t>
                  </w:r>
                </w:p>
              </w:tc>
              <w:tc>
                <w:tcPr>
                  <w:tcW w:w="735" w:type="pct"/>
                  <w:vMerge w:val="continue"/>
                  <w:vAlign w:val="center"/>
                </w:tcPr>
                <w:p w14:paraId="1C8899D4">
                  <w:pPr>
                    <w:pStyle w:val="15"/>
                    <w:bidi w:val="0"/>
                    <w:jc w:val="center"/>
                    <w:rPr>
                      <w:rFonts w:hint="eastAsia"/>
                      <w:lang w:val="en-US" w:eastAsia="zh-CN"/>
                    </w:rPr>
                  </w:pPr>
                </w:p>
              </w:tc>
              <w:tc>
                <w:tcPr>
                  <w:tcW w:w="1462" w:type="pct"/>
                  <w:vAlign w:val="center"/>
                </w:tcPr>
                <w:p w14:paraId="2B5E40BB">
                  <w:pPr>
                    <w:pStyle w:val="15"/>
                    <w:bidi w:val="0"/>
                    <w:jc w:val="center"/>
                    <w:rPr>
                      <w:rFonts w:hint="default"/>
                      <w:lang w:val="en-US" w:eastAsia="zh-CN"/>
                    </w:rPr>
                  </w:pPr>
                  <w:r>
                    <w:rPr>
                      <w:rFonts w:hint="eastAsia"/>
                      <w:lang w:val="en-US" w:eastAsia="zh-CN"/>
                    </w:rPr>
                    <w:t>0.64</w:t>
                  </w:r>
                </w:p>
              </w:tc>
              <w:tc>
                <w:tcPr>
                  <w:tcW w:w="1235" w:type="pct"/>
                  <w:vMerge w:val="continue"/>
                  <w:vAlign w:val="center"/>
                </w:tcPr>
                <w:p w14:paraId="4CB19537">
                  <w:pPr>
                    <w:pStyle w:val="15"/>
                    <w:bidi w:val="0"/>
                    <w:jc w:val="center"/>
                    <w:rPr>
                      <w:rFonts w:hint="eastAsia"/>
                      <w:lang w:val="en-US" w:eastAsia="zh-CN"/>
                    </w:rPr>
                  </w:pPr>
                </w:p>
              </w:tc>
            </w:tr>
            <w:tr w14:paraId="6177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vAlign w:val="center"/>
                </w:tcPr>
                <w:p w14:paraId="5DC1492A">
                  <w:pPr>
                    <w:pStyle w:val="15"/>
                    <w:bidi w:val="0"/>
                    <w:ind w:firstLine="0" w:firstLineChars="0"/>
                    <w:jc w:val="center"/>
                    <w:rPr>
                      <w:rFonts w:hint="eastAsia"/>
                      <w:lang w:val="en-US" w:eastAsia="zh-CN"/>
                    </w:rPr>
                  </w:pPr>
                </w:p>
              </w:tc>
              <w:tc>
                <w:tcPr>
                  <w:tcW w:w="783" w:type="pct"/>
                  <w:vAlign w:val="center"/>
                </w:tcPr>
                <w:p w14:paraId="2174CC9A">
                  <w:pPr>
                    <w:pStyle w:val="15"/>
                    <w:bidi w:val="0"/>
                    <w:ind w:firstLine="0" w:firstLineChars="0"/>
                    <w:jc w:val="center"/>
                    <w:rPr>
                      <w:rFonts w:hint="eastAsia"/>
                      <w:lang w:val="en-US" w:eastAsia="zh-CN"/>
                    </w:rPr>
                  </w:pPr>
                  <w:r>
                    <w:rPr>
                      <w:rFonts w:hint="eastAsia"/>
                      <w:lang w:val="en-US" w:eastAsia="zh-CN"/>
                    </w:rPr>
                    <w:t>2025-7-16</w:t>
                  </w:r>
                </w:p>
              </w:tc>
              <w:tc>
                <w:tcPr>
                  <w:tcW w:w="735" w:type="pct"/>
                  <w:vMerge w:val="continue"/>
                  <w:vAlign w:val="center"/>
                </w:tcPr>
                <w:p w14:paraId="733BE2D4">
                  <w:pPr>
                    <w:pStyle w:val="15"/>
                    <w:bidi w:val="0"/>
                    <w:jc w:val="center"/>
                    <w:rPr>
                      <w:rFonts w:hint="eastAsia"/>
                      <w:lang w:val="en-US" w:eastAsia="zh-CN"/>
                    </w:rPr>
                  </w:pPr>
                </w:p>
              </w:tc>
              <w:tc>
                <w:tcPr>
                  <w:tcW w:w="1462" w:type="pct"/>
                  <w:vAlign w:val="center"/>
                </w:tcPr>
                <w:p w14:paraId="559539E8">
                  <w:pPr>
                    <w:pStyle w:val="15"/>
                    <w:bidi w:val="0"/>
                    <w:jc w:val="center"/>
                    <w:rPr>
                      <w:rFonts w:hint="default"/>
                      <w:lang w:val="en-US" w:eastAsia="zh-CN"/>
                    </w:rPr>
                  </w:pPr>
                  <w:r>
                    <w:rPr>
                      <w:rFonts w:hint="eastAsia"/>
                      <w:lang w:val="en-US" w:eastAsia="zh-CN"/>
                    </w:rPr>
                    <w:t>0.62</w:t>
                  </w:r>
                </w:p>
              </w:tc>
              <w:tc>
                <w:tcPr>
                  <w:tcW w:w="1235" w:type="pct"/>
                  <w:vMerge w:val="continue"/>
                  <w:vAlign w:val="center"/>
                </w:tcPr>
                <w:p w14:paraId="38738963">
                  <w:pPr>
                    <w:pStyle w:val="15"/>
                    <w:bidi w:val="0"/>
                    <w:jc w:val="center"/>
                    <w:rPr>
                      <w:rFonts w:hint="eastAsia"/>
                      <w:lang w:val="en-US" w:eastAsia="zh-CN"/>
                    </w:rPr>
                  </w:pPr>
                </w:p>
              </w:tc>
            </w:tr>
            <w:tr w14:paraId="1185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vAlign w:val="center"/>
                </w:tcPr>
                <w:p w14:paraId="232163D6">
                  <w:pPr>
                    <w:pStyle w:val="15"/>
                    <w:bidi w:val="0"/>
                    <w:jc w:val="center"/>
                    <w:rPr>
                      <w:rFonts w:hint="default"/>
                      <w:lang w:val="en-US" w:eastAsia="zh-CN"/>
                    </w:rPr>
                  </w:pPr>
                  <w:r>
                    <w:rPr>
                      <w:rFonts w:hint="eastAsia"/>
                      <w:lang w:val="en-US" w:eastAsia="zh-CN"/>
                    </w:rPr>
                    <w:t>注：非甲烷总烃执行《环境影响评价技术导则 大气环境》中附录D中浓度参考限值（8小时平均600ug/m</w:t>
                  </w:r>
                  <w:r>
                    <w:rPr>
                      <w:rFonts w:hint="eastAsia"/>
                      <w:vertAlign w:val="superscript"/>
                      <w:lang w:val="en-US" w:eastAsia="zh-CN"/>
                    </w:rPr>
                    <w:t>3</w:t>
                  </w:r>
                  <w:r>
                    <w:rPr>
                      <w:rFonts w:hint="eastAsia"/>
                      <w:lang w:val="en-US" w:eastAsia="zh-CN"/>
                    </w:rPr>
                    <w:t>），无1小时浓度限值，本项目参考限值根据5.3.2.1按2倍折算1小时平均浓度质量限值</w:t>
                  </w:r>
                </w:p>
              </w:tc>
            </w:tr>
          </w:tbl>
          <w:p w14:paraId="00782986">
            <w:pPr>
              <w:pStyle w:val="16"/>
              <w:bidi w:val="0"/>
              <w:ind w:left="0" w:leftChars="0" w:firstLine="480" w:firstLineChars="200"/>
              <w:rPr>
                <w:rFonts w:hint="default"/>
                <w:lang w:val="en-US" w:eastAsia="zh-CN"/>
              </w:rPr>
            </w:pPr>
            <w:r>
              <w:rPr>
                <w:rFonts w:hint="eastAsia"/>
                <w:lang w:val="en-US" w:eastAsia="zh-CN"/>
              </w:rPr>
              <w:t>由上表可知，TSP满足《环境空气质量标准》（GB3095-2012）中二级标准。非甲烷总烃满足《环境影响评价技术导则 大气环境》中附录D中浓度限值。</w:t>
            </w:r>
          </w:p>
          <w:p w14:paraId="61F33222">
            <w:pPr>
              <w:ind w:firstLine="482"/>
              <w:rPr>
                <w:b/>
                <w:bCs/>
              </w:rPr>
            </w:pPr>
            <w:r>
              <w:rPr>
                <w:rFonts w:hint="eastAsia"/>
                <w:b/>
                <w:bCs/>
              </w:rPr>
              <w:t>2、地表水环境质量现状</w:t>
            </w:r>
          </w:p>
          <w:p w14:paraId="3C4C21ED">
            <w:pPr>
              <w:pStyle w:val="16"/>
              <w:ind w:firstLine="480"/>
            </w:pPr>
            <w:r>
              <w:rPr>
                <w:rFonts w:hint="eastAsia"/>
              </w:rPr>
              <w:t>为了解本项目所在地水环境质量现状，本次评价引用岳阳市生态环境局发布的《岳阳市202</w:t>
            </w:r>
            <w:r>
              <w:rPr>
                <w:rFonts w:hint="eastAsia"/>
                <w:lang w:val="en-US" w:eastAsia="zh-CN"/>
              </w:rPr>
              <w:t>4</w:t>
            </w:r>
            <w:r>
              <w:rPr>
                <w:rFonts w:hint="eastAsia"/>
              </w:rPr>
              <w:t>年度生态环境质量公报》中“三、地表水环境：新墙河水质总体为优，9个控制断面水质均达到Ⅱ类”，因此，新墙河</w:t>
            </w:r>
            <w:r>
              <w:rPr>
                <w:rFonts w:hint="eastAsia"/>
                <w:lang w:val="en-US" w:eastAsia="zh-CN"/>
              </w:rPr>
              <w:t>水质较好</w:t>
            </w:r>
            <w:r>
              <w:rPr>
                <w:rFonts w:hint="eastAsia"/>
              </w:rPr>
              <w:t>。</w:t>
            </w:r>
          </w:p>
          <w:p w14:paraId="23845133">
            <w:pPr>
              <w:ind w:firstLine="482"/>
              <w:rPr>
                <w:b/>
                <w:bCs/>
              </w:rPr>
            </w:pPr>
            <w:r>
              <w:rPr>
                <w:rFonts w:hint="eastAsia"/>
                <w:b/>
                <w:bCs/>
              </w:rPr>
              <w:t>3、声环境质量现状</w:t>
            </w:r>
          </w:p>
          <w:p w14:paraId="2753EBEC">
            <w:pPr>
              <w:pStyle w:val="16"/>
              <w:ind w:firstLine="480"/>
            </w:pPr>
            <w:r>
              <w:rPr>
                <w:rFonts w:hint="eastAsia"/>
              </w:rPr>
              <w:t>根据《建设项目环境影响评价报告表编制技术指南（污染影响类）（试行）》，“厂界外周边50米范围内存在声环境保护目标的建设项目，应监测保护目标声环境质量现状并评价达标情况”。</w:t>
            </w:r>
          </w:p>
          <w:p w14:paraId="481038E1">
            <w:pPr>
              <w:pStyle w:val="16"/>
              <w:ind w:firstLine="480"/>
            </w:pPr>
            <w:r>
              <w:rPr>
                <w:rFonts w:hint="eastAsia"/>
              </w:rPr>
              <w:t>本项目厂界外50m范围无居民敏感点，因此本项目故无需进行声环境质量相关现状调查。</w:t>
            </w:r>
          </w:p>
          <w:p w14:paraId="7CEBEDC1">
            <w:pPr>
              <w:ind w:firstLine="482"/>
              <w:rPr>
                <w:b/>
                <w:bCs/>
              </w:rPr>
            </w:pPr>
            <w:r>
              <w:rPr>
                <w:rFonts w:hint="eastAsia"/>
                <w:b/>
                <w:bCs/>
              </w:rPr>
              <w:t>4、地下水、土壤环境质量现状</w:t>
            </w:r>
          </w:p>
          <w:p w14:paraId="71B05D4C">
            <w:pPr>
              <w:pStyle w:val="16"/>
              <w:ind w:firstLine="480"/>
            </w:pPr>
            <w:r>
              <w:rPr>
                <w:rFonts w:hint="eastAsia"/>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063C3407">
            <w:pPr>
              <w:pStyle w:val="16"/>
              <w:ind w:firstLine="480"/>
            </w:pPr>
            <w:r>
              <w:rPr>
                <w:rFonts w:hint="eastAsia"/>
              </w:rPr>
              <w:t>本项目</w:t>
            </w:r>
            <w:r>
              <w:t>租赁</w:t>
            </w:r>
            <w:r>
              <w:rPr>
                <w:rFonts w:hint="eastAsia"/>
                <w:lang w:eastAsia="zh-CN"/>
              </w:rPr>
              <w:t>岳阳县筻口镇原华福炮厂</w:t>
            </w:r>
            <w:r>
              <w:rPr>
                <w:rFonts w:hint="eastAsia"/>
                <w:lang w:val="en-US" w:eastAsia="zh-CN"/>
              </w:rPr>
              <w:t>已废弃部分厂房生产</w:t>
            </w:r>
            <w:r>
              <w:rPr>
                <w:rFonts w:hint="eastAsia"/>
              </w:rPr>
              <w:t>，厂区地面已硬化，不存在地下水与土壤污染途径，故本项目不开展地下水、土壤环境现状调查。</w:t>
            </w:r>
          </w:p>
          <w:p w14:paraId="3C4C6B60">
            <w:pPr>
              <w:ind w:firstLine="482"/>
              <w:rPr>
                <w:b/>
                <w:bCs/>
              </w:rPr>
            </w:pPr>
            <w:r>
              <w:rPr>
                <w:rFonts w:hint="eastAsia"/>
                <w:b/>
                <w:bCs/>
              </w:rPr>
              <w:t>5、生态环境质量现状</w:t>
            </w:r>
          </w:p>
          <w:p w14:paraId="3EFF1B60">
            <w:pPr>
              <w:pStyle w:val="16"/>
              <w:ind w:firstLine="480"/>
            </w:pPr>
            <w:r>
              <w:rPr>
                <w:rFonts w:hint="eastAsia"/>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外，</w:t>
            </w:r>
            <w:r>
              <w:t>租赁</w:t>
            </w:r>
            <w:r>
              <w:rPr>
                <w:rFonts w:hint="eastAsia"/>
                <w:lang w:eastAsia="zh-CN"/>
              </w:rPr>
              <w:t>岳阳县筻口镇原华福炮厂</w:t>
            </w:r>
            <w:r>
              <w:rPr>
                <w:rFonts w:hint="eastAsia"/>
                <w:lang w:val="en-US" w:eastAsia="zh-CN"/>
              </w:rPr>
              <w:t>已废弃部分厂房生产</w:t>
            </w:r>
            <w:r>
              <w:rPr>
                <w:rFonts w:hint="eastAsia"/>
              </w:rPr>
              <w:t>，项目用地周边无生态环境敏感目标，故本项目不开展生态环境质量现状调查。</w:t>
            </w:r>
          </w:p>
        </w:tc>
      </w:tr>
      <w:tr w14:paraId="3B29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428B5C5E">
            <w:pPr>
              <w:ind w:firstLine="0" w:firstLineChars="0"/>
            </w:pPr>
            <w:r>
              <w:rPr>
                <w:rFonts w:hint="eastAsia"/>
              </w:rPr>
              <w:t>环境保护目标</w:t>
            </w:r>
          </w:p>
        </w:tc>
        <w:tc>
          <w:tcPr>
            <w:tcW w:w="8115" w:type="dxa"/>
          </w:tcPr>
          <w:p w14:paraId="5A853ACE">
            <w:pPr>
              <w:pStyle w:val="16"/>
              <w:ind w:firstLine="480"/>
            </w:pPr>
            <w:r>
              <w:rPr>
                <w:rFonts w:hint="eastAsia"/>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w:t>
            </w:r>
            <w:r>
              <w:rPr>
                <w:rFonts w:hint="eastAsia"/>
                <w:lang w:eastAsia="zh-CN"/>
              </w:rPr>
              <w:t>；</w:t>
            </w:r>
            <w:r>
              <w:rPr>
                <w:rFonts w:hint="eastAsia"/>
              </w:rPr>
              <w:t>。具体环境保护目标详见下表3-</w:t>
            </w:r>
            <w:r>
              <w:rPr>
                <w:rFonts w:hint="eastAsia"/>
                <w:lang w:val="en-US" w:eastAsia="zh-CN"/>
              </w:rPr>
              <w:t>3~3-4</w:t>
            </w:r>
            <w:r>
              <w:rPr>
                <w:rFonts w:hint="eastAsia"/>
              </w:rPr>
              <w:t>。</w:t>
            </w:r>
          </w:p>
          <w:p w14:paraId="0C13018B">
            <w:pPr>
              <w:pStyle w:val="17"/>
            </w:pPr>
            <w:r>
              <w:t>表3-</w:t>
            </w:r>
            <w:r>
              <w:rPr>
                <w:rFonts w:hint="eastAsia"/>
                <w:lang w:val="en-US" w:eastAsia="zh-CN"/>
              </w:rPr>
              <w:t>3</w:t>
            </w:r>
            <w:r>
              <w:rPr>
                <w:rFonts w:hint="eastAsia"/>
              </w:rPr>
              <w:t xml:space="preserve"> </w:t>
            </w:r>
            <w:r>
              <w:t>主要环境空气保护目标</w:t>
            </w:r>
          </w:p>
          <w:tbl>
            <w:tblPr>
              <w:tblStyle w:val="12"/>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65"/>
              <w:gridCol w:w="1429"/>
              <w:gridCol w:w="637"/>
              <w:gridCol w:w="723"/>
              <w:gridCol w:w="899"/>
              <w:gridCol w:w="637"/>
              <w:gridCol w:w="1045"/>
            </w:tblGrid>
            <w:tr w14:paraId="0F7E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restart"/>
                  <w:tcBorders>
                    <w:tl2br w:val="nil"/>
                    <w:tr2bl w:val="nil"/>
                  </w:tcBorders>
                  <w:vAlign w:val="center"/>
                </w:tcPr>
                <w:p w14:paraId="7C648588">
                  <w:pPr>
                    <w:pStyle w:val="15"/>
                  </w:pPr>
                  <w:r>
                    <w:t>名称</w:t>
                  </w:r>
                </w:p>
              </w:tc>
              <w:tc>
                <w:tcPr>
                  <w:tcW w:w="1909" w:type="pct"/>
                  <w:gridSpan w:val="2"/>
                  <w:tcBorders>
                    <w:tl2br w:val="nil"/>
                    <w:tr2bl w:val="nil"/>
                  </w:tcBorders>
                  <w:vAlign w:val="center"/>
                </w:tcPr>
                <w:p w14:paraId="5933571B">
                  <w:pPr>
                    <w:pStyle w:val="15"/>
                  </w:pPr>
                  <w:r>
                    <w:t>坐标</w:t>
                  </w:r>
                </w:p>
              </w:tc>
              <w:tc>
                <w:tcPr>
                  <w:tcW w:w="406" w:type="pct"/>
                  <w:vMerge w:val="restart"/>
                  <w:tcBorders>
                    <w:tl2br w:val="nil"/>
                    <w:tr2bl w:val="nil"/>
                  </w:tcBorders>
                  <w:vAlign w:val="center"/>
                </w:tcPr>
                <w:p w14:paraId="362DEA6E">
                  <w:pPr>
                    <w:pStyle w:val="15"/>
                  </w:pPr>
                  <w:r>
                    <w:t>保护对象</w:t>
                  </w:r>
                </w:p>
              </w:tc>
              <w:tc>
                <w:tcPr>
                  <w:tcW w:w="461" w:type="pct"/>
                  <w:vMerge w:val="restart"/>
                  <w:tcBorders>
                    <w:tl2br w:val="nil"/>
                    <w:tr2bl w:val="nil"/>
                  </w:tcBorders>
                  <w:vAlign w:val="center"/>
                </w:tcPr>
                <w:p w14:paraId="64DBF801">
                  <w:pPr>
                    <w:pStyle w:val="15"/>
                  </w:pPr>
                  <w:r>
                    <w:t>保护内容</w:t>
                  </w:r>
                </w:p>
              </w:tc>
              <w:tc>
                <w:tcPr>
                  <w:tcW w:w="573" w:type="pct"/>
                  <w:vMerge w:val="restart"/>
                  <w:tcBorders>
                    <w:tl2br w:val="nil"/>
                    <w:tr2bl w:val="nil"/>
                  </w:tcBorders>
                  <w:vAlign w:val="center"/>
                </w:tcPr>
                <w:p w14:paraId="79BD4F55">
                  <w:pPr>
                    <w:pStyle w:val="15"/>
                  </w:pPr>
                  <w:r>
                    <w:t>环境功能区</w:t>
                  </w:r>
                </w:p>
              </w:tc>
              <w:tc>
                <w:tcPr>
                  <w:tcW w:w="406" w:type="pct"/>
                  <w:vMerge w:val="restart"/>
                  <w:tcBorders>
                    <w:tl2br w:val="nil"/>
                    <w:tr2bl w:val="nil"/>
                  </w:tcBorders>
                  <w:vAlign w:val="center"/>
                </w:tcPr>
                <w:p w14:paraId="2137CAA1">
                  <w:pPr>
                    <w:pStyle w:val="15"/>
                  </w:pPr>
                  <w:r>
                    <w:t>相对厂址方位</w:t>
                  </w:r>
                </w:p>
              </w:tc>
              <w:tc>
                <w:tcPr>
                  <w:tcW w:w="666" w:type="pct"/>
                  <w:vMerge w:val="restart"/>
                  <w:tcBorders>
                    <w:tl2br w:val="nil"/>
                    <w:tr2bl w:val="nil"/>
                  </w:tcBorders>
                  <w:vAlign w:val="center"/>
                </w:tcPr>
                <w:p w14:paraId="13180BC2">
                  <w:pPr>
                    <w:pStyle w:val="15"/>
                  </w:pPr>
                  <w:r>
                    <w:t>相对厂界距离/m</w:t>
                  </w:r>
                </w:p>
              </w:tc>
            </w:tr>
            <w:tr w14:paraId="009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tcBorders>
                    <w:tl2br w:val="nil"/>
                    <w:tr2bl w:val="nil"/>
                  </w:tcBorders>
                  <w:vAlign w:val="center"/>
                </w:tcPr>
                <w:p w14:paraId="3A8E9777">
                  <w:pPr>
                    <w:pStyle w:val="15"/>
                  </w:pPr>
                </w:p>
              </w:tc>
              <w:tc>
                <w:tcPr>
                  <w:tcW w:w="998" w:type="pct"/>
                  <w:tcBorders>
                    <w:tl2br w:val="nil"/>
                    <w:tr2bl w:val="nil"/>
                  </w:tcBorders>
                  <w:vAlign w:val="center"/>
                </w:tcPr>
                <w:p w14:paraId="36CBFC1E">
                  <w:pPr>
                    <w:pStyle w:val="15"/>
                  </w:pPr>
                  <w:r>
                    <w:t>经度</w:t>
                  </w:r>
                </w:p>
              </w:tc>
              <w:tc>
                <w:tcPr>
                  <w:tcW w:w="910" w:type="pct"/>
                  <w:tcBorders>
                    <w:tl2br w:val="nil"/>
                    <w:tr2bl w:val="nil"/>
                  </w:tcBorders>
                  <w:vAlign w:val="center"/>
                </w:tcPr>
                <w:p w14:paraId="01B8460B">
                  <w:pPr>
                    <w:pStyle w:val="15"/>
                  </w:pPr>
                  <w:r>
                    <w:t>纬度</w:t>
                  </w:r>
                </w:p>
              </w:tc>
              <w:tc>
                <w:tcPr>
                  <w:tcW w:w="406" w:type="pct"/>
                  <w:vMerge w:val="continue"/>
                  <w:tcBorders>
                    <w:tl2br w:val="nil"/>
                    <w:tr2bl w:val="nil"/>
                  </w:tcBorders>
                  <w:vAlign w:val="center"/>
                </w:tcPr>
                <w:p w14:paraId="43C629C9">
                  <w:pPr>
                    <w:pStyle w:val="15"/>
                  </w:pPr>
                </w:p>
              </w:tc>
              <w:tc>
                <w:tcPr>
                  <w:tcW w:w="461" w:type="pct"/>
                  <w:vMerge w:val="continue"/>
                  <w:tcBorders>
                    <w:tl2br w:val="nil"/>
                    <w:tr2bl w:val="nil"/>
                  </w:tcBorders>
                  <w:vAlign w:val="center"/>
                </w:tcPr>
                <w:p w14:paraId="66D01543">
                  <w:pPr>
                    <w:pStyle w:val="15"/>
                  </w:pPr>
                </w:p>
              </w:tc>
              <w:tc>
                <w:tcPr>
                  <w:tcW w:w="573" w:type="pct"/>
                  <w:vMerge w:val="continue"/>
                  <w:tcBorders>
                    <w:tl2br w:val="nil"/>
                    <w:tr2bl w:val="nil"/>
                  </w:tcBorders>
                  <w:vAlign w:val="center"/>
                </w:tcPr>
                <w:p w14:paraId="16F979B7">
                  <w:pPr>
                    <w:pStyle w:val="15"/>
                  </w:pPr>
                </w:p>
              </w:tc>
              <w:tc>
                <w:tcPr>
                  <w:tcW w:w="406" w:type="pct"/>
                  <w:vMerge w:val="continue"/>
                  <w:tcBorders>
                    <w:tl2br w:val="nil"/>
                    <w:tr2bl w:val="nil"/>
                  </w:tcBorders>
                  <w:vAlign w:val="center"/>
                </w:tcPr>
                <w:p w14:paraId="26FB42E4">
                  <w:pPr>
                    <w:pStyle w:val="15"/>
                  </w:pPr>
                </w:p>
              </w:tc>
              <w:tc>
                <w:tcPr>
                  <w:tcW w:w="666" w:type="pct"/>
                  <w:vMerge w:val="continue"/>
                  <w:tcBorders>
                    <w:tl2br w:val="nil"/>
                    <w:tr2bl w:val="nil"/>
                  </w:tcBorders>
                  <w:vAlign w:val="center"/>
                </w:tcPr>
                <w:p w14:paraId="27205B50">
                  <w:pPr>
                    <w:pStyle w:val="15"/>
                  </w:pPr>
                </w:p>
              </w:tc>
            </w:tr>
            <w:tr w14:paraId="58BD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tcBorders>
                    <w:tl2br w:val="nil"/>
                    <w:tr2bl w:val="nil"/>
                  </w:tcBorders>
                  <w:vAlign w:val="center"/>
                </w:tcPr>
                <w:p w14:paraId="48664FC3">
                  <w:pPr>
                    <w:pStyle w:val="15"/>
                    <w:rPr>
                      <w:rFonts w:hint="default" w:eastAsia="宋体"/>
                      <w:lang w:val="en-US" w:eastAsia="zh-CN"/>
                    </w:rPr>
                  </w:pPr>
                  <w:r>
                    <w:rPr>
                      <w:rFonts w:hint="eastAsia"/>
                      <w:lang w:val="en-US" w:eastAsia="zh-CN"/>
                    </w:rPr>
                    <w:t>李垄坡</w:t>
                  </w:r>
                </w:p>
              </w:tc>
              <w:tc>
                <w:tcPr>
                  <w:tcW w:w="998" w:type="pct"/>
                  <w:tcBorders>
                    <w:tl2br w:val="nil"/>
                    <w:tr2bl w:val="nil"/>
                  </w:tcBorders>
                  <w:vAlign w:val="center"/>
                </w:tcPr>
                <w:p w14:paraId="30CBCF0A">
                  <w:pPr>
                    <w:pStyle w:val="15"/>
                  </w:pPr>
                  <w:r>
                    <w:rPr>
                      <w:rFonts w:hint="eastAsia"/>
                    </w:rPr>
                    <w:t>113.224135840</w:t>
                  </w:r>
                </w:p>
              </w:tc>
              <w:tc>
                <w:tcPr>
                  <w:tcW w:w="910" w:type="pct"/>
                  <w:tcBorders>
                    <w:tl2br w:val="nil"/>
                    <w:tr2bl w:val="nil"/>
                  </w:tcBorders>
                  <w:vAlign w:val="center"/>
                </w:tcPr>
                <w:p w14:paraId="39CBAAB0">
                  <w:pPr>
                    <w:pStyle w:val="15"/>
                  </w:pPr>
                  <w:r>
                    <w:rPr>
                      <w:rFonts w:hint="eastAsia"/>
                    </w:rPr>
                    <w:t>29.102377709</w:t>
                  </w:r>
                </w:p>
              </w:tc>
              <w:tc>
                <w:tcPr>
                  <w:tcW w:w="406" w:type="pct"/>
                  <w:tcBorders>
                    <w:tl2br w:val="nil"/>
                    <w:tr2bl w:val="nil"/>
                  </w:tcBorders>
                  <w:vAlign w:val="center"/>
                </w:tcPr>
                <w:p w14:paraId="6E8423DA">
                  <w:pPr>
                    <w:pStyle w:val="15"/>
                  </w:pPr>
                  <w:r>
                    <w:t>居民</w:t>
                  </w:r>
                </w:p>
              </w:tc>
              <w:tc>
                <w:tcPr>
                  <w:tcW w:w="461" w:type="pct"/>
                  <w:tcBorders>
                    <w:tl2br w:val="nil"/>
                    <w:tr2bl w:val="nil"/>
                  </w:tcBorders>
                  <w:vAlign w:val="center"/>
                </w:tcPr>
                <w:p w14:paraId="54BB9841">
                  <w:pPr>
                    <w:pStyle w:val="15"/>
                  </w:pPr>
                  <w:r>
                    <w:rPr>
                      <w:rFonts w:hint="eastAsia"/>
                      <w:lang w:val="en-US" w:eastAsia="zh-CN"/>
                    </w:rPr>
                    <w:t>21</w:t>
                  </w:r>
                  <w:r>
                    <w:t>户</w:t>
                  </w:r>
                </w:p>
              </w:tc>
              <w:tc>
                <w:tcPr>
                  <w:tcW w:w="573" w:type="pct"/>
                  <w:tcBorders>
                    <w:tl2br w:val="nil"/>
                    <w:tr2bl w:val="nil"/>
                  </w:tcBorders>
                  <w:vAlign w:val="center"/>
                </w:tcPr>
                <w:p w14:paraId="5311AF02">
                  <w:pPr>
                    <w:pStyle w:val="15"/>
                  </w:pPr>
                  <w:r>
                    <w:t>二类区</w:t>
                  </w:r>
                </w:p>
              </w:tc>
              <w:tc>
                <w:tcPr>
                  <w:tcW w:w="406" w:type="pct"/>
                  <w:tcBorders>
                    <w:tl2br w:val="nil"/>
                    <w:tr2bl w:val="nil"/>
                  </w:tcBorders>
                  <w:vAlign w:val="center"/>
                </w:tcPr>
                <w:p w14:paraId="2A6EF1C8">
                  <w:pPr>
                    <w:pStyle w:val="15"/>
                  </w:pPr>
                  <w:r>
                    <w:rPr>
                      <w:rFonts w:hint="eastAsia"/>
                    </w:rPr>
                    <w:t>东</w:t>
                  </w:r>
                </w:p>
              </w:tc>
              <w:tc>
                <w:tcPr>
                  <w:tcW w:w="666" w:type="pct"/>
                  <w:tcBorders>
                    <w:tl2br w:val="nil"/>
                    <w:tr2bl w:val="nil"/>
                  </w:tcBorders>
                  <w:vAlign w:val="center"/>
                </w:tcPr>
                <w:p w14:paraId="522013BF">
                  <w:pPr>
                    <w:pStyle w:val="15"/>
                    <w:rPr>
                      <w:rFonts w:hint="default" w:eastAsia="宋体"/>
                      <w:lang w:val="en-US" w:eastAsia="zh-CN"/>
                    </w:rPr>
                  </w:pPr>
                  <w:r>
                    <w:rPr>
                      <w:rFonts w:hint="eastAsia"/>
                      <w:lang w:val="en-US" w:eastAsia="zh-CN"/>
                    </w:rPr>
                    <w:t>120~500</w:t>
                  </w:r>
                </w:p>
              </w:tc>
            </w:tr>
            <w:tr w14:paraId="728B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tcBorders>
                    <w:tl2br w:val="nil"/>
                    <w:tr2bl w:val="nil"/>
                  </w:tcBorders>
                  <w:vAlign w:val="center"/>
                </w:tcPr>
                <w:p w14:paraId="39E2875B">
                  <w:pPr>
                    <w:pStyle w:val="15"/>
                    <w:rPr>
                      <w:rFonts w:hint="default" w:eastAsia="宋体"/>
                      <w:lang w:val="en-US" w:eastAsia="zh-CN"/>
                    </w:rPr>
                  </w:pPr>
                  <w:r>
                    <w:rPr>
                      <w:rFonts w:hint="eastAsia"/>
                      <w:lang w:val="en-US" w:eastAsia="zh-CN"/>
                    </w:rPr>
                    <w:t>散户1</w:t>
                  </w:r>
                </w:p>
              </w:tc>
              <w:tc>
                <w:tcPr>
                  <w:tcW w:w="998" w:type="pct"/>
                  <w:tcBorders>
                    <w:tl2br w:val="nil"/>
                    <w:tr2bl w:val="nil"/>
                  </w:tcBorders>
                  <w:vAlign w:val="center"/>
                </w:tcPr>
                <w:p w14:paraId="556C4079">
                  <w:pPr>
                    <w:pStyle w:val="15"/>
                  </w:pPr>
                  <w:r>
                    <w:rPr>
                      <w:rFonts w:hint="eastAsia"/>
                    </w:rPr>
                    <w:t>113.222720277</w:t>
                  </w:r>
                </w:p>
              </w:tc>
              <w:tc>
                <w:tcPr>
                  <w:tcW w:w="910" w:type="pct"/>
                  <w:tcBorders>
                    <w:tl2br w:val="nil"/>
                    <w:tr2bl w:val="nil"/>
                  </w:tcBorders>
                  <w:vAlign w:val="center"/>
                </w:tcPr>
                <w:p w14:paraId="1047EDD3">
                  <w:pPr>
                    <w:pStyle w:val="15"/>
                  </w:pPr>
                  <w:r>
                    <w:rPr>
                      <w:rFonts w:hint="eastAsia"/>
                    </w:rPr>
                    <w:t>29.102078374</w:t>
                  </w:r>
                </w:p>
              </w:tc>
              <w:tc>
                <w:tcPr>
                  <w:tcW w:w="406" w:type="pct"/>
                  <w:tcBorders>
                    <w:tl2br w:val="nil"/>
                    <w:tr2bl w:val="nil"/>
                  </w:tcBorders>
                  <w:vAlign w:val="center"/>
                </w:tcPr>
                <w:p w14:paraId="65E33569">
                  <w:pPr>
                    <w:pStyle w:val="15"/>
                  </w:pPr>
                  <w:r>
                    <w:t>居民</w:t>
                  </w:r>
                </w:p>
              </w:tc>
              <w:tc>
                <w:tcPr>
                  <w:tcW w:w="461" w:type="pct"/>
                  <w:tcBorders>
                    <w:tl2br w:val="nil"/>
                    <w:tr2bl w:val="nil"/>
                  </w:tcBorders>
                  <w:vAlign w:val="center"/>
                </w:tcPr>
                <w:p w14:paraId="105B8C6F">
                  <w:pPr>
                    <w:pStyle w:val="15"/>
                  </w:pPr>
                  <w:r>
                    <w:rPr>
                      <w:rFonts w:hint="eastAsia"/>
                      <w:lang w:val="en-US" w:eastAsia="zh-CN"/>
                    </w:rPr>
                    <w:t>1</w:t>
                  </w:r>
                  <w:r>
                    <w:t>户</w:t>
                  </w:r>
                </w:p>
              </w:tc>
              <w:tc>
                <w:tcPr>
                  <w:tcW w:w="573" w:type="pct"/>
                  <w:tcBorders>
                    <w:tl2br w:val="nil"/>
                    <w:tr2bl w:val="nil"/>
                  </w:tcBorders>
                  <w:vAlign w:val="center"/>
                </w:tcPr>
                <w:p w14:paraId="03F7D74A">
                  <w:pPr>
                    <w:pStyle w:val="15"/>
                  </w:pPr>
                  <w:r>
                    <w:t>二类区</w:t>
                  </w:r>
                </w:p>
              </w:tc>
              <w:tc>
                <w:tcPr>
                  <w:tcW w:w="406" w:type="pct"/>
                  <w:tcBorders>
                    <w:tl2br w:val="nil"/>
                    <w:tr2bl w:val="nil"/>
                  </w:tcBorders>
                  <w:vAlign w:val="center"/>
                </w:tcPr>
                <w:p w14:paraId="4A77EAF3">
                  <w:pPr>
                    <w:pStyle w:val="15"/>
                  </w:pPr>
                  <w:r>
                    <w:rPr>
                      <w:rFonts w:hint="eastAsia"/>
                      <w:lang w:val="en-US" w:eastAsia="zh-CN"/>
                    </w:rPr>
                    <w:t>西</w:t>
                  </w:r>
                  <w:r>
                    <w:rPr>
                      <w:rFonts w:hint="eastAsia"/>
                    </w:rPr>
                    <w:t>南</w:t>
                  </w:r>
                </w:p>
              </w:tc>
              <w:tc>
                <w:tcPr>
                  <w:tcW w:w="666" w:type="pct"/>
                  <w:tcBorders>
                    <w:tl2br w:val="nil"/>
                    <w:tr2bl w:val="nil"/>
                  </w:tcBorders>
                  <w:vAlign w:val="center"/>
                </w:tcPr>
                <w:p w14:paraId="293D4258">
                  <w:pPr>
                    <w:pStyle w:val="15"/>
                    <w:rPr>
                      <w:rFonts w:hint="default" w:eastAsia="宋体"/>
                      <w:lang w:val="en-US" w:eastAsia="zh-CN"/>
                    </w:rPr>
                  </w:pPr>
                  <w:r>
                    <w:rPr>
                      <w:rFonts w:hint="eastAsia"/>
                      <w:lang w:val="en-US" w:eastAsia="zh-CN"/>
                    </w:rPr>
                    <w:t>70~90</w:t>
                  </w:r>
                </w:p>
              </w:tc>
            </w:tr>
            <w:tr w14:paraId="62C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tcBorders>
                    <w:tl2br w:val="nil"/>
                    <w:tr2bl w:val="nil"/>
                  </w:tcBorders>
                  <w:vAlign w:val="center"/>
                </w:tcPr>
                <w:p w14:paraId="1527393C">
                  <w:pPr>
                    <w:pStyle w:val="15"/>
                    <w:rPr>
                      <w:rFonts w:hint="default" w:eastAsia="宋体"/>
                      <w:lang w:val="en-US" w:eastAsia="zh-CN"/>
                    </w:rPr>
                  </w:pPr>
                  <w:r>
                    <w:rPr>
                      <w:rFonts w:hint="eastAsia"/>
                      <w:lang w:val="en-US" w:eastAsia="zh-CN"/>
                    </w:rPr>
                    <w:t>甘家</w:t>
                  </w:r>
                </w:p>
              </w:tc>
              <w:tc>
                <w:tcPr>
                  <w:tcW w:w="998" w:type="pct"/>
                  <w:tcBorders>
                    <w:tl2br w:val="nil"/>
                    <w:tr2bl w:val="nil"/>
                  </w:tcBorders>
                  <w:vAlign w:val="center"/>
                </w:tcPr>
                <w:p w14:paraId="0484B3CD">
                  <w:pPr>
                    <w:pStyle w:val="15"/>
                  </w:pPr>
                  <w:r>
                    <w:rPr>
                      <w:rFonts w:hint="eastAsia"/>
                    </w:rPr>
                    <w:t>113.221883861</w:t>
                  </w:r>
                </w:p>
              </w:tc>
              <w:tc>
                <w:tcPr>
                  <w:tcW w:w="910" w:type="pct"/>
                  <w:tcBorders>
                    <w:tl2br w:val="nil"/>
                    <w:tr2bl w:val="nil"/>
                  </w:tcBorders>
                  <w:vAlign w:val="center"/>
                </w:tcPr>
                <w:p w14:paraId="178A227F">
                  <w:pPr>
                    <w:pStyle w:val="15"/>
                  </w:pPr>
                  <w:r>
                    <w:rPr>
                      <w:rFonts w:hint="eastAsia"/>
                    </w:rPr>
                    <w:t>29.101198783</w:t>
                  </w:r>
                </w:p>
              </w:tc>
              <w:tc>
                <w:tcPr>
                  <w:tcW w:w="641" w:type="dxa"/>
                  <w:tcBorders>
                    <w:tl2br w:val="nil"/>
                    <w:tr2bl w:val="nil"/>
                  </w:tcBorders>
                  <w:vAlign w:val="center"/>
                </w:tcPr>
                <w:p w14:paraId="7419ADC3">
                  <w:pPr>
                    <w:pStyle w:val="15"/>
                    <w:ind w:firstLine="0" w:firstLineChars="0"/>
                  </w:pPr>
                  <w:r>
                    <w:t>居民</w:t>
                  </w:r>
                </w:p>
              </w:tc>
              <w:tc>
                <w:tcPr>
                  <w:tcW w:w="728" w:type="dxa"/>
                  <w:tcBorders>
                    <w:tl2br w:val="nil"/>
                    <w:tr2bl w:val="nil"/>
                  </w:tcBorders>
                  <w:vAlign w:val="center"/>
                </w:tcPr>
                <w:p w14:paraId="00A87591">
                  <w:pPr>
                    <w:pStyle w:val="15"/>
                    <w:ind w:firstLine="0" w:firstLineChars="0"/>
                    <w:rPr>
                      <w:rFonts w:hint="eastAsia"/>
                    </w:rPr>
                  </w:pPr>
                  <w:r>
                    <w:rPr>
                      <w:rFonts w:hint="eastAsia"/>
                      <w:lang w:val="en-US" w:eastAsia="zh-CN"/>
                    </w:rPr>
                    <w:t>15</w:t>
                  </w:r>
                  <w:r>
                    <w:t>户</w:t>
                  </w:r>
                </w:p>
              </w:tc>
              <w:tc>
                <w:tcPr>
                  <w:tcW w:w="904" w:type="dxa"/>
                  <w:tcBorders>
                    <w:tl2br w:val="nil"/>
                    <w:tr2bl w:val="nil"/>
                  </w:tcBorders>
                  <w:vAlign w:val="center"/>
                </w:tcPr>
                <w:p w14:paraId="180F3F6E">
                  <w:pPr>
                    <w:pStyle w:val="15"/>
                    <w:ind w:firstLine="0" w:firstLineChars="0"/>
                  </w:pPr>
                  <w:r>
                    <w:t>二类区</w:t>
                  </w:r>
                </w:p>
              </w:tc>
              <w:tc>
                <w:tcPr>
                  <w:tcW w:w="641" w:type="dxa"/>
                  <w:tcBorders>
                    <w:tl2br w:val="nil"/>
                    <w:tr2bl w:val="nil"/>
                  </w:tcBorders>
                  <w:vAlign w:val="center"/>
                </w:tcPr>
                <w:p w14:paraId="1F971CD7">
                  <w:pPr>
                    <w:pStyle w:val="15"/>
                    <w:ind w:firstLine="0" w:firstLineChars="0"/>
                    <w:rPr>
                      <w:rFonts w:hint="eastAsia"/>
                    </w:rPr>
                  </w:pPr>
                  <w:r>
                    <w:rPr>
                      <w:rFonts w:hint="eastAsia"/>
                      <w:lang w:val="en-US" w:eastAsia="zh-CN"/>
                    </w:rPr>
                    <w:t>西</w:t>
                  </w:r>
                  <w:r>
                    <w:rPr>
                      <w:rFonts w:hint="eastAsia"/>
                    </w:rPr>
                    <w:t>南</w:t>
                  </w:r>
                </w:p>
              </w:tc>
              <w:tc>
                <w:tcPr>
                  <w:tcW w:w="1051" w:type="dxa"/>
                  <w:tcBorders>
                    <w:tl2br w:val="nil"/>
                    <w:tr2bl w:val="nil"/>
                  </w:tcBorders>
                  <w:vAlign w:val="center"/>
                </w:tcPr>
                <w:p w14:paraId="5F1B5DF6">
                  <w:pPr>
                    <w:pStyle w:val="15"/>
                    <w:ind w:firstLine="0" w:firstLineChars="0"/>
                    <w:rPr>
                      <w:rFonts w:hint="default"/>
                      <w:lang w:val="en-US"/>
                    </w:rPr>
                  </w:pPr>
                  <w:r>
                    <w:rPr>
                      <w:rFonts w:hint="eastAsia"/>
                      <w:lang w:val="en-US" w:eastAsia="zh-CN"/>
                    </w:rPr>
                    <w:t>370~500</w:t>
                  </w:r>
                </w:p>
              </w:tc>
            </w:tr>
          </w:tbl>
          <w:p w14:paraId="77B1899A">
            <w:pPr>
              <w:pStyle w:val="17"/>
            </w:pPr>
            <w:r>
              <w:t>表3-</w:t>
            </w:r>
            <w:r>
              <w:rPr>
                <w:rFonts w:hint="eastAsia"/>
                <w:lang w:val="en-US" w:eastAsia="zh-CN"/>
              </w:rPr>
              <w:t>4</w:t>
            </w:r>
            <w:r>
              <w:rPr>
                <w:rFonts w:hint="eastAsia"/>
              </w:rPr>
              <w:t xml:space="preserve"> </w:t>
            </w:r>
            <w:r>
              <w:rPr>
                <w:rFonts w:hint="eastAsia"/>
                <w:lang w:val="en-US" w:eastAsia="zh-CN"/>
              </w:rPr>
              <w:t>其他</w:t>
            </w:r>
            <w:r>
              <w:t>保护目标</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513"/>
              <w:gridCol w:w="1066"/>
              <w:gridCol w:w="1350"/>
              <w:gridCol w:w="748"/>
              <w:gridCol w:w="2021"/>
            </w:tblGrid>
            <w:tr w14:paraId="6AA4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l2br w:val="nil"/>
                    <w:tr2bl w:val="nil"/>
                  </w:tcBorders>
                  <w:vAlign w:val="center"/>
                </w:tcPr>
                <w:p w14:paraId="5A98B73B">
                  <w:pPr>
                    <w:pStyle w:val="15"/>
                    <w:rPr>
                      <w:rFonts w:hint="default" w:eastAsia="宋体"/>
                      <w:lang w:val="en-US" w:eastAsia="zh-CN"/>
                    </w:rPr>
                  </w:pPr>
                  <w:r>
                    <w:rPr>
                      <w:rFonts w:hint="eastAsia"/>
                      <w:lang w:val="en-US" w:eastAsia="zh-CN"/>
                    </w:rPr>
                    <w:t>环境要素</w:t>
                  </w:r>
                </w:p>
              </w:tc>
              <w:tc>
                <w:tcPr>
                  <w:tcW w:w="965" w:type="pct"/>
                  <w:tcBorders>
                    <w:tl2br w:val="nil"/>
                    <w:tr2bl w:val="nil"/>
                  </w:tcBorders>
                  <w:vAlign w:val="center"/>
                </w:tcPr>
                <w:p w14:paraId="636D1344">
                  <w:pPr>
                    <w:pStyle w:val="15"/>
                    <w:rPr>
                      <w:rFonts w:hint="default" w:eastAsia="宋体"/>
                      <w:lang w:val="en-US" w:eastAsia="zh-CN"/>
                    </w:rPr>
                  </w:pPr>
                  <w:r>
                    <w:rPr>
                      <w:rFonts w:hint="eastAsia"/>
                      <w:lang w:val="en-US" w:eastAsia="zh-CN"/>
                    </w:rPr>
                    <w:t>保护目标名称</w:t>
                  </w:r>
                </w:p>
              </w:tc>
              <w:tc>
                <w:tcPr>
                  <w:tcW w:w="680" w:type="pct"/>
                  <w:tcBorders>
                    <w:tl2br w:val="nil"/>
                    <w:tr2bl w:val="nil"/>
                  </w:tcBorders>
                  <w:vAlign w:val="center"/>
                </w:tcPr>
                <w:p w14:paraId="10062CA7">
                  <w:pPr>
                    <w:pStyle w:val="15"/>
                    <w:rPr>
                      <w:rFonts w:hint="default" w:eastAsia="宋体"/>
                      <w:lang w:val="en-US" w:eastAsia="zh-CN"/>
                    </w:rPr>
                  </w:pPr>
                  <w:r>
                    <w:rPr>
                      <w:rFonts w:hint="eastAsia"/>
                      <w:lang w:val="en-US" w:eastAsia="zh-CN"/>
                    </w:rPr>
                    <w:t>相对方位</w:t>
                  </w:r>
                </w:p>
              </w:tc>
              <w:tc>
                <w:tcPr>
                  <w:tcW w:w="861" w:type="pct"/>
                  <w:tcBorders>
                    <w:tl2br w:val="nil"/>
                    <w:tr2bl w:val="nil"/>
                  </w:tcBorders>
                  <w:vAlign w:val="center"/>
                </w:tcPr>
                <w:p w14:paraId="79BC74BB">
                  <w:pPr>
                    <w:pStyle w:val="15"/>
                  </w:pPr>
                  <w:r>
                    <w:t>相对距离/m</w:t>
                  </w:r>
                </w:p>
              </w:tc>
              <w:tc>
                <w:tcPr>
                  <w:tcW w:w="477" w:type="pct"/>
                  <w:tcBorders>
                    <w:tl2br w:val="nil"/>
                    <w:tr2bl w:val="nil"/>
                  </w:tcBorders>
                  <w:vAlign w:val="center"/>
                </w:tcPr>
                <w:p w14:paraId="1EC21550">
                  <w:pPr>
                    <w:pStyle w:val="15"/>
                    <w:rPr>
                      <w:rFonts w:hint="eastAsia" w:eastAsia="宋体"/>
                      <w:lang w:val="en-US" w:eastAsia="zh-CN"/>
                    </w:rPr>
                  </w:pPr>
                  <w:r>
                    <w:rPr>
                      <w:rFonts w:hint="eastAsia"/>
                      <w:lang w:val="en-US" w:eastAsia="zh-CN"/>
                    </w:rPr>
                    <w:t>功能</w:t>
                  </w:r>
                </w:p>
              </w:tc>
              <w:tc>
                <w:tcPr>
                  <w:tcW w:w="1287" w:type="pct"/>
                  <w:tcBorders>
                    <w:tl2br w:val="nil"/>
                    <w:tr2bl w:val="nil"/>
                  </w:tcBorders>
                  <w:vAlign w:val="center"/>
                </w:tcPr>
                <w:p w14:paraId="5BCB5AE5">
                  <w:pPr>
                    <w:pStyle w:val="15"/>
                    <w:rPr>
                      <w:rFonts w:hint="default" w:eastAsia="宋体"/>
                      <w:lang w:val="en-US" w:eastAsia="zh-CN"/>
                    </w:rPr>
                  </w:pPr>
                  <w:r>
                    <w:rPr>
                      <w:rFonts w:hint="eastAsia"/>
                      <w:lang w:val="en-US" w:eastAsia="zh-CN"/>
                    </w:rPr>
                    <w:t>保护级别</w:t>
                  </w:r>
                </w:p>
              </w:tc>
            </w:tr>
            <w:tr w14:paraId="0191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l2br w:val="nil"/>
                    <w:tr2bl w:val="nil"/>
                  </w:tcBorders>
                  <w:vAlign w:val="center"/>
                </w:tcPr>
                <w:p w14:paraId="4EC8BCE4">
                  <w:pPr>
                    <w:pStyle w:val="15"/>
                    <w:rPr>
                      <w:rFonts w:hint="default" w:eastAsia="宋体"/>
                      <w:lang w:val="en-US" w:eastAsia="zh-CN"/>
                    </w:rPr>
                  </w:pPr>
                  <w:r>
                    <w:rPr>
                      <w:rFonts w:hint="eastAsia"/>
                      <w:lang w:val="en-US" w:eastAsia="zh-CN"/>
                    </w:rPr>
                    <w:t>地表水</w:t>
                  </w:r>
                </w:p>
              </w:tc>
              <w:tc>
                <w:tcPr>
                  <w:tcW w:w="965" w:type="pct"/>
                  <w:tcBorders>
                    <w:tl2br w:val="nil"/>
                    <w:tr2bl w:val="nil"/>
                  </w:tcBorders>
                  <w:vAlign w:val="center"/>
                </w:tcPr>
                <w:p w14:paraId="7565C6C3">
                  <w:pPr>
                    <w:pStyle w:val="15"/>
                    <w:rPr>
                      <w:rFonts w:hint="default" w:eastAsia="宋体"/>
                      <w:lang w:val="en-US" w:eastAsia="zh-CN"/>
                    </w:rPr>
                  </w:pPr>
                  <w:r>
                    <w:rPr>
                      <w:rFonts w:hint="eastAsia"/>
                      <w:lang w:val="en-US" w:eastAsia="zh-CN"/>
                    </w:rPr>
                    <w:t>沙港河</w:t>
                  </w:r>
                </w:p>
              </w:tc>
              <w:tc>
                <w:tcPr>
                  <w:tcW w:w="680" w:type="pct"/>
                  <w:tcBorders>
                    <w:tl2br w:val="nil"/>
                    <w:tr2bl w:val="nil"/>
                  </w:tcBorders>
                  <w:vAlign w:val="center"/>
                </w:tcPr>
                <w:p w14:paraId="645B2C6B">
                  <w:pPr>
                    <w:pStyle w:val="15"/>
                    <w:rPr>
                      <w:rFonts w:hint="eastAsia" w:eastAsia="宋体"/>
                      <w:lang w:val="en-US" w:eastAsia="zh-CN"/>
                    </w:rPr>
                  </w:pPr>
                  <w:r>
                    <w:rPr>
                      <w:rFonts w:hint="eastAsia"/>
                      <w:lang w:val="en-US" w:eastAsia="zh-CN"/>
                    </w:rPr>
                    <w:t>南</w:t>
                  </w:r>
                </w:p>
              </w:tc>
              <w:tc>
                <w:tcPr>
                  <w:tcW w:w="861" w:type="pct"/>
                  <w:tcBorders>
                    <w:tl2br w:val="nil"/>
                    <w:tr2bl w:val="nil"/>
                  </w:tcBorders>
                  <w:vAlign w:val="center"/>
                </w:tcPr>
                <w:p w14:paraId="4FA056ED">
                  <w:pPr>
                    <w:pStyle w:val="15"/>
                    <w:rPr>
                      <w:rFonts w:hint="default" w:eastAsia="宋体"/>
                      <w:lang w:val="en-US" w:eastAsia="zh-CN"/>
                    </w:rPr>
                  </w:pPr>
                  <w:r>
                    <w:rPr>
                      <w:rFonts w:hint="eastAsia"/>
                      <w:lang w:val="en-US" w:eastAsia="zh-CN"/>
                    </w:rPr>
                    <w:t>1700</w:t>
                  </w:r>
                </w:p>
              </w:tc>
              <w:tc>
                <w:tcPr>
                  <w:tcW w:w="477" w:type="pct"/>
                  <w:tcBorders>
                    <w:tl2br w:val="nil"/>
                    <w:tr2bl w:val="nil"/>
                  </w:tcBorders>
                  <w:vAlign w:val="center"/>
                </w:tcPr>
                <w:p w14:paraId="4479FCEA">
                  <w:pPr>
                    <w:pStyle w:val="15"/>
                    <w:rPr>
                      <w:rFonts w:hint="eastAsia" w:eastAsia="宋体"/>
                      <w:lang w:val="en-US" w:eastAsia="zh-CN"/>
                    </w:rPr>
                  </w:pPr>
                  <w:r>
                    <w:rPr>
                      <w:rFonts w:hint="eastAsia"/>
                      <w:lang w:val="en-US" w:eastAsia="zh-CN"/>
                    </w:rPr>
                    <w:t>渔业</w:t>
                  </w:r>
                </w:p>
              </w:tc>
              <w:tc>
                <w:tcPr>
                  <w:tcW w:w="1287" w:type="pct"/>
                  <w:tcBorders>
                    <w:tl2br w:val="nil"/>
                    <w:tr2bl w:val="nil"/>
                  </w:tcBorders>
                  <w:vAlign w:val="center"/>
                </w:tcPr>
                <w:p w14:paraId="179B1354">
                  <w:pPr>
                    <w:pStyle w:val="15"/>
                  </w:pPr>
                  <w:r>
                    <w:rPr>
                      <w:rFonts w:hint="eastAsia"/>
                    </w:rPr>
                    <w:t>《地表水环境质量标准》（GB3838- 2002）中的Ⅲ类标准</w:t>
                  </w:r>
                </w:p>
              </w:tc>
            </w:tr>
            <w:tr w14:paraId="3A45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l2br w:val="nil"/>
                    <w:tr2bl w:val="nil"/>
                  </w:tcBorders>
                  <w:vAlign w:val="center"/>
                </w:tcPr>
                <w:p w14:paraId="56C84590">
                  <w:pPr>
                    <w:pStyle w:val="15"/>
                    <w:rPr>
                      <w:rFonts w:hint="default" w:eastAsia="宋体"/>
                      <w:lang w:val="en-US" w:eastAsia="zh-CN"/>
                    </w:rPr>
                  </w:pPr>
                  <w:r>
                    <w:rPr>
                      <w:rFonts w:hint="eastAsia"/>
                      <w:lang w:val="en-US" w:eastAsia="zh-CN"/>
                    </w:rPr>
                    <w:t>声环境</w:t>
                  </w:r>
                </w:p>
              </w:tc>
              <w:tc>
                <w:tcPr>
                  <w:tcW w:w="4272" w:type="pct"/>
                  <w:gridSpan w:val="5"/>
                  <w:tcBorders>
                    <w:tl2br w:val="nil"/>
                    <w:tr2bl w:val="nil"/>
                  </w:tcBorders>
                  <w:vAlign w:val="center"/>
                </w:tcPr>
                <w:p w14:paraId="5A810E2B">
                  <w:pPr>
                    <w:pStyle w:val="15"/>
                    <w:rPr>
                      <w:rFonts w:hint="default" w:eastAsia="宋体"/>
                      <w:lang w:val="en-US" w:eastAsia="zh-CN"/>
                    </w:rPr>
                  </w:pPr>
                  <w:r>
                    <w:rPr>
                      <w:rFonts w:hint="eastAsia"/>
                      <w:lang w:val="en-US" w:eastAsia="zh-CN"/>
                    </w:rPr>
                    <w:t>厂界外50m范围内无居民</w:t>
                  </w:r>
                </w:p>
              </w:tc>
            </w:tr>
            <w:tr w14:paraId="3F78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l2br w:val="nil"/>
                    <w:tr2bl w:val="nil"/>
                  </w:tcBorders>
                  <w:vAlign w:val="center"/>
                </w:tcPr>
                <w:p w14:paraId="0B2AB642">
                  <w:pPr>
                    <w:pStyle w:val="15"/>
                    <w:rPr>
                      <w:rFonts w:hint="default" w:eastAsia="宋体"/>
                      <w:lang w:val="en-US" w:eastAsia="zh-CN"/>
                    </w:rPr>
                  </w:pPr>
                  <w:r>
                    <w:rPr>
                      <w:rFonts w:hint="eastAsia"/>
                      <w:lang w:val="en-US" w:eastAsia="zh-CN"/>
                    </w:rPr>
                    <w:t>生态环境</w:t>
                  </w:r>
                </w:p>
              </w:tc>
              <w:tc>
                <w:tcPr>
                  <w:tcW w:w="4272" w:type="pct"/>
                  <w:gridSpan w:val="5"/>
                  <w:tcBorders>
                    <w:tl2br w:val="nil"/>
                    <w:tr2bl w:val="nil"/>
                  </w:tcBorders>
                  <w:vAlign w:val="center"/>
                </w:tcPr>
                <w:p w14:paraId="43DD11C1">
                  <w:pPr>
                    <w:pStyle w:val="15"/>
                    <w:ind w:firstLine="0" w:firstLineChars="0"/>
                    <w:rPr>
                      <w:rFonts w:hint="eastAsia"/>
                    </w:rPr>
                  </w:pPr>
                  <w:r>
                    <w:rPr>
                      <w:rFonts w:hint="eastAsia"/>
                    </w:rPr>
                    <w:t>无生态敏感区和生态保护目标</w:t>
                  </w:r>
                </w:p>
              </w:tc>
            </w:tr>
            <w:tr w14:paraId="4B3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pct"/>
                  <w:tcBorders>
                    <w:tl2br w:val="nil"/>
                    <w:tr2bl w:val="nil"/>
                  </w:tcBorders>
                  <w:vAlign w:val="center"/>
                </w:tcPr>
                <w:p w14:paraId="191CAC66">
                  <w:pPr>
                    <w:pStyle w:val="15"/>
                    <w:rPr>
                      <w:rFonts w:hint="default"/>
                      <w:lang w:val="en-US" w:eastAsia="zh-CN"/>
                    </w:rPr>
                  </w:pPr>
                  <w:r>
                    <w:rPr>
                      <w:rFonts w:hint="eastAsia"/>
                      <w:lang w:val="en-US" w:eastAsia="zh-CN"/>
                    </w:rPr>
                    <w:t>地下水环境</w:t>
                  </w:r>
                </w:p>
              </w:tc>
              <w:tc>
                <w:tcPr>
                  <w:tcW w:w="4272" w:type="pct"/>
                  <w:gridSpan w:val="5"/>
                  <w:tcBorders>
                    <w:tl2br w:val="nil"/>
                    <w:tr2bl w:val="nil"/>
                  </w:tcBorders>
                  <w:vAlign w:val="center"/>
                </w:tcPr>
                <w:p w14:paraId="4D948A7A">
                  <w:pPr>
                    <w:pStyle w:val="15"/>
                    <w:ind w:firstLine="0" w:firstLineChars="0"/>
                    <w:rPr>
                      <w:rFonts w:hint="eastAsia"/>
                    </w:rPr>
                  </w:pPr>
                  <w:r>
                    <w:rPr>
                      <w:rFonts w:hint="eastAsia"/>
                    </w:rPr>
                    <w:t>厂界外500米范围内无地下水集中式饮用水水源和热水、矿泉水、温泉等特殊地下水资源</w:t>
                  </w:r>
                </w:p>
              </w:tc>
            </w:tr>
          </w:tbl>
          <w:p w14:paraId="50F96706">
            <w:pPr>
              <w:pStyle w:val="16"/>
              <w:ind w:left="0" w:leftChars="0" w:firstLine="0" w:firstLineChars="0"/>
            </w:pPr>
          </w:p>
        </w:tc>
      </w:tr>
      <w:tr w14:paraId="0816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177CBA3F">
            <w:pPr>
              <w:ind w:firstLine="0" w:firstLineChars="0"/>
              <w:jc w:val="center"/>
            </w:pPr>
          </w:p>
          <w:p w14:paraId="148C6266">
            <w:pPr>
              <w:ind w:firstLine="0" w:firstLineChars="0"/>
              <w:jc w:val="center"/>
            </w:pPr>
          </w:p>
          <w:p w14:paraId="3EC0899E">
            <w:pPr>
              <w:ind w:firstLine="0" w:firstLineChars="0"/>
              <w:jc w:val="center"/>
            </w:pPr>
          </w:p>
          <w:p w14:paraId="7824841B">
            <w:pPr>
              <w:ind w:firstLine="0" w:firstLineChars="0"/>
              <w:jc w:val="center"/>
            </w:pPr>
          </w:p>
          <w:p w14:paraId="55D97AE2">
            <w:pPr>
              <w:ind w:firstLine="0" w:firstLineChars="0"/>
              <w:jc w:val="center"/>
            </w:pPr>
            <w:r>
              <w:rPr>
                <w:rFonts w:hint="eastAsia"/>
              </w:rPr>
              <w:t>污染物排放控制标准</w:t>
            </w:r>
          </w:p>
        </w:tc>
        <w:tc>
          <w:tcPr>
            <w:tcW w:w="8115" w:type="dxa"/>
          </w:tcPr>
          <w:p w14:paraId="6CEC974B">
            <w:pPr>
              <w:ind w:firstLine="482"/>
              <w:rPr>
                <w:b/>
                <w:bCs/>
              </w:rPr>
            </w:pPr>
            <w:r>
              <w:rPr>
                <w:rFonts w:hint="eastAsia"/>
                <w:b/>
                <w:bCs/>
              </w:rPr>
              <w:t>1、废气排放标准</w:t>
            </w:r>
          </w:p>
          <w:p w14:paraId="4978E379">
            <w:pPr>
              <w:pStyle w:val="16"/>
              <w:ind w:firstLine="480"/>
              <w:rPr>
                <w:rFonts w:hint="eastAsia" w:eastAsia="宋体"/>
                <w:lang w:eastAsia="zh-CN"/>
              </w:rPr>
            </w:pPr>
            <w:r>
              <w:rPr>
                <w:rFonts w:hint="eastAsia"/>
                <w:lang w:val="en-US" w:eastAsia="zh-CN"/>
              </w:rPr>
              <w:t>热风炉</w:t>
            </w:r>
            <w:r>
              <w:rPr>
                <w:rFonts w:hint="eastAsia"/>
              </w:rPr>
              <w:t>废气</w:t>
            </w:r>
            <w:r>
              <w:t>执行</w:t>
            </w:r>
            <w:r>
              <w:rPr>
                <w:rFonts w:hint="eastAsia"/>
              </w:rPr>
              <w:t>《湖南省工业炉窑大气污染综合治理实施方案》（2020 年6月10日发布）中暂未制定行业排放标准的工业炉窑</w:t>
            </w:r>
            <w:r>
              <w:rPr>
                <w:rFonts w:hint="eastAsia"/>
                <w:lang w:val="en-US" w:eastAsia="zh-CN"/>
              </w:rPr>
              <w:t>排放标准</w:t>
            </w:r>
            <w:r>
              <w:rPr>
                <w:rFonts w:hint="eastAsia"/>
              </w:rPr>
              <w:t>；</w:t>
            </w:r>
            <w:r>
              <w:rPr>
                <w:rFonts w:hint="eastAsia"/>
                <w:lang w:val="en-US" w:eastAsia="zh-CN"/>
              </w:rPr>
              <w:t>粉碎挤出废气和烘干废气中颗粒物、非甲烷总烃</w:t>
            </w:r>
            <w:r>
              <w:rPr>
                <w:rFonts w:hint="eastAsia"/>
              </w:rPr>
              <w:t>执行《玻璃工业大气污染物排放标准》（GB26453-2022）表</w:t>
            </w:r>
            <w:r>
              <w:rPr>
                <w:rFonts w:hint="eastAsia"/>
                <w:lang w:val="en-US" w:eastAsia="zh-CN"/>
              </w:rPr>
              <w:t>1污染物</w:t>
            </w:r>
            <w:r>
              <w:rPr>
                <w:rFonts w:hint="eastAsia"/>
              </w:rPr>
              <w:t>排放标准</w:t>
            </w:r>
            <w:r>
              <w:rPr>
                <w:rFonts w:hint="eastAsia"/>
                <w:lang w:eastAsia="zh-CN"/>
              </w:rPr>
              <w:t>；厂界</w:t>
            </w:r>
            <w:r>
              <w:rPr>
                <w:rFonts w:hint="eastAsia"/>
                <w:lang w:val="en-US" w:eastAsia="zh-CN"/>
              </w:rPr>
              <w:t>无组织颗粒物、非甲烷总烃</w:t>
            </w:r>
            <w:r>
              <w:rPr>
                <w:rFonts w:hint="eastAsia"/>
                <w:lang w:eastAsia="zh-CN"/>
              </w:rPr>
              <w:t>执行</w:t>
            </w:r>
            <w:r>
              <w:rPr>
                <w:rFonts w:hint="eastAsia"/>
              </w:rPr>
              <w:t>《玻璃工业大气污染物排放标准》（GB26453-2022）</w:t>
            </w:r>
            <w:r>
              <w:rPr>
                <w:rFonts w:hint="eastAsia"/>
                <w:lang w:eastAsia="zh-CN"/>
              </w:rPr>
              <w:t>无组织排放限值。</w:t>
            </w:r>
          </w:p>
          <w:p w14:paraId="7D15EB45">
            <w:pPr>
              <w:pStyle w:val="17"/>
            </w:pPr>
            <w:r>
              <w:t>表3-</w:t>
            </w:r>
            <w:r>
              <w:rPr>
                <w:rFonts w:hint="eastAsia"/>
                <w:lang w:val="en-US" w:eastAsia="zh-CN"/>
              </w:rPr>
              <w:t>5</w:t>
            </w:r>
            <w:r>
              <w:t xml:space="preserve"> </w:t>
            </w:r>
            <w:r>
              <w:rPr>
                <w:rFonts w:hint="eastAsia"/>
              </w:rPr>
              <w:t>《湖南省工业炉窑大气污染综合治理实施方案》</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1"/>
              <w:gridCol w:w="3197"/>
            </w:tblGrid>
            <w:tr w14:paraId="1B20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vAlign w:val="center"/>
                </w:tcPr>
                <w:p w14:paraId="2A1B561B">
                  <w:pPr>
                    <w:pStyle w:val="15"/>
                  </w:pPr>
                  <w:r>
                    <w:t>污染物</w:t>
                  </w:r>
                </w:p>
              </w:tc>
              <w:tc>
                <w:tcPr>
                  <w:tcW w:w="2039" w:type="pct"/>
                  <w:vAlign w:val="center"/>
                </w:tcPr>
                <w:p w14:paraId="24829083">
                  <w:pPr>
                    <w:pStyle w:val="15"/>
                  </w:pPr>
                  <w:r>
                    <w:t>限值（mg/m</w:t>
                  </w:r>
                  <w:r>
                    <w:rPr>
                      <w:vertAlign w:val="superscript"/>
                    </w:rPr>
                    <w:t>3</w:t>
                  </w:r>
                  <w:r>
                    <w:t>）</w:t>
                  </w:r>
                </w:p>
              </w:tc>
            </w:tr>
            <w:tr w14:paraId="4EB4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vAlign w:val="center"/>
                </w:tcPr>
                <w:p w14:paraId="72802DB1">
                  <w:pPr>
                    <w:pStyle w:val="15"/>
                  </w:pPr>
                  <w:r>
                    <w:rPr>
                      <w:rFonts w:hint="eastAsia"/>
                    </w:rPr>
                    <w:t>颗粒物</w:t>
                  </w:r>
                </w:p>
              </w:tc>
              <w:tc>
                <w:tcPr>
                  <w:tcW w:w="2039" w:type="pct"/>
                  <w:vAlign w:val="center"/>
                </w:tcPr>
                <w:p w14:paraId="04843099">
                  <w:pPr>
                    <w:pStyle w:val="15"/>
                  </w:pPr>
                  <w:r>
                    <w:rPr>
                      <w:rFonts w:hint="eastAsia"/>
                    </w:rPr>
                    <w:t>30</w:t>
                  </w:r>
                </w:p>
              </w:tc>
            </w:tr>
            <w:tr w14:paraId="5809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vAlign w:val="center"/>
                </w:tcPr>
                <w:p w14:paraId="47FC5B97">
                  <w:pPr>
                    <w:pStyle w:val="15"/>
                  </w:pPr>
                  <w:r>
                    <w:rPr>
                      <w:rFonts w:hint="eastAsia"/>
                    </w:rPr>
                    <w:t>二氧化硫</w:t>
                  </w:r>
                </w:p>
              </w:tc>
              <w:tc>
                <w:tcPr>
                  <w:tcW w:w="2039" w:type="pct"/>
                  <w:vAlign w:val="center"/>
                </w:tcPr>
                <w:p w14:paraId="729CC1F0">
                  <w:pPr>
                    <w:pStyle w:val="15"/>
                  </w:pPr>
                  <w:r>
                    <w:rPr>
                      <w:rFonts w:hint="eastAsia"/>
                    </w:rPr>
                    <w:t>200</w:t>
                  </w:r>
                </w:p>
              </w:tc>
            </w:tr>
            <w:tr w14:paraId="6ACD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pct"/>
                  <w:vAlign w:val="center"/>
                </w:tcPr>
                <w:p w14:paraId="2046050C">
                  <w:pPr>
                    <w:pStyle w:val="15"/>
                  </w:pPr>
                  <w:r>
                    <w:rPr>
                      <w:rFonts w:hint="eastAsia"/>
                    </w:rPr>
                    <w:t>氮氧化物</w:t>
                  </w:r>
                </w:p>
              </w:tc>
              <w:tc>
                <w:tcPr>
                  <w:tcW w:w="2039" w:type="pct"/>
                  <w:vAlign w:val="center"/>
                </w:tcPr>
                <w:p w14:paraId="3FD3F520">
                  <w:pPr>
                    <w:pStyle w:val="15"/>
                  </w:pPr>
                  <w:r>
                    <w:rPr>
                      <w:rFonts w:hint="eastAsia"/>
                      <w:lang w:val="en-US" w:eastAsia="zh-CN"/>
                    </w:rPr>
                    <w:t>3</w:t>
                  </w:r>
                  <w:r>
                    <w:rPr>
                      <w:rFonts w:hint="eastAsia"/>
                    </w:rPr>
                    <w:t>00</w:t>
                  </w:r>
                </w:p>
              </w:tc>
            </w:tr>
          </w:tbl>
          <w:p w14:paraId="77C3C565">
            <w:pPr>
              <w:pStyle w:val="17"/>
              <w:rPr>
                <w:rFonts w:hint="eastAsia"/>
              </w:rPr>
            </w:pPr>
            <w:r>
              <w:t>表3-</w:t>
            </w:r>
            <w:r>
              <w:rPr>
                <w:rFonts w:hint="eastAsia"/>
                <w:lang w:val="en-US" w:eastAsia="zh-CN"/>
              </w:rPr>
              <w:t>6</w:t>
            </w:r>
            <w:r>
              <w:t xml:space="preserve"> </w:t>
            </w:r>
            <w:r>
              <w:rPr>
                <w:rFonts w:hint="eastAsia"/>
              </w:rPr>
              <w:t>《玻璃工业大气污染物排放标准》</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960"/>
              <w:gridCol w:w="1856"/>
              <w:gridCol w:w="2551"/>
            </w:tblGrid>
            <w:tr w14:paraId="25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938" w:type="pct"/>
                  <w:vMerge w:val="restart"/>
                  <w:vAlign w:val="center"/>
                </w:tcPr>
                <w:p w14:paraId="2CAC7292">
                  <w:pPr>
                    <w:pStyle w:val="15"/>
                    <w:rPr>
                      <w:rFonts w:hint="eastAsia" w:eastAsia="宋体"/>
                      <w:lang w:val="en-US" w:eastAsia="zh-CN"/>
                    </w:rPr>
                  </w:pPr>
                  <w:r>
                    <w:rPr>
                      <w:rFonts w:hint="eastAsia"/>
                      <w:lang w:val="en-US" w:eastAsia="zh-CN"/>
                    </w:rPr>
                    <w:t>污染物</w:t>
                  </w:r>
                </w:p>
              </w:tc>
              <w:tc>
                <w:tcPr>
                  <w:tcW w:w="1250" w:type="pct"/>
                  <w:vMerge w:val="restart"/>
                  <w:vAlign w:val="center"/>
                </w:tcPr>
                <w:p w14:paraId="1EBA6E90">
                  <w:pPr>
                    <w:pStyle w:val="15"/>
                    <w:rPr>
                      <w:rFonts w:hint="eastAsia" w:eastAsia="宋体"/>
                      <w:lang w:val="en-US" w:eastAsia="zh-CN"/>
                    </w:rPr>
                  </w:pPr>
                  <w:r>
                    <w:rPr>
                      <w:rFonts w:hint="eastAsia"/>
                      <w:lang w:val="en-US" w:eastAsia="zh-CN"/>
                    </w:rPr>
                    <w:t>有组织排放监控浓度限值（</w:t>
                  </w:r>
                  <w:r>
                    <w:t>mg/m</w:t>
                  </w:r>
                  <w:r>
                    <w:rPr>
                      <w:rFonts w:hint="eastAsia"/>
                      <w:vertAlign w:val="superscript"/>
                      <w:lang w:val="en-US" w:eastAsia="zh-CN"/>
                    </w:rPr>
                    <w:t>3</w:t>
                  </w:r>
                  <w:r>
                    <w:rPr>
                      <w:rFonts w:hint="eastAsia"/>
                      <w:lang w:val="en-US" w:eastAsia="zh-CN"/>
                    </w:rPr>
                    <w:t>）</w:t>
                  </w:r>
                </w:p>
              </w:tc>
              <w:tc>
                <w:tcPr>
                  <w:tcW w:w="2811" w:type="pct"/>
                  <w:gridSpan w:val="2"/>
                  <w:vAlign w:val="center"/>
                </w:tcPr>
                <w:p w14:paraId="7D2BF11C">
                  <w:pPr>
                    <w:pStyle w:val="15"/>
                    <w:rPr>
                      <w:rFonts w:hint="default"/>
                      <w:lang w:val="en-US" w:eastAsia="zh-CN"/>
                    </w:rPr>
                  </w:pPr>
                  <w:r>
                    <w:rPr>
                      <w:rFonts w:hint="eastAsia"/>
                      <w:lang w:val="en-US" w:eastAsia="zh-CN"/>
                    </w:rPr>
                    <w:t>无组织排放限值</w:t>
                  </w:r>
                </w:p>
              </w:tc>
            </w:tr>
            <w:tr w14:paraId="3048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38" w:type="pct"/>
                  <w:vMerge w:val="continue"/>
                  <w:vAlign w:val="center"/>
                </w:tcPr>
                <w:p w14:paraId="386A5CEF">
                  <w:pPr>
                    <w:pStyle w:val="15"/>
                    <w:rPr>
                      <w:rFonts w:hint="eastAsia" w:eastAsia="宋体"/>
                      <w:lang w:val="en-US" w:eastAsia="zh-CN"/>
                    </w:rPr>
                  </w:pPr>
                </w:p>
              </w:tc>
              <w:tc>
                <w:tcPr>
                  <w:tcW w:w="1250" w:type="pct"/>
                  <w:vMerge w:val="continue"/>
                  <w:vAlign w:val="center"/>
                </w:tcPr>
                <w:p w14:paraId="7976596E">
                  <w:pPr>
                    <w:pStyle w:val="15"/>
                    <w:rPr>
                      <w:rFonts w:hint="default" w:eastAsia="宋体"/>
                      <w:lang w:val="en-US" w:eastAsia="zh-CN"/>
                    </w:rPr>
                  </w:pPr>
                </w:p>
              </w:tc>
              <w:tc>
                <w:tcPr>
                  <w:tcW w:w="1184" w:type="pct"/>
                  <w:vAlign w:val="center"/>
                </w:tcPr>
                <w:p w14:paraId="0D2BC3F2">
                  <w:pPr>
                    <w:pStyle w:val="15"/>
                    <w:rPr>
                      <w:rFonts w:hint="default"/>
                      <w:lang w:val="en-US" w:eastAsia="zh-CN"/>
                    </w:rPr>
                  </w:pPr>
                  <w:r>
                    <w:rPr>
                      <w:rFonts w:hint="eastAsia"/>
                      <w:lang w:val="en-US" w:eastAsia="zh-CN"/>
                    </w:rPr>
                    <w:t>排放限值（</w:t>
                  </w:r>
                  <w:r>
                    <w:t>mg/m</w:t>
                  </w:r>
                  <w:r>
                    <w:rPr>
                      <w:rFonts w:hint="eastAsia"/>
                      <w:vertAlign w:val="superscript"/>
                      <w:lang w:val="en-US" w:eastAsia="zh-CN"/>
                    </w:rPr>
                    <w:t>3</w:t>
                  </w:r>
                  <w:r>
                    <w:rPr>
                      <w:rFonts w:hint="eastAsia"/>
                      <w:lang w:val="en-US" w:eastAsia="zh-CN"/>
                    </w:rPr>
                    <w:t>）</w:t>
                  </w:r>
                </w:p>
              </w:tc>
              <w:tc>
                <w:tcPr>
                  <w:tcW w:w="1626" w:type="pct"/>
                  <w:vAlign w:val="center"/>
                </w:tcPr>
                <w:p w14:paraId="29CF7CCB">
                  <w:pPr>
                    <w:pStyle w:val="15"/>
                    <w:rPr>
                      <w:rFonts w:hint="default"/>
                      <w:lang w:val="en-US" w:eastAsia="zh-CN"/>
                    </w:rPr>
                  </w:pPr>
                  <w:r>
                    <w:rPr>
                      <w:rFonts w:hint="eastAsia"/>
                      <w:lang w:val="en-US" w:eastAsia="zh-CN"/>
                    </w:rPr>
                    <w:t>限值含义</w:t>
                  </w:r>
                </w:p>
              </w:tc>
            </w:tr>
            <w:tr w14:paraId="027D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shd w:val="clear" w:color="auto" w:fill="auto"/>
                  <w:vAlign w:val="center"/>
                </w:tcPr>
                <w:p w14:paraId="4E2B18C2">
                  <w:pPr>
                    <w:pStyle w:val="15"/>
                    <w:ind w:firstLine="0" w:firstLineChars="0"/>
                    <w:rPr>
                      <w:rFonts w:hint="eastAsia" w:ascii="Times New Roman" w:hAnsi="Times New Roman" w:eastAsia="宋体" w:cs="Times New Roman"/>
                      <w:snapToGrid w:val="0"/>
                      <w:kern w:val="0"/>
                      <w:sz w:val="21"/>
                      <w:szCs w:val="24"/>
                      <w:lang w:val="en-US" w:eastAsia="zh-CN" w:bidi="ar-SA"/>
                    </w:rPr>
                  </w:pPr>
                  <w:r>
                    <w:rPr>
                      <w:rFonts w:hint="eastAsia"/>
                      <w:lang w:val="en-US" w:eastAsia="zh-CN"/>
                    </w:rPr>
                    <w:t>颗粒物</w:t>
                  </w:r>
                </w:p>
              </w:tc>
              <w:tc>
                <w:tcPr>
                  <w:tcW w:w="1250" w:type="pct"/>
                  <w:shd w:val="clear" w:color="auto" w:fill="auto"/>
                  <w:vAlign w:val="center"/>
                </w:tcPr>
                <w:p w14:paraId="24A21D14">
                  <w:pPr>
                    <w:pStyle w:val="15"/>
                    <w:ind w:firstLine="0" w:firstLineChars="0"/>
                    <w:rPr>
                      <w:rFonts w:hint="default" w:ascii="Times New Roman" w:hAnsi="Times New Roman" w:eastAsia="宋体" w:cs="Times New Roman"/>
                      <w:snapToGrid w:val="0"/>
                      <w:kern w:val="0"/>
                      <w:sz w:val="21"/>
                      <w:szCs w:val="24"/>
                      <w:lang w:val="en-US" w:eastAsia="zh-CN" w:bidi="ar-SA"/>
                    </w:rPr>
                  </w:pPr>
                  <w:r>
                    <w:rPr>
                      <w:rFonts w:hint="eastAsia"/>
                      <w:lang w:val="en-US" w:eastAsia="zh-CN"/>
                    </w:rPr>
                    <w:t>30</w:t>
                  </w:r>
                </w:p>
              </w:tc>
              <w:tc>
                <w:tcPr>
                  <w:tcW w:w="1184" w:type="pct"/>
                  <w:vAlign w:val="center"/>
                </w:tcPr>
                <w:p w14:paraId="5C7E49FC">
                  <w:pPr>
                    <w:pStyle w:val="15"/>
                    <w:rPr>
                      <w:rFonts w:hint="default"/>
                      <w:lang w:val="en-US" w:eastAsia="zh-CN"/>
                    </w:rPr>
                  </w:pPr>
                  <w:r>
                    <w:rPr>
                      <w:rFonts w:hint="eastAsia"/>
                      <w:lang w:val="en-US" w:eastAsia="zh-CN"/>
                    </w:rPr>
                    <w:t>3</w:t>
                  </w:r>
                </w:p>
              </w:tc>
              <w:tc>
                <w:tcPr>
                  <w:tcW w:w="1626" w:type="pct"/>
                  <w:vAlign w:val="center"/>
                </w:tcPr>
                <w:p w14:paraId="0CAA59BD">
                  <w:pPr>
                    <w:pStyle w:val="15"/>
                    <w:rPr>
                      <w:rFonts w:hint="default"/>
                      <w:lang w:val="en-US" w:eastAsia="zh-CN"/>
                    </w:rPr>
                  </w:pPr>
                  <w:r>
                    <w:rPr>
                      <w:rFonts w:hint="eastAsia"/>
                      <w:lang w:val="en-US" w:eastAsia="zh-CN"/>
                    </w:rPr>
                    <w:t>监控点处1h平均浓度值</w:t>
                  </w:r>
                </w:p>
              </w:tc>
            </w:tr>
            <w:tr w14:paraId="28F4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14:paraId="50D48121">
                  <w:pPr>
                    <w:pStyle w:val="15"/>
                    <w:rPr>
                      <w:rFonts w:hint="eastAsia" w:eastAsia="宋体"/>
                      <w:lang w:val="en-US" w:eastAsia="zh-CN"/>
                    </w:rPr>
                  </w:pPr>
                  <w:r>
                    <w:rPr>
                      <w:rFonts w:hint="eastAsia"/>
                      <w:lang w:val="en-US" w:eastAsia="zh-CN"/>
                    </w:rPr>
                    <w:t>非甲烷总烃</w:t>
                  </w:r>
                </w:p>
              </w:tc>
              <w:tc>
                <w:tcPr>
                  <w:tcW w:w="1250" w:type="pct"/>
                  <w:vMerge w:val="restart"/>
                  <w:vAlign w:val="center"/>
                </w:tcPr>
                <w:p w14:paraId="299C65A8">
                  <w:pPr>
                    <w:pStyle w:val="15"/>
                    <w:rPr>
                      <w:rFonts w:hint="default" w:eastAsia="宋体"/>
                      <w:lang w:val="en-US" w:eastAsia="zh-CN"/>
                    </w:rPr>
                  </w:pPr>
                  <w:r>
                    <w:rPr>
                      <w:rFonts w:hint="eastAsia"/>
                      <w:lang w:val="en-US" w:eastAsia="zh-CN"/>
                    </w:rPr>
                    <w:t>80</w:t>
                  </w:r>
                </w:p>
              </w:tc>
              <w:tc>
                <w:tcPr>
                  <w:tcW w:w="1184" w:type="pct"/>
                  <w:vAlign w:val="center"/>
                </w:tcPr>
                <w:p w14:paraId="12F9D499">
                  <w:pPr>
                    <w:pStyle w:val="15"/>
                    <w:rPr>
                      <w:rFonts w:hint="eastAsia" w:eastAsia="宋体"/>
                      <w:lang w:val="en-US" w:eastAsia="zh-CN"/>
                    </w:rPr>
                  </w:pPr>
                  <w:r>
                    <w:rPr>
                      <w:rFonts w:hint="eastAsia"/>
                      <w:lang w:val="en-US" w:eastAsia="zh-CN"/>
                    </w:rPr>
                    <w:t>5</w:t>
                  </w:r>
                </w:p>
              </w:tc>
              <w:tc>
                <w:tcPr>
                  <w:tcW w:w="1626" w:type="pct"/>
                  <w:vAlign w:val="center"/>
                </w:tcPr>
                <w:p w14:paraId="25608633">
                  <w:pPr>
                    <w:pStyle w:val="15"/>
                    <w:rPr>
                      <w:rFonts w:hint="default" w:eastAsia="宋体"/>
                      <w:lang w:val="en-US" w:eastAsia="zh-CN"/>
                    </w:rPr>
                  </w:pPr>
                  <w:r>
                    <w:rPr>
                      <w:rFonts w:hint="eastAsia"/>
                      <w:lang w:val="en-US" w:eastAsia="zh-CN"/>
                    </w:rPr>
                    <w:t>监控点处1h平均浓度值</w:t>
                  </w:r>
                </w:p>
              </w:tc>
            </w:tr>
            <w:tr w14:paraId="0D5F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14:paraId="0BD83707">
                  <w:pPr>
                    <w:pStyle w:val="15"/>
                    <w:rPr>
                      <w:rFonts w:hint="eastAsia"/>
                      <w:lang w:val="en-US" w:eastAsia="zh-CN"/>
                    </w:rPr>
                  </w:pPr>
                </w:p>
              </w:tc>
              <w:tc>
                <w:tcPr>
                  <w:tcW w:w="1250" w:type="pct"/>
                  <w:vMerge w:val="continue"/>
                  <w:vAlign w:val="center"/>
                </w:tcPr>
                <w:p w14:paraId="3FBE33D0">
                  <w:pPr>
                    <w:pStyle w:val="15"/>
                    <w:rPr>
                      <w:rFonts w:hint="eastAsia"/>
                      <w:lang w:val="en-US" w:eastAsia="zh-CN"/>
                    </w:rPr>
                  </w:pPr>
                </w:p>
              </w:tc>
              <w:tc>
                <w:tcPr>
                  <w:tcW w:w="1184" w:type="pct"/>
                  <w:vAlign w:val="center"/>
                </w:tcPr>
                <w:p w14:paraId="14F93313">
                  <w:pPr>
                    <w:pStyle w:val="15"/>
                    <w:rPr>
                      <w:rFonts w:hint="default" w:eastAsia="宋体"/>
                      <w:lang w:val="en-US" w:eastAsia="zh-CN"/>
                    </w:rPr>
                  </w:pPr>
                  <w:r>
                    <w:rPr>
                      <w:rFonts w:hint="eastAsia"/>
                      <w:lang w:val="en-US" w:eastAsia="zh-CN"/>
                    </w:rPr>
                    <w:t>15</w:t>
                  </w:r>
                </w:p>
              </w:tc>
              <w:tc>
                <w:tcPr>
                  <w:tcW w:w="1626" w:type="pct"/>
                  <w:vAlign w:val="center"/>
                </w:tcPr>
                <w:p w14:paraId="4AE91A28">
                  <w:pPr>
                    <w:pStyle w:val="15"/>
                    <w:rPr>
                      <w:rFonts w:hint="default" w:eastAsia="宋体"/>
                      <w:lang w:val="en-US" w:eastAsia="zh-CN"/>
                    </w:rPr>
                  </w:pPr>
                  <w:r>
                    <w:rPr>
                      <w:rFonts w:hint="eastAsia"/>
                      <w:lang w:val="en-US" w:eastAsia="zh-CN"/>
                    </w:rPr>
                    <w:t>监控点处任意一次浓度值</w:t>
                  </w:r>
                </w:p>
              </w:tc>
            </w:tr>
          </w:tbl>
          <w:p w14:paraId="594FAEF2">
            <w:pPr>
              <w:ind w:left="0" w:leftChars="0" w:firstLine="482" w:firstLineChars="200"/>
              <w:rPr>
                <w:b/>
                <w:bCs/>
              </w:rPr>
            </w:pPr>
            <w:r>
              <w:rPr>
                <w:rFonts w:hint="eastAsia"/>
                <w:b/>
                <w:bCs/>
              </w:rPr>
              <w:t>2、废水排放标准</w:t>
            </w:r>
          </w:p>
          <w:p w14:paraId="72A9B71A">
            <w:pPr>
              <w:ind w:left="0" w:leftChars="0" w:firstLine="480" w:firstLineChars="200"/>
              <w:rPr>
                <w:rFonts w:hint="eastAsia"/>
                <w:b w:val="0"/>
                <w:bCs/>
                <w:lang w:val="en-US" w:eastAsia="zh-CN"/>
              </w:rPr>
            </w:pPr>
            <w:r>
              <w:rPr>
                <w:rFonts w:hint="eastAsia"/>
                <w:b w:val="0"/>
                <w:bCs/>
                <w:lang w:val="en-US" w:eastAsia="zh-CN"/>
              </w:rPr>
              <w:t>无废水外排。</w:t>
            </w:r>
          </w:p>
          <w:p w14:paraId="6E1939D8">
            <w:pPr>
              <w:ind w:left="0" w:leftChars="0" w:firstLine="482" w:firstLineChars="200"/>
              <w:rPr>
                <w:b/>
                <w:bCs/>
              </w:rPr>
            </w:pPr>
            <w:r>
              <w:rPr>
                <w:b/>
                <w:bCs/>
              </w:rPr>
              <w:t>3、噪声</w:t>
            </w:r>
            <w:r>
              <w:rPr>
                <w:rFonts w:hint="eastAsia"/>
                <w:b/>
                <w:bCs/>
              </w:rPr>
              <w:t>排放标准</w:t>
            </w:r>
          </w:p>
          <w:p w14:paraId="0D6D91CA">
            <w:pPr>
              <w:ind w:firstLine="480"/>
            </w:pPr>
            <w:r>
              <w:rPr>
                <w:rFonts w:hint="eastAsia"/>
              </w:rPr>
              <w:t>营运期噪声</w:t>
            </w:r>
            <w:r>
              <w:t>执行《工业企业厂界环境噪声排放标准》（GB12348-2008）中2类标准</w:t>
            </w:r>
            <w:r>
              <w:rPr>
                <w:rFonts w:hint="eastAsia"/>
              </w:rPr>
              <w:t>（</w:t>
            </w:r>
            <w:r>
              <w:t>昼间≤</w:t>
            </w:r>
            <w:r>
              <w:rPr>
                <w:rFonts w:hint="eastAsia"/>
              </w:rPr>
              <w:t>6</w:t>
            </w:r>
            <w:r>
              <w:t>0dB（A），夜间≤5</w:t>
            </w:r>
            <w:r>
              <w:rPr>
                <w:rFonts w:hint="eastAsia"/>
              </w:rPr>
              <w:t>0</w:t>
            </w:r>
            <w:r>
              <w:t>dB（A））</w:t>
            </w:r>
            <w:r>
              <w:rPr>
                <w:rFonts w:hint="eastAsia"/>
              </w:rPr>
              <w:t>。</w:t>
            </w:r>
          </w:p>
          <w:p w14:paraId="5D18DEF9">
            <w:pPr>
              <w:ind w:firstLine="482"/>
              <w:rPr>
                <w:b/>
                <w:bCs/>
              </w:rPr>
            </w:pPr>
            <w:r>
              <w:rPr>
                <w:b/>
                <w:bCs/>
              </w:rPr>
              <w:t>4、固废</w:t>
            </w:r>
          </w:p>
          <w:p w14:paraId="346C54D0">
            <w:pPr>
              <w:ind w:firstLine="480"/>
            </w:pPr>
            <w:r>
              <w:t>一般工业固体废物执行《一般工业固体废物贮存和填埋污染控制标准》</w:t>
            </w:r>
            <w:r>
              <w:rPr>
                <w:rFonts w:hint="eastAsia"/>
                <w:lang w:eastAsia="zh-CN"/>
              </w:rPr>
              <w:t>（</w:t>
            </w:r>
            <w:r>
              <w:t>GB18599-2020</w:t>
            </w:r>
            <w:r>
              <w:rPr>
                <w:rFonts w:hint="eastAsia"/>
                <w:lang w:eastAsia="zh-CN"/>
              </w:rPr>
              <w:t>）；</w:t>
            </w:r>
            <w:r>
              <w:rPr>
                <w:rFonts w:hint="default"/>
                <w:lang w:val="en-US" w:eastAsia="zh-CN"/>
              </w:rPr>
              <w:t>危险废物执行《危险废物贮存污染控制标准》</w:t>
            </w:r>
            <w:r>
              <w:rPr>
                <w:rFonts w:hint="eastAsia"/>
                <w:lang w:val="en-US" w:eastAsia="zh-CN"/>
              </w:rPr>
              <w:t>（</w:t>
            </w:r>
            <w:r>
              <w:rPr>
                <w:rFonts w:hint="default"/>
                <w:lang w:val="en-US" w:eastAsia="zh-CN"/>
              </w:rPr>
              <w:t>GB18597-2023</w:t>
            </w:r>
            <w:r>
              <w:rPr>
                <w:rFonts w:hint="eastAsia"/>
                <w:lang w:val="en-US" w:eastAsia="zh-CN"/>
              </w:rPr>
              <w:t>）</w:t>
            </w:r>
            <w:r>
              <w:t>。</w:t>
            </w:r>
          </w:p>
        </w:tc>
      </w:tr>
      <w:tr w14:paraId="4BB9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407" w:type="dxa"/>
            <w:vAlign w:val="center"/>
          </w:tcPr>
          <w:p w14:paraId="6F342841">
            <w:pPr>
              <w:ind w:firstLine="0" w:firstLineChars="0"/>
              <w:jc w:val="center"/>
            </w:pPr>
            <w:r>
              <w:rPr>
                <w:rFonts w:hint="eastAsia"/>
              </w:rPr>
              <w:t>总量控制指标</w:t>
            </w:r>
          </w:p>
        </w:tc>
        <w:tc>
          <w:tcPr>
            <w:tcW w:w="8115" w:type="dxa"/>
          </w:tcPr>
          <w:p w14:paraId="4155E5AA">
            <w:pPr>
              <w:ind w:firstLine="480"/>
              <w:rPr>
                <w:rFonts w:hint="eastAsia"/>
              </w:rPr>
            </w:pPr>
            <w:r>
              <w:rPr>
                <w:rFonts w:hint="eastAsia"/>
              </w:rPr>
              <w:t>根据《国家“十四五”生态环境保护规划》、《湖南省“十四五”主要污染物减排规划》，国家将继续实施主要污染物总量控制制度，将化学需氧量、氨氮、氮氧化物、挥发性有机物等4项污染物作为约束性指标进行考核。</w:t>
            </w:r>
          </w:p>
          <w:p w14:paraId="39790312">
            <w:pPr>
              <w:ind w:firstLine="480"/>
            </w:pPr>
            <w:r>
              <w:t>根据《湖南省“十四五”生态环境保护规划》（湘政办发〔2021〕61号），化学需氧量、氨氮、二氧化硫、氮氧化物四类污染物和重金属类为管控主要污染物总量指标。</w:t>
            </w:r>
          </w:p>
          <w:p w14:paraId="79D2E7DE">
            <w:pPr>
              <w:ind w:firstLine="480"/>
            </w:pPr>
            <w:r>
              <w:rPr>
                <w:highlight w:val="none"/>
                <w:u w:val="none"/>
              </w:rPr>
              <w:t>本项目</w:t>
            </w:r>
            <w:r>
              <w:rPr>
                <w:rFonts w:hint="eastAsia"/>
                <w:highlight w:val="none"/>
                <w:u w:val="none"/>
                <w:lang w:val="en-US" w:eastAsia="zh-CN"/>
              </w:rPr>
              <w:t>无废水外排，无需申请废水污染物排放总量；废气</w:t>
            </w:r>
            <w:r>
              <w:rPr>
                <w:highlight w:val="none"/>
                <w:u w:val="none"/>
              </w:rPr>
              <w:t>污染物排放总量</w:t>
            </w:r>
            <w:r>
              <w:rPr>
                <w:rFonts w:hint="eastAsia"/>
                <w:highlight w:val="none"/>
                <w:u w:val="none"/>
              </w:rPr>
              <w:t>指标</w:t>
            </w:r>
            <w:r>
              <w:rPr>
                <w:highlight w:val="none"/>
                <w:u w:val="none"/>
              </w:rPr>
              <w:t>为SO</w:t>
            </w:r>
            <w:r>
              <w:rPr>
                <w:highlight w:val="none"/>
                <w:u w:val="none"/>
                <w:vertAlign w:val="subscript"/>
              </w:rPr>
              <w:t>2</w:t>
            </w:r>
            <w:r>
              <w:rPr>
                <w:highlight w:val="none"/>
                <w:u w:val="none"/>
              </w:rPr>
              <w:t>、NO</w:t>
            </w:r>
            <w:r>
              <w:rPr>
                <w:rFonts w:hint="eastAsia"/>
                <w:highlight w:val="none"/>
                <w:u w:val="none"/>
                <w:vertAlign w:val="subscript"/>
              </w:rPr>
              <w:t>X</w:t>
            </w:r>
            <w:r>
              <w:rPr>
                <w:rFonts w:hint="eastAsia"/>
                <w:highlight w:val="none"/>
                <w:u w:val="none"/>
                <w:vertAlign w:val="baseline"/>
                <w:lang w:val="en-US" w:eastAsia="zh-CN"/>
              </w:rPr>
              <w:t>、挥发性有机物</w:t>
            </w:r>
            <w:r>
              <w:rPr>
                <w:rFonts w:hint="eastAsia"/>
                <w:highlight w:val="none"/>
                <w:u w:val="none"/>
              </w:rPr>
              <w:t>，废气总量控制指标建议：</w:t>
            </w:r>
            <w:r>
              <w:rPr>
                <w:highlight w:val="none"/>
                <w:u w:val="none"/>
              </w:rPr>
              <w:t>SO</w:t>
            </w:r>
            <w:r>
              <w:rPr>
                <w:highlight w:val="none"/>
                <w:u w:val="none"/>
                <w:vertAlign w:val="subscript"/>
              </w:rPr>
              <w:t>2</w:t>
            </w:r>
            <w:r>
              <w:rPr>
                <w:rFonts w:hint="eastAsia"/>
                <w:highlight w:val="none"/>
                <w:u w:val="none"/>
                <w:vertAlign w:val="subscript"/>
              </w:rPr>
              <w:t xml:space="preserve"> </w:t>
            </w:r>
            <w:r>
              <w:rPr>
                <w:rFonts w:hint="eastAsia"/>
                <w:highlight w:val="none"/>
                <w:u w:val="none"/>
              </w:rPr>
              <w:t>：0.</w:t>
            </w:r>
            <w:r>
              <w:rPr>
                <w:rFonts w:hint="eastAsia"/>
                <w:highlight w:val="none"/>
                <w:u w:val="none"/>
                <w:lang w:val="en-US" w:eastAsia="zh-CN"/>
              </w:rPr>
              <w:t>02</w:t>
            </w:r>
            <w:r>
              <w:rPr>
                <w:rFonts w:hint="eastAsia"/>
                <w:highlight w:val="none"/>
                <w:u w:val="none"/>
              </w:rPr>
              <w:t>t/a、</w:t>
            </w:r>
            <w:r>
              <w:rPr>
                <w:highlight w:val="none"/>
                <w:u w:val="none"/>
              </w:rPr>
              <w:t>NO</w:t>
            </w:r>
            <w:r>
              <w:rPr>
                <w:rFonts w:hint="eastAsia"/>
                <w:highlight w:val="none"/>
                <w:u w:val="none"/>
                <w:vertAlign w:val="subscript"/>
              </w:rPr>
              <w:t>X</w:t>
            </w:r>
            <w:r>
              <w:rPr>
                <w:rFonts w:hint="eastAsia"/>
                <w:highlight w:val="none"/>
                <w:u w:val="none"/>
              </w:rPr>
              <w:t>：</w:t>
            </w:r>
            <w:r>
              <w:rPr>
                <w:rFonts w:hint="eastAsia"/>
                <w:highlight w:val="none"/>
                <w:u w:val="none"/>
                <w:lang w:val="en-US" w:eastAsia="zh-CN"/>
              </w:rPr>
              <w:t>0.55</w:t>
            </w:r>
            <w:r>
              <w:rPr>
                <w:rFonts w:hint="eastAsia"/>
                <w:highlight w:val="none"/>
                <w:u w:val="none"/>
              </w:rPr>
              <w:t>t/a</w:t>
            </w:r>
            <w:r>
              <w:rPr>
                <w:rFonts w:hint="eastAsia"/>
                <w:highlight w:val="none"/>
                <w:u w:val="none"/>
                <w:lang w:eastAsia="zh-CN"/>
              </w:rPr>
              <w:t>、</w:t>
            </w:r>
            <w:r>
              <w:rPr>
                <w:rFonts w:hint="eastAsia"/>
                <w:highlight w:val="none"/>
                <w:u w:val="none"/>
                <w:lang w:val="en-US" w:eastAsia="zh-CN"/>
              </w:rPr>
              <w:t>挥发性有机物：0.176</w:t>
            </w:r>
            <w:r>
              <w:rPr>
                <w:rFonts w:hint="eastAsia"/>
                <w:highlight w:val="none"/>
                <w:u w:val="none"/>
              </w:rPr>
              <w:t>t/a，由建设单位向当地总量管理部门提出申请，经排污权交易进行获取。</w:t>
            </w:r>
          </w:p>
        </w:tc>
      </w:tr>
    </w:tbl>
    <w:p w14:paraId="42EB1830">
      <w:pPr>
        <w:ind w:firstLine="480"/>
      </w:pPr>
      <w:r>
        <w:rPr>
          <w:rFonts w:hint="eastAsia"/>
        </w:rPr>
        <w:br w:type="page"/>
      </w:r>
    </w:p>
    <w:p w14:paraId="453C6E3B">
      <w:pPr>
        <w:pStyle w:val="2"/>
        <w:numPr>
          <w:ilvl w:val="0"/>
          <w:numId w:val="3"/>
        </w:numPr>
      </w:pPr>
      <w:bookmarkStart w:id="12" w:name="_Toc30748"/>
      <w:r>
        <w:rPr>
          <w:rFonts w:hint="eastAsia"/>
        </w:rPr>
        <w:t>主要环境影响和保护措施</w:t>
      </w:r>
      <w:bookmarkEnd w:id="1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11F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D4DBC05">
            <w:pPr>
              <w:ind w:firstLine="0" w:firstLineChars="0"/>
              <w:jc w:val="center"/>
            </w:pPr>
            <w:r>
              <w:rPr>
                <w:rFonts w:hint="eastAsia"/>
              </w:rPr>
              <w:t>施工期环境保护措施</w:t>
            </w:r>
          </w:p>
        </w:tc>
        <w:tc>
          <w:tcPr>
            <w:tcW w:w="8115" w:type="dxa"/>
            <w:vAlign w:val="center"/>
          </w:tcPr>
          <w:p w14:paraId="46BA015D">
            <w:pPr>
              <w:pStyle w:val="16"/>
              <w:ind w:firstLine="480"/>
            </w:pPr>
            <w:r>
              <w:rPr>
                <w:rFonts w:hint="eastAsia"/>
              </w:rPr>
              <w:t>本项目</w:t>
            </w:r>
            <w:r>
              <w:t>租赁</w:t>
            </w:r>
            <w:r>
              <w:rPr>
                <w:rFonts w:hint="eastAsia"/>
                <w:lang w:eastAsia="zh-CN"/>
              </w:rPr>
              <w:t>岳阳县筻口镇原华福炮厂</w:t>
            </w:r>
            <w:r>
              <w:rPr>
                <w:rFonts w:hint="eastAsia"/>
                <w:lang w:val="en-US" w:eastAsia="zh-CN"/>
              </w:rPr>
              <w:t>已废弃部分厂房生产</w:t>
            </w:r>
            <w:r>
              <w:rPr>
                <w:rFonts w:hint="eastAsia"/>
              </w:rPr>
              <w:t>，不涉及较大的基础建设工程，主要污染物为施工过程产生的建筑垃圾及噪声，影响时间较短，随着施工期的结束，影响随之消除。因此，项目施工期对环境影响较小。</w:t>
            </w:r>
          </w:p>
        </w:tc>
      </w:tr>
      <w:tr w14:paraId="5F0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7A1D2A4F">
            <w:pPr>
              <w:ind w:firstLine="0" w:firstLineChars="0"/>
              <w:jc w:val="center"/>
            </w:pPr>
          </w:p>
          <w:p w14:paraId="2254C358">
            <w:pPr>
              <w:ind w:firstLine="0" w:firstLineChars="0"/>
              <w:jc w:val="center"/>
            </w:pPr>
          </w:p>
          <w:p w14:paraId="4A1C69F5">
            <w:pPr>
              <w:ind w:firstLine="0" w:firstLineChars="0"/>
              <w:jc w:val="center"/>
            </w:pPr>
          </w:p>
          <w:p w14:paraId="54578FF6">
            <w:pPr>
              <w:ind w:firstLine="0" w:firstLineChars="0"/>
              <w:jc w:val="center"/>
            </w:pPr>
          </w:p>
          <w:p w14:paraId="4D7BFFFD">
            <w:pPr>
              <w:ind w:firstLine="0" w:firstLineChars="0"/>
              <w:jc w:val="center"/>
            </w:pPr>
          </w:p>
          <w:p w14:paraId="69B22B64">
            <w:pPr>
              <w:ind w:firstLine="0" w:firstLineChars="0"/>
              <w:jc w:val="center"/>
            </w:pPr>
          </w:p>
          <w:p w14:paraId="2653CD52">
            <w:pPr>
              <w:ind w:firstLine="0" w:firstLineChars="0"/>
              <w:jc w:val="center"/>
            </w:pPr>
          </w:p>
          <w:p w14:paraId="13FB0F12">
            <w:pPr>
              <w:ind w:firstLine="0" w:firstLineChars="0"/>
              <w:jc w:val="center"/>
            </w:pPr>
          </w:p>
          <w:p w14:paraId="5E20FA66">
            <w:pPr>
              <w:ind w:firstLine="0" w:firstLineChars="0"/>
              <w:jc w:val="center"/>
            </w:pPr>
          </w:p>
          <w:p w14:paraId="563A81F0">
            <w:pPr>
              <w:ind w:firstLine="0" w:firstLineChars="0"/>
              <w:jc w:val="center"/>
            </w:pPr>
          </w:p>
          <w:p w14:paraId="73BD222C">
            <w:pPr>
              <w:ind w:firstLine="0" w:firstLineChars="0"/>
              <w:jc w:val="center"/>
            </w:pPr>
          </w:p>
          <w:p w14:paraId="0A9DFA08">
            <w:pPr>
              <w:ind w:firstLine="0" w:firstLineChars="0"/>
              <w:jc w:val="center"/>
            </w:pPr>
          </w:p>
          <w:p w14:paraId="0F0D087C">
            <w:pPr>
              <w:ind w:firstLine="0" w:firstLineChars="0"/>
              <w:jc w:val="center"/>
            </w:pPr>
          </w:p>
          <w:p w14:paraId="2E35BD3A">
            <w:pPr>
              <w:ind w:firstLine="0" w:firstLineChars="0"/>
              <w:jc w:val="center"/>
            </w:pPr>
          </w:p>
          <w:p w14:paraId="3EF10837">
            <w:pPr>
              <w:ind w:firstLine="0" w:firstLineChars="0"/>
              <w:jc w:val="center"/>
            </w:pPr>
          </w:p>
          <w:p w14:paraId="400316BA">
            <w:pPr>
              <w:ind w:firstLine="0" w:firstLineChars="0"/>
              <w:jc w:val="center"/>
            </w:pPr>
          </w:p>
          <w:p w14:paraId="74ED44CB">
            <w:pPr>
              <w:ind w:firstLine="0" w:firstLineChars="0"/>
              <w:jc w:val="center"/>
            </w:pPr>
          </w:p>
          <w:p w14:paraId="62350337">
            <w:pPr>
              <w:ind w:firstLine="0" w:firstLineChars="0"/>
              <w:jc w:val="center"/>
            </w:pPr>
          </w:p>
          <w:p w14:paraId="4B268143">
            <w:pPr>
              <w:ind w:firstLine="0" w:firstLineChars="0"/>
              <w:jc w:val="center"/>
            </w:pPr>
          </w:p>
          <w:p w14:paraId="76E41B13">
            <w:pPr>
              <w:ind w:firstLine="0" w:firstLineChars="0"/>
              <w:jc w:val="center"/>
            </w:pPr>
          </w:p>
          <w:p w14:paraId="3932BCD0">
            <w:pPr>
              <w:ind w:firstLine="0" w:firstLineChars="0"/>
              <w:jc w:val="center"/>
            </w:pPr>
          </w:p>
          <w:p w14:paraId="5134CC52">
            <w:pPr>
              <w:ind w:firstLine="0" w:firstLineChars="0"/>
              <w:jc w:val="center"/>
            </w:pPr>
          </w:p>
          <w:p w14:paraId="54A56F75">
            <w:pPr>
              <w:ind w:firstLine="0" w:firstLineChars="0"/>
              <w:jc w:val="center"/>
            </w:pPr>
          </w:p>
          <w:p w14:paraId="555E1578">
            <w:pPr>
              <w:ind w:firstLine="0" w:firstLineChars="0"/>
              <w:jc w:val="center"/>
            </w:pPr>
            <w:r>
              <w:rPr>
                <w:rFonts w:hint="eastAsia"/>
              </w:rPr>
              <w:t>运营</w:t>
            </w:r>
          </w:p>
          <w:p w14:paraId="3C158FB9">
            <w:pPr>
              <w:ind w:firstLine="0" w:firstLineChars="0"/>
              <w:jc w:val="center"/>
            </w:pPr>
            <w:r>
              <w:rPr>
                <w:rFonts w:hint="eastAsia"/>
              </w:rPr>
              <w:t>期环</w:t>
            </w:r>
          </w:p>
          <w:p w14:paraId="644A0566">
            <w:pPr>
              <w:ind w:firstLine="0" w:firstLineChars="0"/>
              <w:jc w:val="center"/>
            </w:pPr>
            <w:r>
              <w:rPr>
                <w:rFonts w:hint="eastAsia"/>
              </w:rPr>
              <w:t>境影</w:t>
            </w:r>
          </w:p>
          <w:p w14:paraId="108C0462">
            <w:pPr>
              <w:ind w:firstLine="0" w:firstLineChars="0"/>
              <w:jc w:val="center"/>
            </w:pPr>
            <w:r>
              <w:rPr>
                <w:rFonts w:hint="eastAsia"/>
              </w:rPr>
              <w:t>响和</w:t>
            </w:r>
          </w:p>
          <w:p w14:paraId="247C41B7">
            <w:pPr>
              <w:ind w:firstLine="0" w:firstLineChars="0"/>
              <w:jc w:val="center"/>
            </w:pPr>
            <w:r>
              <w:rPr>
                <w:rFonts w:hint="eastAsia"/>
              </w:rPr>
              <w:t>保护</w:t>
            </w:r>
          </w:p>
          <w:p w14:paraId="5334B352">
            <w:pPr>
              <w:ind w:firstLine="0" w:firstLineChars="0"/>
              <w:jc w:val="center"/>
            </w:pPr>
            <w:r>
              <w:rPr>
                <w:rFonts w:hint="eastAsia"/>
              </w:rPr>
              <w:t>措施</w:t>
            </w:r>
          </w:p>
        </w:tc>
        <w:tc>
          <w:tcPr>
            <w:tcW w:w="8115" w:type="dxa"/>
          </w:tcPr>
          <w:p w14:paraId="72803AE9">
            <w:pPr>
              <w:ind w:firstLine="482"/>
              <w:rPr>
                <w:b/>
                <w:bCs/>
              </w:rPr>
            </w:pPr>
            <w:r>
              <w:rPr>
                <w:rFonts w:hint="eastAsia"/>
                <w:b/>
                <w:bCs/>
              </w:rPr>
              <w:t>1、废气污染源分析</w:t>
            </w:r>
          </w:p>
          <w:p w14:paraId="5E3228A5">
            <w:pPr>
              <w:ind w:firstLine="482"/>
              <w:rPr>
                <w:b/>
                <w:bCs/>
              </w:rPr>
            </w:pPr>
            <w:r>
              <w:rPr>
                <w:rFonts w:hint="eastAsia"/>
                <w:b/>
                <w:bCs/>
              </w:rPr>
              <w:t>1.1 废气污染源强核算</w:t>
            </w:r>
          </w:p>
          <w:p w14:paraId="05B5897F">
            <w:pPr>
              <w:pStyle w:val="16"/>
              <w:ind w:firstLine="480"/>
            </w:pPr>
            <w:r>
              <w:rPr>
                <w:rFonts w:hint="eastAsia"/>
              </w:rPr>
              <w:t>本项目废气主要为</w:t>
            </w:r>
            <w:r>
              <w:rPr>
                <w:rFonts w:hint="eastAsia"/>
                <w:lang w:val="en-US" w:eastAsia="zh-CN"/>
              </w:rPr>
              <w:t>粉碎挤出废气、热风炉废气</w:t>
            </w:r>
            <w:r>
              <w:rPr>
                <w:rFonts w:hint="eastAsia"/>
              </w:rPr>
              <w:t>和</w:t>
            </w:r>
            <w:r>
              <w:rPr>
                <w:rFonts w:hint="eastAsia"/>
                <w:lang w:val="en-US" w:eastAsia="zh-CN"/>
              </w:rPr>
              <w:t>烘干废气</w:t>
            </w:r>
            <w:r>
              <w:rPr>
                <w:rFonts w:hint="eastAsia"/>
              </w:rPr>
              <w:t>。</w:t>
            </w:r>
          </w:p>
          <w:p w14:paraId="1C50DDE4">
            <w:pPr>
              <w:pStyle w:val="16"/>
              <w:ind w:firstLine="480"/>
              <w:rPr>
                <w:rFonts w:hint="default" w:eastAsia="宋体"/>
                <w:u w:val="none"/>
                <w:lang w:val="en-US" w:eastAsia="zh-CN"/>
              </w:rPr>
            </w:pPr>
            <w:r>
              <w:rPr>
                <w:rFonts w:hint="eastAsia"/>
                <w:u w:val="none"/>
              </w:rPr>
              <w:t>（1）</w:t>
            </w:r>
            <w:r>
              <w:rPr>
                <w:rFonts w:hint="eastAsia"/>
                <w:u w:val="none"/>
                <w:lang w:val="en-US" w:eastAsia="zh-CN"/>
              </w:rPr>
              <w:t>粉碎挤出废气</w:t>
            </w:r>
          </w:p>
          <w:p w14:paraId="4F2D437F">
            <w:pPr>
              <w:pStyle w:val="16"/>
              <w:ind w:firstLine="480"/>
              <w:rPr>
                <w:rFonts w:hint="eastAsia"/>
                <w:u w:val="none"/>
                <w:lang w:val="en-US" w:eastAsia="zh-CN"/>
              </w:rPr>
            </w:pPr>
            <w:r>
              <w:rPr>
                <w:rFonts w:hint="eastAsia"/>
                <w:u w:val="none"/>
                <w:lang w:val="en-US" w:eastAsia="zh-CN"/>
              </w:rPr>
              <w:t>本项目原料玻璃纤维尾纱需经粉碎后加入乳液挤出，无需加热。根据《排放源统计调查产排污核算方法和系数手册》42废气资源综合利用行业系数手册中“废碎料破碎”产污系数，颗粒物产生量为225克/吨-原料，本项目原料玻璃纤维尾纱年耗量6000t，则颗粒物产生为1.35t/a。</w:t>
            </w:r>
          </w:p>
          <w:p w14:paraId="6943724C">
            <w:pPr>
              <w:pStyle w:val="16"/>
              <w:ind w:firstLine="480"/>
              <w:rPr>
                <w:rFonts w:hint="eastAsia"/>
                <w:u w:val="none"/>
                <w:lang w:val="en-US" w:eastAsia="zh-CN"/>
              </w:rPr>
            </w:pPr>
            <w:r>
              <w:rPr>
                <w:rFonts w:hint="eastAsia"/>
                <w:u w:val="none"/>
                <w:lang w:val="en-US" w:eastAsia="zh-CN"/>
              </w:rPr>
              <w:t>参考《空气污染物排放和控制手册》（美国国家环保局）中推荐的废气排放系数，其非甲烷总烃排放系数取0.35kg/t，乳液年耗量为100t，则非甲烷总烃产生量为0.035t/a。</w:t>
            </w:r>
          </w:p>
          <w:p w14:paraId="6DAA8238">
            <w:pPr>
              <w:pStyle w:val="16"/>
              <w:ind w:firstLine="480"/>
              <w:rPr>
                <w:rFonts w:hint="eastAsia"/>
                <w:u w:val="none"/>
              </w:rPr>
            </w:pPr>
            <w:r>
              <w:rPr>
                <w:rFonts w:hint="eastAsia"/>
                <w:lang w:val="en-US" w:eastAsia="zh-CN"/>
              </w:rPr>
              <w:t>设置</w:t>
            </w:r>
            <w:r>
              <w:rPr>
                <w:rFonts w:hint="eastAsia"/>
              </w:rPr>
              <w:t>集气罩对废气收集后</w:t>
            </w:r>
            <w:r>
              <w:rPr>
                <w:rFonts w:hint="eastAsia"/>
                <w:u w:val="none"/>
                <w:lang w:val="en-US" w:eastAsia="zh-CN"/>
              </w:rPr>
              <w:t>水喷淋+活性炭吸附</w:t>
            </w:r>
            <w:r>
              <w:rPr>
                <w:rFonts w:hint="eastAsia"/>
              </w:rPr>
              <w:t>处理后通15m排气筒排放（</w:t>
            </w:r>
            <w:r>
              <w:rPr>
                <w:rFonts w:hint="eastAsia"/>
                <w:lang w:val="en-US" w:eastAsia="zh-CN"/>
              </w:rPr>
              <w:t>与烘干废气同一套处理设施处理后外排</w:t>
            </w:r>
            <w:r>
              <w:rPr>
                <w:rFonts w:hint="eastAsia"/>
              </w:rPr>
              <w:t>）</w:t>
            </w:r>
            <w:r>
              <w:rPr>
                <w:rFonts w:hint="eastAsia"/>
                <w:u w:val="none"/>
                <w:lang w:val="en-US" w:eastAsia="zh-CN"/>
              </w:rPr>
              <w:t>，采取密闭负压收集，收集效率为90%，</w:t>
            </w:r>
            <w:r>
              <w:rPr>
                <w:rFonts w:hint="eastAsia"/>
              </w:rPr>
              <w:t>风量为</w:t>
            </w:r>
            <w:r>
              <w:rPr>
                <w:rFonts w:hint="eastAsia"/>
                <w:lang w:val="en-US" w:eastAsia="zh-CN"/>
              </w:rPr>
              <w:t>50</w:t>
            </w:r>
            <w:r>
              <w:rPr>
                <w:rFonts w:hint="eastAsia"/>
              </w:rPr>
              <w:t>00m</w:t>
            </w:r>
            <w:r>
              <w:rPr>
                <w:rFonts w:hint="eastAsia"/>
                <w:vertAlign w:val="superscript"/>
              </w:rPr>
              <w:t>3</w:t>
            </w:r>
            <w:r>
              <w:rPr>
                <w:rFonts w:hint="eastAsia"/>
              </w:rPr>
              <w:t>/h</w:t>
            </w:r>
            <w:r>
              <w:rPr>
                <w:rFonts w:hint="eastAsia"/>
                <w:u w:val="none"/>
                <w:lang w:val="en-US" w:eastAsia="zh-CN"/>
              </w:rPr>
              <w:t>。根据《排放源统计调查产排污核算方法和系数手册》42 废弃资源综合利用行业系数手册中“喷淋塔”除尘效率为75%，“活性炭吸附”去除效率为55%，则颗粒物排放量为0.304t/a（0.127kg/h）、</w:t>
            </w:r>
            <w:r>
              <w:rPr>
                <w:rFonts w:hint="eastAsia"/>
                <w:lang w:val="en-US" w:eastAsia="zh-CN"/>
              </w:rPr>
              <w:t>排放浓度为25.4mg/m</w:t>
            </w:r>
            <w:r>
              <w:rPr>
                <w:rFonts w:hint="eastAsia"/>
                <w:vertAlign w:val="superscript"/>
                <w:lang w:val="en-US" w:eastAsia="zh-CN"/>
              </w:rPr>
              <w:t>3</w:t>
            </w:r>
            <w:r>
              <w:rPr>
                <w:rFonts w:hint="eastAsia"/>
                <w:lang w:val="en-US" w:eastAsia="zh-CN"/>
              </w:rPr>
              <w:t>；非甲烷总烃</w:t>
            </w:r>
            <w:r>
              <w:rPr>
                <w:rFonts w:hint="eastAsia"/>
                <w:u w:val="none"/>
                <w:lang w:val="en-US" w:eastAsia="zh-CN"/>
              </w:rPr>
              <w:t>排放量为0.014t/a（0.006kg/h）、</w:t>
            </w:r>
            <w:r>
              <w:rPr>
                <w:rFonts w:hint="eastAsia"/>
                <w:lang w:val="en-US" w:eastAsia="zh-CN"/>
              </w:rPr>
              <w:t>排放浓度为1.2mg/m</w:t>
            </w:r>
            <w:r>
              <w:rPr>
                <w:rFonts w:hint="eastAsia"/>
                <w:vertAlign w:val="superscript"/>
                <w:lang w:val="en-US" w:eastAsia="zh-CN"/>
              </w:rPr>
              <w:t>3</w:t>
            </w:r>
            <w:r>
              <w:rPr>
                <w:rFonts w:hint="eastAsia"/>
                <w:lang w:val="en-US" w:eastAsia="zh-CN"/>
              </w:rPr>
              <w:t>，能满足</w:t>
            </w:r>
            <w:r>
              <w:rPr>
                <w:rFonts w:hint="eastAsia"/>
              </w:rPr>
              <w:t>《玻璃工业大气污染物排放标准》（GB26453-2022）表</w:t>
            </w:r>
            <w:r>
              <w:rPr>
                <w:rFonts w:hint="eastAsia"/>
                <w:lang w:val="en-US" w:eastAsia="zh-CN"/>
              </w:rPr>
              <w:t>1污染物</w:t>
            </w:r>
            <w:r>
              <w:rPr>
                <w:rFonts w:hint="eastAsia"/>
              </w:rPr>
              <w:t>排放</w:t>
            </w:r>
            <w:r>
              <w:rPr>
                <w:rFonts w:hint="eastAsia"/>
                <w:lang w:val="en-US" w:eastAsia="zh-CN"/>
              </w:rPr>
              <w:t>限值</w:t>
            </w:r>
            <w:r>
              <w:rPr>
                <w:rFonts w:hint="eastAsia"/>
                <w:lang w:eastAsia="zh-CN"/>
              </w:rPr>
              <w:t>（</w:t>
            </w:r>
            <w:r>
              <w:rPr>
                <w:rFonts w:hint="eastAsia"/>
                <w:lang w:val="en-US" w:eastAsia="zh-CN"/>
              </w:rPr>
              <w:t>颗粒物：30mg/m</w:t>
            </w:r>
            <w:r>
              <w:rPr>
                <w:rFonts w:hint="eastAsia"/>
                <w:vertAlign w:val="superscript"/>
                <w:lang w:val="en-US" w:eastAsia="zh-CN"/>
              </w:rPr>
              <w:t>3</w:t>
            </w:r>
            <w:r>
              <w:rPr>
                <w:rFonts w:hint="eastAsia"/>
                <w:lang w:val="en-US" w:eastAsia="zh-CN"/>
              </w:rPr>
              <w:t>，非甲烷总烃：80mg/m</w:t>
            </w:r>
            <w:r>
              <w:rPr>
                <w:rFonts w:hint="eastAsia"/>
                <w:vertAlign w:val="superscript"/>
                <w:lang w:val="en-US" w:eastAsia="zh-CN"/>
              </w:rPr>
              <w:t>3</w:t>
            </w:r>
            <w:r>
              <w:rPr>
                <w:rFonts w:hint="eastAsia"/>
                <w:lang w:eastAsia="zh-CN"/>
              </w:rPr>
              <w:t>）</w:t>
            </w:r>
            <w:r>
              <w:rPr>
                <w:rFonts w:hint="eastAsia"/>
                <w:lang w:val="en-US" w:eastAsia="zh-CN"/>
              </w:rPr>
              <w:t>。</w:t>
            </w:r>
          </w:p>
          <w:p w14:paraId="645D6F31">
            <w:pPr>
              <w:pStyle w:val="16"/>
              <w:ind w:firstLine="480"/>
              <w:rPr>
                <w:u w:val="none"/>
              </w:rPr>
            </w:pPr>
            <w:r>
              <w:rPr>
                <w:rFonts w:hint="eastAsia"/>
                <w:u w:val="none"/>
                <w:lang w:eastAsia="zh-CN"/>
              </w:rPr>
              <w:t>（</w:t>
            </w:r>
            <w:r>
              <w:rPr>
                <w:rFonts w:hint="eastAsia"/>
                <w:u w:val="none"/>
                <w:lang w:val="en-US" w:eastAsia="zh-CN"/>
              </w:rPr>
              <w:t>2</w:t>
            </w:r>
            <w:r>
              <w:rPr>
                <w:rFonts w:hint="eastAsia"/>
                <w:u w:val="none"/>
                <w:lang w:eastAsia="zh-CN"/>
              </w:rPr>
              <w:t>）</w:t>
            </w:r>
            <w:r>
              <w:rPr>
                <w:rFonts w:hint="eastAsia"/>
                <w:lang w:val="en-US" w:eastAsia="zh-CN"/>
              </w:rPr>
              <w:t>热风炉废气</w:t>
            </w:r>
          </w:p>
          <w:p w14:paraId="2A4D7FB7">
            <w:pPr>
              <w:pStyle w:val="16"/>
              <w:ind w:firstLine="480"/>
              <w:rPr>
                <w:u w:val="none"/>
              </w:rPr>
            </w:pPr>
            <w:r>
              <w:rPr>
                <w:rFonts w:hint="eastAsia"/>
                <w:u w:val="none"/>
              </w:rPr>
              <w:t>本项目</w:t>
            </w:r>
            <w:r>
              <w:rPr>
                <w:rFonts w:hint="eastAsia"/>
                <w:u w:val="none"/>
                <w:lang w:val="en-US" w:eastAsia="zh-CN"/>
              </w:rPr>
              <w:t>生物质热风炉</w:t>
            </w:r>
            <w:r>
              <w:rPr>
                <w:rFonts w:hint="eastAsia"/>
                <w:u w:val="none"/>
              </w:rPr>
              <w:t>燃料用量为</w:t>
            </w:r>
            <w:r>
              <w:rPr>
                <w:rFonts w:hint="eastAsia"/>
                <w:u w:val="none"/>
                <w:lang w:val="en-US" w:eastAsia="zh-CN"/>
              </w:rPr>
              <w:t>536</w:t>
            </w:r>
            <w:r>
              <w:rPr>
                <w:rFonts w:hint="eastAsia"/>
                <w:u w:val="none"/>
              </w:rPr>
              <w:t>t/a，根据《排放源统计调查产排污核算方法和系数手册》中4430工业锅炉（热力生产和供应行业），产污系数详见下表。</w:t>
            </w:r>
          </w:p>
          <w:p w14:paraId="3960EAA6">
            <w:pPr>
              <w:pStyle w:val="17"/>
              <w:rPr>
                <w:u w:val="none"/>
              </w:rPr>
            </w:pPr>
            <w:r>
              <w:rPr>
                <w:rFonts w:hint="eastAsia"/>
                <w:u w:val="none"/>
              </w:rPr>
              <w:t>表4-1  工业锅炉（热力生产和供应行业）产排污系数表</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230"/>
              <w:gridCol w:w="1790"/>
              <w:gridCol w:w="1954"/>
              <w:gridCol w:w="1580"/>
            </w:tblGrid>
            <w:tr w14:paraId="5447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vAlign w:val="center"/>
                </w:tcPr>
                <w:p w14:paraId="4F84900F">
                  <w:pPr>
                    <w:pStyle w:val="15"/>
                    <w:rPr>
                      <w:u w:val="none"/>
                    </w:rPr>
                  </w:pPr>
                  <w:r>
                    <w:rPr>
                      <w:rFonts w:hint="eastAsia"/>
                      <w:u w:val="none"/>
                    </w:rPr>
                    <w:t>原料名称</w:t>
                  </w:r>
                </w:p>
              </w:tc>
              <w:tc>
                <w:tcPr>
                  <w:tcW w:w="1230" w:type="dxa"/>
                  <w:vAlign w:val="center"/>
                </w:tcPr>
                <w:p w14:paraId="3E5040D4">
                  <w:pPr>
                    <w:pStyle w:val="15"/>
                    <w:rPr>
                      <w:u w:val="none"/>
                    </w:rPr>
                  </w:pPr>
                  <w:r>
                    <w:rPr>
                      <w:rFonts w:hint="eastAsia"/>
                      <w:u w:val="none"/>
                    </w:rPr>
                    <w:t>等级规模</w:t>
                  </w:r>
                </w:p>
              </w:tc>
              <w:tc>
                <w:tcPr>
                  <w:tcW w:w="1790" w:type="dxa"/>
                  <w:vAlign w:val="center"/>
                </w:tcPr>
                <w:p w14:paraId="5FBB7397">
                  <w:pPr>
                    <w:pStyle w:val="15"/>
                    <w:rPr>
                      <w:u w:val="none"/>
                    </w:rPr>
                  </w:pPr>
                  <w:r>
                    <w:rPr>
                      <w:rFonts w:hint="eastAsia"/>
                      <w:u w:val="none"/>
                    </w:rPr>
                    <w:t>污染物指标</w:t>
                  </w:r>
                </w:p>
              </w:tc>
              <w:tc>
                <w:tcPr>
                  <w:tcW w:w="1954" w:type="dxa"/>
                  <w:vAlign w:val="center"/>
                </w:tcPr>
                <w:p w14:paraId="493C3D4E">
                  <w:pPr>
                    <w:pStyle w:val="15"/>
                    <w:rPr>
                      <w:u w:val="none"/>
                    </w:rPr>
                  </w:pPr>
                  <w:r>
                    <w:rPr>
                      <w:rFonts w:hint="eastAsia"/>
                      <w:u w:val="none"/>
                    </w:rPr>
                    <w:t>单位</w:t>
                  </w:r>
                </w:p>
              </w:tc>
              <w:tc>
                <w:tcPr>
                  <w:tcW w:w="1580" w:type="dxa"/>
                  <w:vAlign w:val="center"/>
                </w:tcPr>
                <w:p w14:paraId="3B693432">
                  <w:pPr>
                    <w:pStyle w:val="15"/>
                    <w:rPr>
                      <w:u w:val="none"/>
                    </w:rPr>
                  </w:pPr>
                  <w:r>
                    <w:rPr>
                      <w:rFonts w:hint="eastAsia"/>
                      <w:u w:val="none"/>
                    </w:rPr>
                    <w:t>产物系数</w:t>
                  </w:r>
                </w:p>
              </w:tc>
            </w:tr>
            <w:tr w14:paraId="13D1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vAlign w:val="center"/>
                </w:tcPr>
                <w:p w14:paraId="5D2E312D">
                  <w:pPr>
                    <w:pStyle w:val="15"/>
                    <w:rPr>
                      <w:u w:val="none"/>
                    </w:rPr>
                  </w:pPr>
                  <w:r>
                    <w:rPr>
                      <w:rFonts w:hint="eastAsia"/>
                      <w:u w:val="none"/>
                    </w:rPr>
                    <w:t>生物质燃料</w:t>
                  </w:r>
                </w:p>
              </w:tc>
              <w:tc>
                <w:tcPr>
                  <w:tcW w:w="1230" w:type="dxa"/>
                  <w:vMerge w:val="restart"/>
                  <w:vAlign w:val="center"/>
                </w:tcPr>
                <w:p w14:paraId="34A17068">
                  <w:pPr>
                    <w:pStyle w:val="15"/>
                    <w:rPr>
                      <w:u w:val="none"/>
                    </w:rPr>
                  </w:pPr>
                  <w:r>
                    <w:rPr>
                      <w:rFonts w:hint="eastAsia"/>
                      <w:u w:val="none"/>
                    </w:rPr>
                    <w:t>所有规模</w:t>
                  </w:r>
                </w:p>
              </w:tc>
              <w:tc>
                <w:tcPr>
                  <w:tcW w:w="1790" w:type="dxa"/>
                  <w:vAlign w:val="center"/>
                </w:tcPr>
                <w:p w14:paraId="5C763683">
                  <w:pPr>
                    <w:pStyle w:val="15"/>
                    <w:rPr>
                      <w:u w:val="none"/>
                    </w:rPr>
                  </w:pPr>
                  <w:r>
                    <w:rPr>
                      <w:rFonts w:hint="eastAsia"/>
                      <w:u w:val="none"/>
                    </w:rPr>
                    <w:t>工业废气量</w:t>
                  </w:r>
                </w:p>
              </w:tc>
              <w:tc>
                <w:tcPr>
                  <w:tcW w:w="1954" w:type="dxa"/>
                  <w:vAlign w:val="center"/>
                </w:tcPr>
                <w:p w14:paraId="63EDFB9B">
                  <w:pPr>
                    <w:pStyle w:val="15"/>
                    <w:rPr>
                      <w:u w:val="none"/>
                    </w:rPr>
                  </w:pPr>
                  <w:r>
                    <w:rPr>
                      <w:rFonts w:hint="eastAsia"/>
                      <w:u w:val="none"/>
                    </w:rPr>
                    <w:t>标立方米/吨-原料</w:t>
                  </w:r>
                </w:p>
              </w:tc>
              <w:tc>
                <w:tcPr>
                  <w:tcW w:w="1580" w:type="dxa"/>
                  <w:vAlign w:val="center"/>
                </w:tcPr>
                <w:p w14:paraId="753F53E8">
                  <w:pPr>
                    <w:pStyle w:val="15"/>
                    <w:rPr>
                      <w:u w:val="none"/>
                    </w:rPr>
                  </w:pPr>
                  <w:r>
                    <w:rPr>
                      <w:rFonts w:hint="eastAsia"/>
                      <w:u w:val="none"/>
                    </w:rPr>
                    <w:t>6240</w:t>
                  </w:r>
                </w:p>
              </w:tc>
            </w:tr>
            <w:tr w14:paraId="51F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1B8C5573">
                  <w:pPr>
                    <w:pStyle w:val="15"/>
                    <w:rPr>
                      <w:u w:val="none"/>
                    </w:rPr>
                  </w:pPr>
                </w:p>
              </w:tc>
              <w:tc>
                <w:tcPr>
                  <w:tcW w:w="1230" w:type="dxa"/>
                  <w:vMerge w:val="continue"/>
                  <w:vAlign w:val="center"/>
                </w:tcPr>
                <w:p w14:paraId="266A3ADB">
                  <w:pPr>
                    <w:pStyle w:val="15"/>
                    <w:rPr>
                      <w:u w:val="none"/>
                    </w:rPr>
                  </w:pPr>
                </w:p>
              </w:tc>
              <w:tc>
                <w:tcPr>
                  <w:tcW w:w="1790" w:type="dxa"/>
                  <w:vAlign w:val="center"/>
                </w:tcPr>
                <w:p w14:paraId="38EB9ADD">
                  <w:pPr>
                    <w:pStyle w:val="15"/>
                    <w:rPr>
                      <w:u w:val="none"/>
                    </w:rPr>
                  </w:pPr>
                  <w:r>
                    <w:rPr>
                      <w:rFonts w:hint="eastAsia"/>
                      <w:u w:val="none"/>
                    </w:rPr>
                    <w:t>颗粒物</w:t>
                  </w:r>
                </w:p>
              </w:tc>
              <w:tc>
                <w:tcPr>
                  <w:tcW w:w="1954" w:type="dxa"/>
                  <w:vAlign w:val="center"/>
                </w:tcPr>
                <w:p w14:paraId="4BC18006">
                  <w:pPr>
                    <w:pStyle w:val="15"/>
                    <w:rPr>
                      <w:u w:val="none"/>
                    </w:rPr>
                  </w:pPr>
                  <w:r>
                    <w:rPr>
                      <w:rFonts w:hint="eastAsia"/>
                      <w:u w:val="none"/>
                    </w:rPr>
                    <w:t>千克/吨-原料</w:t>
                  </w:r>
                </w:p>
              </w:tc>
              <w:tc>
                <w:tcPr>
                  <w:tcW w:w="1580" w:type="dxa"/>
                  <w:vAlign w:val="center"/>
                </w:tcPr>
                <w:p w14:paraId="349EF07E">
                  <w:pPr>
                    <w:pStyle w:val="15"/>
                    <w:rPr>
                      <w:u w:val="none"/>
                    </w:rPr>
                  </w:pPr>
                  <w:r>
                    <w:rPr>
                      <w:rFonts w:hint="eastAsia"/>
                      <w:u w:val="none"/>
                    </w:rPr>
                    <w:t>0.5</w:t>
                  </w:r>
                </w:p>
              </w:tc>
            </w:tr>
            <w:tr w14:paraId="4AD5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0B00D27D">
                  <w:pPr>
                    <w:pStyle w:val="15"/>
                    <w:rPr>
                      <w:u w:val="none"/>
                    </w:rPr>
                  </w:pPr>
                </w:p>
              </w:tc>
              <w:tc>
                <w:tcPr>
                  <w:tcW w:w="1230" w:type="dxa"/>
                  <w:vMerge w:val="continue"/>
                  <w:vAlign w:val="center"/>
                </w:tcPr>
                <w:p w14:paraId="4F40D5DF">
                  <w:pPr>
                    <w:pStyle w:val="15"/>
                    <w:rPr>
                      <w:u w:val="none"/>
                    </w:rPr>
                  </w:pPr>
                </w:p>
              </w:tc>
              <w:tc>
                <w:tcPr>
                  <w:tcW w:w="1790" w:type="dxa"/>
                  <w:vAlign w:val="center"/>
                </w:tcPr>
                <w:p w14:paraId="5A90506E">
                  <w:pPr>
                    <w:pStyle w:val="15"/>
                    <w:rPr>
                      <w:u w:val="none"/>
                    </w:rPr>
                  </w:pPr>
                  <w:r>
                    <w:rPr>
                      <w:rFonts w:hint="eastAsia"/>
                      <w:u w:val="none"/>
                    </w:rPr>
                    <w:t>二氧化硫</w:t>
                  </w:r>
                </w:p>
              </w:tc>
              <w:tc>
                <w:tcPr>
                  <w:tcW w:w="1954" w:type="dxa"/>
                  <w:vAlign w:val="center"/>
                </w:tcPr>
                <w:p w14:paraId="5FEC2DD5">
                  <w:pPr>
                    <w:pStyle w:val="15"/>
                    <w:rPr>
                      <w:u w:val="none"/>
                    </w:rPr>
                  </w:pPr>
                  <w:r>
                    <w:rPr>
                      <w:rFonts w:hint="eastAsia"/>
                      <w:u w:val="none"/>
                    </w:rPr>
                    <w:t>千克/吨-原料</w:t>
                  </w:r>
                </w:p>
              </w:tc>
              <w:tc>
                <w:tcPr>
                  <w:tcW w:w="1580" w:type="dxa"/>
                  <w:vAlign w:val="center"/>
                </w:tcPr>
                <w:p w14:paraId="5D5B473B">
                  <w:pPr>
                    <w:pStyle w:val="15"/>
                    <w:rPr>
                      <w:u w:val="none"/>
                    </w:rPr>
                  </w:pPr>
                  <w:r>
                    <w:rPr>
                      <w:rFonts w:hint="eastAsia"/>
                      <w:u w:val="none"/>
                    </w:rPr>
                    <w:t>17S</w:t>
                  </w:r>
                </w:p>
              </w:tc>
            </w:tr>
            <w:tr w14:paraId="3118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vAlign w:val="center"/>
                </w:tcPr>
                <w:p w14:paraId="339FB734">
                  <w:pPr>
                    <w:pStyle w:val="15"/>
                    <w:rPr>
                      <w:u w:val="none"/>
                    </w:rPr>
                  </w:pPr>
                </w:p>
              </w:tc>
              <w:tc>
                <w:tcPr>
                  <w:tcW w:w="1230" w:type="dxa"/>
                  <w:vMerge w:val="continue"/>
                  <w:vAlign w:val="center"/>
                </w:tcPr>
                <w:p w14:paraId="712B22F2">
                  <w:pPr>
                    <w:pStyle w:val="15"/>
                    <w:rPr>
                      <w:u w:val="none"/>
                    </w:rPr>
                  </w:pPr>
                </w:p>
              </w:tc>
              <w:tc>
                <w:tcPr>
                  <w:tcW w:w="1790" w:type="dxa"/>
                  <w:vAlign w:val="center"/>
                </w:tcPr>
                <w:p w14:paraId="12133B64">
                  <w:pPr>
                    <w:pStyle w:val="15"/>
                    <w:rPr>
                      <w:u w:val="none"/>
                    </w:rPr>
                  </w:pPr>
                  <w:r>
                    <w:rPr>
                      <w:rFonts w:hint="eastAsia"/>
                      <w:u w:val="none"/>
                    </w:rPr>
                    <w:t>氮氧化物</w:t>
                  </w:r>
                </w:p>
              </w:tc>
              <w:tc>
                <w:tcPr>
                  <w:tcW w:w="1954" w:type="dxa"/>
                  <w:vAlign w:val="center"/>
                </w:tcPr>
                <w:p w14:paraId="76EE5A3D">
                  <w:pPr>
                    <w:pStyle w:val="15"/>
                    <w:rPr>
                      <w:u w:val="none"/>
                    </w:rPr>
                  </w:pPr>
                  <w:r>
                    <w:rPr>
                      <w:rFonts w:hint="eastAsia"/>
                      <w:u w:val="none"/>
                    </w:rPr>
                    <w:t>千克/吨-原料</w:t>
                  </w:r>
                </w:p>
              </w:tc>
              <w:tc>
                <w:tcPr>
                  <w:tcW w:w="1580" w:type="dxa"/>
                  <w:vAlign w:val="center"/>
                </w:tcPr>
                <w:p w14:paraId="26AE2FF9">
                  <w:pPr>
                    <w:pStyle w:val="15"/>
                    <w:rPr>
                      <w:u w:val="none"/>
                    </w:rPr>
                  </w:pPr>
                  <w:r>
                    <w:rPr>
                      <w:rFonts w:hint="eastAsia"/>
                      <w:u w:val="none"/>
                    </w:rPr>
                    <w:t>1.02</w:t>
                  </w:r>
                </w:p>
              </w:tc>
            </w:tr>
            <w:tr w14:paraId="6FC5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9" w:type="dxa"/>
                  <w:gridSpan w:val="5"/>
                </w:tcPr>
                <w:p w14:paraId="25630525">
                  <w:pPr>
                    <w:pStyle w:val="15"/>
                    <w:rPr>
                      <w:u w:val="none"/>
                    </w:rPr>
                  </w:pPr>
                  <w:r>
                    <w:rPr>
                      <w:rFonts w:hint="eastAsia"/>
                      <w:u w:val="none"/>
                    </w:rPr>
                    <w:t>注：二氧化硫的产污系数是以含硫量（S%）的形式表示的，其中含硫量（S%）是指生物质收到基硫分含量，以质量百分数的形式表示，含硫量为0.</w:t>
                  </w:r>
                  <w:r>
                    <w:rPr>
                      <w:rFonts w:hint="eastAsia"/>
                      <w:u w:val="none"/>
                      <w:lang w:val="en-US" w:eastAsia="zh-CN"/>
                    </w:rPr>
                    <w:t>002</w:t>
                  </w:r>
                  <w:r>
                    <w:rPr>
                      <w:rFonts w:hint="eastAsia"/>
                      <w:u w:val="none"/>
                    </w:rPr>
                    <w:t>%。</w:t>
                  </w:r>
                </w:p>
              </w:tc>
            </w:tr>
          </w:tbl>
          <w:p w14:paraId="16521AF8">
            <w:pPr>
              <w:pStyle w:val="16"/>
              <w:ind w:firstLine="480"/>
              <w:rPr>
                <w:u w:val="none"/>
              </w:rPr>
            </w:pPr>
            <w:r>
              <w:rPr>
                <w:rFonts w:hint="eastAsia"/>
                <w:u w:val="none"/>
              </w:rPr>
              <w:t>根据建设单位提供资料，锅炉每天运行8个小时，年运行</w:t>
            </w:r>
            <w:r>
              <w:rPr>
                <w:rFonts w:hint="eastAsia"/>
                <w:u w:val="none"/>
                <w:lang w:val="en-US" w:eastAsia="zh-CN"/>
              </w:rPr>
              <w:t>3</w:t>
            </w:r>
            <w:r>
              <w:rPr>
                <w:rFonts w:hint="eastAsia"/>
                <w:u w:val="none"/>
              </w:rPr>
              <w:t>00天</w:t>
            </w:r>
            <w:r>
              <w:rPr>
                <w:rFonts w:hint="eastAsia"/>
                <w:u w:val="none"/>
                <w:lang w:eastAsia="zh-CN"/>
              </w:rPr>
              <w:t>。</w:t>
            </w:r>
            <w:r>
              <w:rPr>
                <w:rFonts w:hint="eastAsia"/>
                <w:u w:val="none"/>
              </w:rPr>
              <w:t>根据《排放源统计调查产排污核算方法和系数手册》中4430工业锅炉（热力生产和供应行业）</w:t>
            </w:r>
            <w:r>
              <w:rPr>
                <w:rFonts w:hint="eastAsia"/>
                <w:u w:val="none"/>
                <w:lang w:val="en-US" w:eastAsia="zh-CN"/>
              </w:rPr>
              <w:t>，袋式除尘处理效率为99.7%，热风炉</w:t>
            </w:r>
            <w:r>
              <w:rPr>
                <w:rFonts w:hint="eastAsia"/>
                <w:u w:val="none"/>
              </w:rPr>
              <w:t>污染物产生及排放情况详见下表。</w:t>
            </w:r>
          </w:p>
          <w:p w14:paraId="5FD69E70">
            <w:pPr>
              <w:pStyle w:val="17"/>
              <w:rPr>
                <w:u w:val="none"/>
              </w:rPr>
            </w:pPr>
            <w:r>
              <w:rPr>
                <w:rFonts w:hint="eastAsia"/>
                <w:u w:val="none"/>
              </w:rPr>
              <w:t xml:space="preserve">表4-2  废气污染物产生及排放情况 </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72"/>
              <w:gridCol w:w="639"/>
              <w:gridCol w:w="774"/>
              <w:gridCol w:w="922"/>
              <w:gridCol w:w="612"/>
              <w:gridCol w:w="759"/>
              <w:gridCol w:w="728"/>
              <w:gridCol w:w="812"/>
              <w:gridCol w:w="943"/>
            </w:tblGrid>
            <w:tr w14:paraId="5C8B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27502859">
                  <w:pPr>
                    <w:pStyle w:val="15"/>
                    <w:rPr>
                      <w:u w:val="none"/>
                    </w:rPr>
                  </w:pPr>
                  <w:r>
                    <w:rPr>
                      <w:rFonts w:hint="eastAsia"/>
                      <w:u w:val="none"/>
                    </w:rPr>
                    <w:t>污染物</w:t>
                  </w:r>
                </w:p>
              </w:tc>
              <w:tc>
                <w:tcPr>
                  <w:tcW w:w="695" w:type="dxa"/>
                  <w:vMerge w:val="restart"/>
                  <w:vAlign w:val="center"/>
                </w:tcPr>
                <w:p w14:paraId="7C463A6A">
                  <w:pPr>
                    <w:pStyle w:val="15"/>
                    <w:rPr>
                      <w:u w:val="none"/>
                    </w:rPr>
                  </w:pPr>
                  <w:r>
                    <w:rPr>
                      <w:rFonts w:hint="eastAsia"/>
                      <w:u w:val="none"/>
                    </w:rPr>
                    <w:t>烟气量Nm</w:t>
                  </w:r>
                  <w:r>
                    <w:rPr>
                      <w:rFonts w:hint="eastAsia"/>
                      <w:u w:val="none"/>
                      <w:vertAlign w:val="superscript"/>
                    </w:rPr>
                    <w:t>3</w:t>
                  </w:r>
                  <w:r>
                    <w:rPr>
                      <w:rFonts w:hint="eastAsia"/>
                      <w:u w:val="none"/>
                    </w:rPr>
                    <w:t>/a</w:t>
                  </w:r>
                </w:p>
              </w:tc>
              <w:tc>
                <w:tcPr>
                  <w:tcW w:w="2481" w:type="dxa"/>
                  <w:gridSpan w:val="3"/>
                  <w:vAlign w:val="center"/>
                </w:tcPr>
                <w:p w14:paraId="475C59BA">
                  <w:pPr>
                    <w:pStyle w:val="15"/>
                    <w:rPr>
                      <w:u w:val="none"/>
                    </w:rPr>
                  </w:pPr>
                  <w:r>
                    <w:rPr>
                      <w:rFonts w:hint="eastAsia"/>
                      <w:u w:val="none"/>
                    </w:rPr>
                    <w:t>污染物产生情况</w:t>
                  </w:r>
                </w:p>
              </w:tc>
              <w:tc>
                <w:tcPr>
                  <w:tcW w:w="714" w:type="dxa"/>
                  <w:vMerge w:val="restart"/>
                  <w:vAlign w:val="center"/>
                </w:tcPr>
                <w:p w14:paraId="578BA694">
                  <w:pPr>
                    <w:pStyle w:val="15"/>
                    <w:rPr>
                      <w:u w:val="none"/>
                    </w:rPr>
                  </w:pPr>
                  <w:r>
                    <w:rPr>
                      <w:rFonts w:hint="eastAsia"/>
                      <w:u w:val="none"/>
                    </w:rPr>
                    <w:t>处理措施</w:t>
                  </w:r>
                </w:p>
              </w:tc>
              <w:tc>
                <w:tcPr>
                  <w:tcW w:w="600" w:type="dxa"/>
                  <w:vMerge w:val="restart"/>
                  <w:vAlign w:val="center"/>
                </w:tcPr>
                <w:p w14:paraId="4C432B0A">
                  <w:pPr>
                    <w:pStyle w:val="15"/>
                    <w:rPr>
                      <w:u w:val="none"/>
                    </w:rPr>
                  </w:pPr>
                  <w:r>
                    <w:rPr>
                      <w:rFonts w:hint="eastAsia"/>
                      <w:u w:val="none"/>
                    </w:rPr>
                    <w:t>去除效率</w:t>
                  </w:r>
                </w:p>
              </w:tc>
              <w:tc>
                <w:tcPr>
                  <w:tcW w:w="2654" w:type="dxa"/>
                  <w:gridSpan w:val="3"/>
                  <w:vAlign w:val="center"/>
                </w:tcPr>
                <w:p w14:paraId="5A73230F">
                  <w:pPr>
                    <w:pStyle w:val="15"/>
                    <w:rPr>
                      <w:u w:val="none"/>
                    </w:rPr>
                  </w:pPr>
                  <w:r>
                    <w:rPr>
                      <w:rFonts w:hint="eastAsia"/>
                      <w:u w:val="none"/>
                    </w:rPr>
                    <w:t>污染物排放情况</w:t>
                  </w:r>
                </w:p>
              </w:tc>
            </w:tr>
            <w:tr w14:paraId="71AD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B2C6A4D">
                  <w:pPr>
                    <w:pStyle w:val="15"/>
                    <w:rPr>
                      <w:u w:val="none"/>
                    </w:rPr>
                  </w:pPr>
                </w:p>
              </w:tc>
              <w:tc>
                <w:tcPr>
                  <w:tcW w:w="695" w:type="dxa"/>
                  <w:vMerge w:val="continue"/>
                  <w:vAlign w:val="center"/>
                </w:tcPr>
                <w:p w14:paraId="78B02CF5">
                  <w:pPr>
                    <w:pStyle w:val="15"/>
                    <w:rPr>
                      <w:u w:val="none"/>
                    </w:rPr>
                  </w:pPr>
                </w:p>
              </w:tc>
              <w:tc>
                <w:tcPr>
                  <w:tcW w:w="669" w:type="dxa"/>
                  <w:vAlign w:val="center"/>
                </w:tcPr>
                <w:p w14:paraId="7289D657">
                  <w:pPr>
                    <w:pStyle w:val="15"/>
                    <w:rPr>
                      <w:u w:val="none"/>
                    </w:rPr>
                  </w:pPr>
                  <w:r>
                    <w:rPr>
                      <w:rFonts w:hint="eastAsia"/>
                      <w:u w:val="none"/>
                    </w:rPr>
                    <w:t>产生量t/a</w:t>
                  </w:r>
                </w:p>
              </w:tc>
              <w:tc>
                <w:tcPr>
                  <w:tcW w:w="820" w:type="dxa"/>
                  <w:vAlign w:val="center"/>
                </w:tcPr>
                <w:p w14:paraId="24E17265">
                  <w:pPr>
                    <w:pStyle w:val="15"/>
                    <w:rPr>
                      <w:u w:val="none"/>
                    </w:rPr>
                  </w:pPr>
                  <w:r>
                    <w:rPr>
                      <w:rFonts w:hint="eastAsia"/>
                      <w:u w:val="none"/>
                    </w:rPr>
                    <w:t>产生速率kg/h</w:t>
                  </w:r>
                </w:p>
              </w:tc>
              <w:tc>
                <w:tcPr>
                  <w:tcW w:w="992" w:type="dxa"/>
                  <w:vAlign w:val="center"/>
                </w:tcPr>
                <w:p w14:paraId="22CAF9D2">
                  <w:pPr>
                    <w:pStyle w:val="15"/>
                    <w:rPr>
                      <w:u w:val="none"/>
                    </w:rPr>
                  </w:pPr>
                  <w:r>
                    <w:rPr>
                      <w:rFonts w:hint="eastAsia"/>
                      <w:u w:val="none"/>
                    </w:rPr>
                    <w:t>产生浓度mg/m</w:t>
                  </w:r>
                  <w:r>
                    <w:rPr>
                      <w:rFonts w:hint="eastAsia"/>
                      <w:u w:val="none"/>
                      <w:vertAlign w:val="superscript"/>
                    </w:rPr>
                    <w:t>3</w:t>
                  </w:r>
                </w:p>
              </w:tc>
              <w:tc>
                <w:tcPr>
                  <w:tcW w:w="714" w:type="dxa"/>
                  <w:vMerge w:val="continue"/>
                  <w:vAlign w:val="center"/>
                </w:tcPr>
                <w:p w14:paraId="6350C718">
                  <w:pPr>
                    <w:pStyle w:val="15"/>
                    <w:rPr>
                      <w:u w:val="none"/>
                    </w:rPr>
                  </w:pPr>
                </w:p>
              </w:tc>
              <w:tc>
                <w:tcPr>
                  <w:tcW w:w="600" w:type="dxa"/>
                  <w:vMerge w:val="continue"/>
                  <w:vAlign w:val="center"/>
                </w:tcPr>
                <w:p w14:paraId="34275ED3">
                  <w:pPr>
                    <w:pStyle w:val="15"/>
                    <w:rPr>
                      <w:u w:val="none"/>
                    </w:rPr>
                  </w:pPr>
                </w:p>
              </w:tc>
              <w:tc>
                <w:tcPr>
                  <w:tcW w:w="750" w:type="dxa"/>
                  <w:vAlign w:val="center"/>
                </w:tcPr>
                <w:p w14:paraId="59FABC75">
                  <w:pPr>
                    <w:pStyle w:val="15"/>
                    <w:rPr>
                      <w:u w:val="none"/>
                    </w:rPr>
                  </w:pPr>
                  <w:r>
                    <w:rPr>
                      <w:rFonts w:hint="eastAsia"/>
                      <w:u w:val="none"/>
                    </w:rPr>
                    <w:t>排放量t/a</w:t>
                  </w:r>
                </w:p>
              </w:tc>
              <w:tc>
                <w:tcPr>
                  <w:tcW w:w="880" w:type="dxa"/>
                  <w:vAlign w:val="center"/>
                </w:tcPr>
                <w:p w14:paraId="28AAE098">
                  <w:pPr>
                    <w:pStyle w:val="15"/>
                    <w:rPr>
                      <w:u w:val="none"/>
                    </w:rPr>
                  </w:pPr>
                  <w:r>
                    <w:rPr>
                      <w:rFonts w:hint="eastAsia"/>
                      <w:u w:val="none"/>
                    </w:rPr>
                    <w:t>排放速率kg/h</w:t>
                  </w:r>
                </w:p>
              </w:tc>
              <w:tc>
                <w:tcPr>
                  <w:tcW w:w="1024" w:type="dxa"/>
                  <w:vAlign w:val="center"/>
                </w:tcPr>
                <w:p w14:paraId="1AF3E93F">
                  <w:pPr>
                    <w:pStyle w:val="15"/>
                    <w:rPr>
                      <w:u w:val="none"/>
                    </w:rPr>
                  </w:pPr>
                  <w:r>
                    <w:rPr>
                      <w:rFonts w:hint="eastAsia"/>
                      <w:u w:val="none"/>
                    </w:rPr>
                    <w:t>排放浓度mg/m</w:t>
                  </w:r>
                  <w:r>
                    <w:rPr>
                      <w:rFonts w:hint="eastAsia"/>
                      <w:u w:val="none"/>
                      <w:vertAlign w:val="superscript"/>
                    </w:rPr>
                    <w:t>3</w:t>
                  </w:r>
                </w:p>
              </w:tc>
            </w:tr>
            <w:tr w14:paraId="76C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1088D3B">
                  <w:pPr>
                    <w:pStyle w:val="15"/>
                    <w:rPr>
                      <w:u w:val="none"/>
                    </w:rPr>
                  </w:pPr>
                  <w:r>
                    <w:rPr>
                      <w:rFonts w:hint="eastAsia"/>
                      <w:u w:val="none"/>
                    </w:rPr>
                    <w:t>颗粒物</w:t>
                  </w:r>
                </w:p>
              </w:tc>
              <w:tc>
                <w:tcPr>
                  <w:tcW w:w="695" w:type="dxa"/>
                  <w:vMerge w:val="restart"/>
                  <w:vAlign w:val="center"/>
                </w:tcPr>
                <w:p w14:paraId="24310B73">
                  <w:pPr>
                    <w:pStyle w:val="15"/>
                    <w:jc w:val="both"/>
                    <w:rPr>
                      <w:u w:val="none"/>
                    </w:rPr>
                  </w:pPr>
                </w:p>
                <w:p w14:paraId="3B445D73">
                  <w:pPr>
                    <w:pStyle w:val="15"/>
                    <w:rPr>
                      <w:u w:val="none"/>
                    </w:rPr>
                  </w:pPr>
                  <w:r>
                    <w:rPr>
                      <w:rFonts w:hint="eastAsia"/>
                      <w:u w:val="none"/>
                      <w:lang w:val="en-US" w:eastAsia="zh-CN"/>
                    </w:rPr>
                    <w:t>3.34</w:t>
                  </w:r>
                  <w:r>
                    <w:rPr>
                      <w:rFonts w:hint="eastAsia"/>
                      <w:u w:val="none"/>
                    </w:rPr>
                    <w:t>×10</w:t>
                  </w:r>
                  <w:r>
                    <w:rPr>
                      <w:rFonts w:hint="eastAsia"/>
                      <w:u w:val="none"/>
                      <w:vertAlign w:val="superscript"/>
                    </w:rPr>
                    <w:t>6</w:t>
                  </w:r>
                </w:p>
              </w:tc>
              <w:tc>
                <w:tcPr>
                  <w:tcW w:w="669" w:type="dxa"/>
                  <w:vAlign w:val="center"/>
                </w:tcPr>
                <w:p w14:paraId="58208EA4">
                  <w:pPr>
                    <w:pStyle w:val="15"/>
                    <w:rPr>
                      <w:rFonts w:hint="default" w:eastAsia="宋体"/>
                      <w:u w:val="none"/>
                      <w:lang w:val="en-US" w:eastAsia="zh-CN"/>
                    </w:rPr>
                  </w:pPr>
                  <w:r>
                    <w:rPr>
                      <w:rFonts w:hint="eastAsia"/>
                      <w:u w:val="none"/>
                      <w:lang w:val="en-US" w:eastAsia="zh-CN"/>
                    </w:rPr>
                    <w:t>0.27</w:t>
                  </w:r>
                </w:p>
              </w:tc>
              <w:tc>
                <w:tcPr>
                  <w:tcW w:w="820" w:type="dxa"/>
                  <w:vAlign w:val="center"/>
                </w:tcPr>
                <w:p w14:paraId="73C5047F">
                  <w:pPr>
                    <w:pStyle w:val="15"/>
                    <w:rPr>
                      <w:rFonts w:hint="default" w:eastAsia="宋体"/>
                      <w:highlight w:val="none"/>
                      <w:u w:val="none"/>
                      <w:lang w:val="en-US" w:eastAsia="zh-CN"/>
                    </w:rPr>
                  </w:pPr>
                  <w:r>
                    <w:rPr>
                      <w:rFonts w:hint="eastAsia"/>
                      <w:highlight w:val="none"/>
                      <w:u w:val="none"/>
                    </w:rPr>
                    <w:t>0.</w:t>
                  </w:r>
                  <w:r>
                    <w:rPr>
                      <w:rFonts w:hint="eastAsia"/>
                      <w:highlight w:val="none"/>
                      <w:u w:val="none"/>
                      <w:lang w:val="en-US" w:eastAsia="zh-CN"/>
                    </w:rPr>
                    <w:t>113</w:t>
                  </w:r>
                </w:p>
              </w:tc>
              <w:tc>
                <w:tcPr>
                  <w:tcW w:w="992" w:type="dxa"/>
                  <w:vAlign w:val="center"/>
                </w:tcPr>
                <w:p w14:paraId="27E442AE">
                  <w:pPr>
                    <w:pStyle w:val="15"/>
                    <w:rPr>
                      <w:rFonts w:hint="default"/>
                      <w:lang w:val="en-US" w:eastAsia="zh-CN"/>
                    </w:rPr>
                  </w:pPr>
                  <w:r>
                    <w:rPr>
                      <w:rFonts w:hint="eastAsia"/>
                      <w:highlight w:val="none"/>
                      <w:u w:val="none"/>
                    </w:rPr>
                    <w:t>80.</w:t>
                  </w:r>
                  <w:r>
                    <w:rPr>
                      <w:rFonts w:hint="eastAsia"/>
                      <w:highlight w:val="none"/>
                      <w:u w:val="none"/>
                      <w:lang w:val="en-US" w:eastAsia="zh-CN"/>
                    </w:rPr>
                    <w:t>84</w:t>
                  </w:r>
                </w:p>
              </w:tc>
              <w:tc>
                <w:tcPr>
                  <w:tcW w:w="714" w:type="dxa"/>
                  <w:vMerge w:val="restart"/>
                  <w:vAlign w:val="center"/>
                </w:tcPr>
                <w:p w14:paraId="7A71AF92">
                  <w:pPr>
                    <w:pStyle w:val="15"/>
                    <w:rPr>
                      <w:rFonts w:hint="eastAsia" w:eastAsia="宋体"/>
                      <w:highlight w:val="none"/>
                      <w:u w:val="none"/>
                      <w:lang w:eastAsia="zh-CN"/>
                    </w:rPr>
                  </w:pPr>
                  <w:r>
                    <w:rPr>
                      <w:rFonts w:hint="eastAsia"/>
                      <w:highlight w:val="none"/>
                      <w:u w:val="none"/>
                      <w:lang w:eastAsia="zh-CN"/>
                    </w:rPr>
                    <w:t>脉冲布袋除尘</w:t>
                  </w:r>
                </w:p>
              </w:tc>
              <w:tc>
                <w:tcPr>
                  <w:tcW w:w="600" w:type="dxa"/>
                  <w:vAlign w:val="center"/>
                </w:tcPr>
                <w:p w14:paraId="1761FF46">
                  <w:pPr>
                    <w:pStyle w:val="15"/>
                    <w:rPr>
                      <w:highlight w:val="none"/>
                      <w:u w:val="none"/>
                    </w:rPr>
                  </w:pPr>
                  <w:r>
                    <w:rPr>
                      <w:rFonts w:hint="eastAsia"/>
                      <w:highlight w:val="none"/>
                      <w:u w:val="none"/>
                    </w:rPr>
                    <w:t>98.4%</w:t>
                  </w:r>
                </w:p>
              </w:tc>
              <w:tc>
                <w:tcPr>
                  <w:tcW w:w="750" w:type="dxa"/>
                  <w:vAlign w:val="center"/>
                </w:tcPr>
                <w:p w14:paraId="6417A86E">
                  <w:pPr>
                    <w:pStyle w:val="15"/>
                    <w:rPr>
                      <w:rFonts w:hint="default" w:eastAsia="宋体"/>
                      <w:highlight w:val="none"/>
                      <w:u w:val="none"/>
                      <w:lang w:val="en-US" w:eastAsia="zh-CN"/>
                    </w:rPr>
                  </w:pPr>
                  <w:r>
                    <w:rPr>
                      <w:rFonts w:hint="eastAsia"/>
                      <w:highlight w:val="none"/>
                      <w:u w:val="none"/>
                    </w:rPr>
                    <w:t>0.0</w:t>
                  </w:r>
                  <w:r>
                    <w:rPr>
                      <w:rFonts w:hint="eastAsia"/>
                      <w:highlight w:val="none"/>
                      <w:u w:val="none"/>
                      <w:lang w:val="en-US" w:eastAsia="zh-CN"/>
                    </w:rPr>
                    <w:t>04</w:t>
                  </w:r>
                </w:p>
              </w:tc>
              <w:tc>
                <w:tcPr>
                  <w:tcW w:w="880" w:type="dxa"/>
                  <w:vAlign w:val="center"/>
                </w:tcPr>
                <w:p w14:paraId="611A3401">
                  <w:pPr>
                    <w:pStyle w:val="15"/>
                    <w:rPr>
                      <w:rFonts w:hint="default" w:eastAsia="宋体"/>
                      <w:highlight w:val="none"/>
                      <w:u w:val="none"/>
                      <w:lang w:val="en-US" w:eastAsia="zh-CN"/>
                    </w:rPr>
                  </w:pPr>
                  <w:r>
                    <w:rPr>
                      <w:rFonts w:hint="eastAsia"/>
                      <w:highlight w:val="none"/>
                      <w:u w:val="none"/>
                    </w:rPr>
                    <w:t>0.0</w:t>
                  </w:r>
                  <w:r>
                    <w:rPr>
                      <w:rFonts w:hint="eastAsia"/>
                      <w:highlight w:val="none"/>
                      <w:u w:val="none"/>
                      <w:lang w:val="en-US" w:eastAsia="zh-CN"/>
                    </w:rPr>
                    <w:t>02</w:t>
                  </w:r>
                </w:p>
              </w:tc>
              <w:tc>
                <w:tcPr>
                  <w:tcW w:w="1024" w:type="dxa"/>
                  <w:vAlign w:val="center"/>
                </w:tcPr>
                <w:p w14:paraId="70159B3B">
                  <w:pPr>
                    <w:pStyle w:val="15"/>
                    <w:rPr>
                      <w:rFonts w:hint="default" w:eastAsia="宋体"/>
                      <w:highlight w:val="none"/>
                      <w:u w:val="none"/>
                      <w:lang w:val="en-US" w:eastAsia="zh-CN"/>
                    </w:rPr>
                  </w:pPr>
                  <w:r>
                    <w:rPr>
                      <w:rFonts w:hint="eastAsia"/>
                      <w:highlight w:val="none"/>
                      <w:u w:val="none"/>
                    </w:rPr>
                    <w:t>1.</w:t>
                  </w:r>
                  <w:r>
                    <w:rPr>
                      <w:rFonts w:hint="eastAsia"/>
                      <w:highlight w:val="none"/>
                      <w:u w:val="none"/>
                      <w:lang w:val="en-US" w:eastAsia="zh-CN"/>
                    </w:rPr>
                    <w:t>19</w:t>
                  </w:r>
                </w:p>
              </w:tc>
            </w:tr>
            <w:tr w14:paraId="23B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97C5E3F">
                  <w:pPr>
                    <w:pStyle w:val="15"/>
                    <w:rPr>
                      <w:u w:val="none"/>
                    </w:rPr>
                  </w:pPr>
                  <w:r>
                    <w:rPr>
                      <w:rFonts w:hint="eastAsia"/>
                      <w:u w:val="none"/>
                    </w:rPr>
                    <w:t>二氧化硫</w:t>
                  </w:r>
                </w:p>
              </w:tc>
              <w:tc>
                <w:tcPr>
                  <w:tcW w:w="695" w:type="dxa"/>
                  <w:vMerge w:val="continue"/>
                  <w:vAlign w:val="center"/>
                </w:tcPr>
                <w:p w14:paraId="1C540496">
                  <w:pPr>
                    <w:pStyle w:val="15"/>
                    <w:rPr>
                      <w:u w:val="none"/>
                    </w:rPr>
                  </w:pPr>
                </w:p>
              </w:tc>
              <w:tc>
                <w:tcPr>
                  <w:tcW w:w="669" w:type="dxa"/>
                  <w:vAlign w:val="center"/>
                </w:tcPr>
                <w:p w14:paraId="130CA4F9">
                  <w:pPr>
                    <w:pStyle w:val="15"/>
                    <w:rPr>
                      <w:rFonts w:hint="default" w:eastAsia="宋体"/>
                      <w:u w:val="none"/>
                      <w:lang w:val="en-US" w:eastAsia="zh-CN"/>
                    </w:rPr>
                  </w:pPr>
                  <w:r>
                    <w:rPr>
                      <w:rFonts w:hint="eastAsia"/>
                      <w:u w:val="none"/>
                    </w:rPr>
                    <w:t>0.</w:t>
                  </w:r>
                  <w:r>
                    <w:rPr>
                      <w:rFonts w:hint="eastAsia"/>
                      <w:u w:val="none"/>
                      <w:lang w:val="en-US" w:eastAsia="zh-CN"/>
                    </w:rPr>
                    <w:t>02</w:t>
                  </w:r>
                </w:p>
              </w:tc>
              <w:tc>
                <w:tcPr>
                  <w:tcW w:w="820" w:type="dxa"/>
                  <w:vAlign w:val="center"/>
                </w:tcPr>
                <w:p w14:paraId="27D4245B">
                  <w:pPr>
                    <w:pStyle w:val="15"/>
                    <w:rPr>
                      <w:rFonts w:hint="default" w:eastAsia="宋体"/>
                      <w:highlight w:val="none"/>
                      <w:u w:val="none"/>
                      <w:lang w:val="en-US" w:eastAsia="zh-CN"/>
                    </w:rPr>
                  </w:pPr>
                  <w:r>
                    <w:rPr>
                      <w:rFonts w:hint="eastAsia"/>
                      <w:highlight w:val="none"/>
                      <w:u w:val="none"/>
                    </w:rPr>
                    <w:t>0.</w:t>
                  </w:r>
                  <w:r>
                    <w:rPr>
                      <w:rFonts w:hint="eastAsia"/>
                      <w:highlight w:val="none"/>
                      <w:u w:val="none"/>
                      <w:lang w:val="en-US" w:eastAsia="zh-CN"/>
                    </w:rPr>
                    <w:t>008</w:t>
                  </w:r>
                </w:p>
              </w:tc>
              <w:tc>
                <w:tcPr>
                  <w:tcW w:w="992" w:type="dxa"/>
                  <w:vAlign w:val="center"/>
                </w:tcPr>
                <w:p w14:paraId="273A630E">
                  <w:pPr>
                    <w:pStyle w:val="15"/>
                    <w:rPr>
                      <w:rFonts w:hint="default" w:eastAsia="宋体"/>
                      <w:highlight w:val="none"/>
                      <w:u w:val="none"/>
                      <w:lang w:val="en-US" w:eastAsia="zh-CN"/>
                    </w:rPr>
                  </w:pPr>
                  <w:r>
                    <w:rPr>
                      <w:rFonts w:hint="eastAsia"/>
                      <w:highlight w:val="none"/>
                      <w:u w:val="none"/>
                    </w:rPr>
                    <w:t>5</w:t>
                  </w:r>
                  <w:r>
                    <w:rPr>
                      <w:rFonts w:hint="eastAsia"/>
                      <w:highlight w:val="none"/>
                      <w:u w:val="none"/>
                      <w:lang w:val="en-US" w:eastAsia="zh-CN"/>
                    </w:rPr>
                    <w:t>.99</w:t>
                  </w:r>
                </w:p>
              </w:tc>
              <w:tc>
                <w:tcPr>
                  <w:tcW w:w="714" w:type="dxa"/>
                  <w:vMerge w:val="continue"/>
                  <w:vAlign w:val="center"/>
                </w:tcPr>
                <w:p w14:paraId="3CFB6F7E">
                  <w:pPr>
                    <w:pStyle w:val="15"/>
                    <w:rPr>
                      <w:highlight w:val="none"/>
                      <w:u w:val="none"/>
                    </w:rPr>
                  </w:pPr>
                </w:p>
              </w:tc>
              <w:tc>
                <w:tcPr>
                  <w:tcW w:w="600" w:type="dxa"/>
                  <w:vAlign w:val="center"/>
                </w:tcPr>
                <w:p w14:paraId="572BA382">
                  <w:pPr>
                    <w:pStyle w:val="15"/>
                    <w:rPr>
                      <w:highlight w:val="none"/>
                      <w:u w:val="none"/>
                    </w:rPr>
                  </w:pPr>
                  <w:r>
                    <w:rPr>
                      <w:rFonts w:hint="eastAsia"/>
                      <w:highlight w:val="none"/>
                      <w:u w:val="none"/>
                    </w:rPr>
                    <w:t>0</w:t>
                  </w:r>
                </w:p>
              </w:tc>
              <w:tc>
                <w:tcPr>
                  <w:tcW w:w="750" w:type="dxa"/>
                  <w:vAlign w:val="center"/>
                </w:tcPr>
                <w:p w14:paraId="0667C776">
                  <w:pPr>
                    <w:pStyle w:val="15"/>
                    <w:ind w:firstLine="0" w:firstLineChars="0"/>
                    <w:rPr>
                      <w:highlight w:val="none"/>
                      <w:u w:val="none"/>
                    </w:rPr>
                  </w:pPr>
                  <w:r>
                    <w:rPr>
                      <w:rFonts w:hint="eastAsia"/>
                      <w:u w:val="none"/>
                    </w:rPr>
                    <w:t>0.</w:t>
                  </w:r>
                  <w:r>
                    <w:rPr>
                      <w:rFonts w:hint="eastAsia"/>
                      <w:u w:val="none"/>
                      <w:lang w:val="en-US" w:eastAsia="zh-CN"/>
                    </w:rPr>
                    <w:t>02</w:t>
                  </w:r>
                </w:p>
              </w:tc>
              <w:tc>
                <w:tcPr>
                  <w:tcW w:w="880" w:type="dxa"/>
                  <w:vAlign w:val="center"/>
                </w:tcPr>
                <w:p w14:paraId="38EA4AAC">
                  <w:pPr>
                    <w:pStyle w:val="15"/>
                    <w:ind w:firstLine="0" w:firstLineChars="0"/>
                    <w:rPr>
                      <w:highlight w:val="none"/>
                      <w:u w:val="none"/>
                    </w:rPr>
                  </w:pPr>
                  <w:r>
                    <w:rPr>
                      <w:rFonts w:hint="eastAsia"/>
                      <w:highlight w:val="none"/>
                      <w:u w:val="none"/>
                    </w:rPr>
                    <w:t>0.</w:t>
                  </w:r>
                  <w:r>
                    <w:rPr>
                      <w:rFonts w:hint="eastAsia"/>
                      <w:highlight w:val="none"/>
                      <w:u w:val="none"/>
                      <w:lang w:val="en-US" w:eastAsia="zh-CN"/>
                    </w:rPr>
                    <w:t>008</w:t>
                  </w:r>
                </w:p>
              </w:tc>
              <w:tc>
                <w:tcPr>
                  <w:tcW w:w="1024" w:type="dxa"/>
                  <w:vAlign w:val="center"/>
                </w:tcPr>
                <w:p w14:paraId="04FF3730">
                  <w:pPr>
                    <w:pStyle w:val="15"/>
                    <w:ind w:firstLine="0" w:firstLineChars="0"/>
                    <w:rPr>
                      <w:highlight w:val="none"/>
                      <w:u w:val="none"/>
                    </w:rPr>
                  </w:pPr>
                  <w:r>
                    <w:rPr>
                      <w:rFonts w:hint="eastAsia"/>
                      <w:highlight w:val="none"/>
                      <w:u w:val="none"/>
                    </w:rPr>
                    <w:t>5</w:t>
                  </w:r>
                  <w:r>
                    <w:rPr>
                      <w:rFonts w:hint="eastAsia"/>
                      <w:highlight w:val="none"/>
                      <w:u w:val="none"/>
                      <w:lang w:val="en-US" w:eastAsia="zh-CN"/>
                    </w:rPr>
                    <w:t>.99</w:t>
                  </w:r>
                </w:p>
              </w:tc>
            </w:tr>
            <w:tr w14:paraId="570E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4C9BE77">
                  <w:pPr>
                    <w:pStyle w:val="15"/>
                    <w:rPr>
                      <w:u w:val="none"/>
                    </w:rPr>
                  </w:pPr>
                  <w:r>
                    <w:rPr>
                      <w:rFonts w:hint="eastAsia"/>
                      <w:u w:val="none"/>
                    </w:rPr>
                    <w:t>氮氧化物</w:t>
                  </w:r>
                </w:p>
              </w:tc>
              <w:tc>
                <w:tcPr>
                  <w:tcW w:w="695" w:type="dxa"/>
                  <w:vMerge w:val="continue"/>
                  <w:vAlign w:val="center"/>
                </w:tcPr>
                <w:p w14:paraId="6803FB97">
                  <w:pPr>
                    <w:pStyle w:val="15"/>
                    <w:rPr>
                      <w:u w:val="none"/>
                    </w:rPr>
                  </w:pPr>
                </w:p>
              </w:tc>
              <w:tc>
                <w:tcPr>
                  <w:tcW w:w="669" w:type="dxa"/>
                  <w:vAlign w:val="center"/>
                </w:tcPr>
                <w:p w14:paraId="4C543869">
                  <w:pPr>
                    <w:pStyle w:val="15"/>
                    <w:rPr>
                      <w:rFonts w:hint="default" w:eastAsia="宋体"/>
                      <w:u w:val="none"/>
                      <w:lang w:val="en-US" w:eastAsia="zh-CN"/>
                    </w:rPr>
                  </w:pPr>
                  <w:r>
                    <w:rPr>
                      <w:rFonts w:hint="eastAsia"/>
                      <w:u w:val="none"/>
                      <w:lang w:val="en-US" w:eastAsia="zh-CN"/>
                    </w:rPr>
                    <w:t>0.55</w:t>
                  </w:r>
                </w:p>
              </w:tc>
              <w:tc>
                <w:tcPr>
                  <w:tcW w:w="820" w:type="dxa"/>
                  <w:vAlign w:val="center"/>
                </w:tcPr>
                <w:p w14:paraId="66CAE7B5">
                  <w:pPr>
                    <w:pStyle w:val="15"/>
                    <w:rPr>
                      <w:rFonts w:hint="default" w:eastAsia="宋体"/>
                      <w:highlight w:val="none"/>
                      <w:u w:val="none"/>
                      <w:lang w:val="en-US" w:eastAsia="zh-CN"/>
                    </w:rPr>
                  </w:pPr>
                  <w:r>
                    <w:rPr>
                      <w:rFonts w:hint="eastAsia"/>
                      <w:highlight w:val="none"/>
                      <w:u w:val="none"/>
                      <w:lang w:val="en-US" w:eastAsia="zh-CN"/>
                    </w:rPr>
                    <w:t>0.229</w:t>
                  </w:r>
                </w:p>
              </w:tc>
              <w:tc>
                <w:tcPr>
                  <w:tcW w:w="992" w:type="dxa"/>
                  <w:vAlign w:val="center"/>
                </w:tcPr>
                <w:p w14:paraId="4D1B6C4B">
                  <w:pPr>
                    <w:pStyle w:val="15"/>
                    <w:rPr>
                      <w:rFonts w:hint="default" w:eastAsia="宋体"/>
                      <w:highlight w:val="none"/>
                      <w:u w:val="none"/>
                      <w:lang w:val="en-US" w:eastAsia="zh-CN"/>
                    </w:rPr>
                  </w:pPr>
                  <w:r>
                    <w:rPr>
                      <w:rFonts w:hint="eastAsia"/>
                      <w:highlight w:val="none"/>
                      <w:u w:val="none"/>
                    </w:rPr>
                    <w:t>16</w:t>
                  </w:r>
                  <w:r>
                    <w:rPr>
                      <w:rFonts w:hint="eastAsia"/>
                      <w:highlight w:val="none"/>
                      <w:u w:val="none"/>
                      <w:lang w:val="en-US" w:eastAsia="zh-CN"/>
                    </w:rPr>
                    <w:t>4.47</w:t>
                  </w:r>
                </w:p>
              </w:tc>
              <w:tc>
                <w:tcPr>
                  <w:tcW w:w="714" w:type="dxa"/>
                  <w:vMerge w:val="continue"/>
                  <w:vAlign w:val="center"/>
                </w:tcPr>
                <w:p w14:paraId="60A9B7F0">
                  <w:pPr>
                    <w:pStyle w:val="15"/>
                    <w:rPr>
                      <w:highlight w:val="none"/>
                      <w:u w:val="none"/>
                    </w:rPr>
                  </w:pPr>
                </w:p>
              </w:tc>
              <w:tc>
                <w:tcPr>
                  <w:tcW w:w="600" w:type="dxa"/>
                  <w:vAlign w:val="center"/>
                </w:tcPr>
                <w:p w14:paraId="459EEDD7">
                  <w:pPr>
                    <w:pStyle w:val="15"/>
                    <w:rPr>
                      <w:highlight w:val="none"/>
                      <w:u w:val="none"/>
                    </w:rPr>
                  </w:pPr>
                  <w:r>
                    <w:rPr>
                      <w:rFonts w:hint="eastAsia"/>
                      <w:highlight w:val="none"/>
                      <w:u w:val="none"/>
                    </w:rPr>
                    <w:t>0</w:t>
                  </w:r>
                </w:p>
              </w:tc>
              <w:tc>
                <w:tcPr>
                  <w:tcW w:w="750" w:type="dxa"/>
                  <w:vAlign w:val="center"/>
                </w:tcPr>
                <w:p w14:paraId="27EC0417">
                  <w:pPr>
                    <w:pStyle w:val="15"/>
                    <w:ind w:firstLine="0" w:firstLineChars="0"/>
                    <w:rPr>
                      <w:highlight w:val="none"/>
                      <w:u w:val="none"/>
                    </w:rPr>
                  </w:pPr>
                  <w:r>
                    <w:rPr>
                      <w:rFonts w:hint="eastAsia"/>
                      <w:u w:val="none"/>
                      <w:lang w:val="en-US" w:eastAsia="zh-CN"/>
                    </w:rPr>
                    <w:t>0.55</w:t>
                  </w:r>
                </w:p>
              </w:tc>
              <w:tc>
                <w:tcPr>
                  <w:tcW w:w="880" w:type="dxa"/>
                  <w:vAlign w:val="center"/>
                </w:tcPr>
                <w:p w14:paraId="364D8810">
                  <w:pPr>
                    <w:pStyle w:val="15"/>
                    <w:ind w:firstLine="0" w:firstLineChars="0"/>
                    <w:rPr>
                      <w:highlight w:val="none"/>
                      <w:u w:val="none"/>
                    </w:rPr>
                  </w:pPr>
                  <w:r>
                    <w:rPr>
                      <w:rFonts w:hint="eastAsia"/>
                      <w:highlight w:val="none"/>
                      <w:u w:val="none"/>
                      <w:lang w:val="en-US" w:eastAsia="zh-CN"/>
                    </w:rPr>
                    <w:t>0.229</w:t>
                  </w:r>
                </w:p>
              </w:tc>
              <w:tc>
                <w:tcPr>
                  <w:tcW w:w="1024" w:type="dxa"/>
                  <w:vAlign w:val="center"/>
                </w:tcPr>
                <w:p w14:paraId="6AC34415">
                  <w:pPr>
                    <w:pStyle w:val="15"/>
                    <w:ind w:firstLine="0" w:firstLineChars="0"/>
                    <w:rPr>
                      <w:highlight w:val="none"/>
                      <w:u w:val="none"/>
                    </w:rPr>
                  </w:pPr>
                  <w:r>
                    <w:rPr>
                      <w:rFonts w:hint="eastAsia"/>
                      <w:highlight w:val="none"/>
                      <w:u w:val="none"/>
                    </w:rPr>
                    <w:t>16</w:t>
                  </w:r>
                  <w:r>
                    <w:rPr>
                      <w:rFonts w:hint="eastAsia"/>
                      <w:highlight w:val="none"/>
                      <w:u w:val="none"/>
                      <w:lang w:val="en-US" w:eastAsia="zh-CN"/>
                    </w:rPr>
                    <w:t>4.47</w:t>
                  </w:r>
                </w:p>
              </w:tc>
            </w:tr>
          </w:tbl>
          <w:p w14:paraId="0A5796B5">
            <w:pPr>
              <w:pStyle w:val="16"/>
              <w:ind w:firstLine="480"/>
              <w:rPr>
                <w:u w:val="none"/>
              </w:rPr>
            </w:pPr>
            <w:r>
              <w:rPr>
                <w:rFonts w:hint="eastAsia"/>
                <w:u w:val="none"/>
                <w:lang w:val="en-US" w:eastAsia="zh-CN"/>
              </w:rPr>
              <w:t>热风炉废气</w:t>
            </w:r>
            <w:r>
              <w:rPr>
                <w:rFonts w:hint="eastAsia"/>
                <w:u w:val="none"/>
              </w:rPr>
              <w:t>经</w:t>
            </w:r>
            <w:r>
              <w:rPr>
                <w:rFonts w:hint="eastAsia"/>
                <w:u w:val="none"/>
                <w:lang w:eastAsia="zh-CN"/>
              </w:rPr>
              <w:t>脉冲布袋除尘</w:t>
            </w:r>
            <w:r>
              <w:rPr>
                <w:rFonts w:hint="eastAsia"/>
                <w:u w:val="none"/>
              </w:rPr>
              <w:t>处理后</w:t>
            </w:r>
            <w:r>
              <w:rPr>
                <w:rFonts w:hint="eastAsia"/>
                <w:u w:val="none"/>
                <w:lang w:val="en-US" w:eastAsia="zh-CN"/>
              </w:rPr>
              <w:t>15</w:t>
            </w:r>
            <w:r>
              <w:rPr>
                <w:rFonts w:hint="eastAsia"/>
                <w:u w:val="none"/>
              </w:rPr>
              <w:t>m排气筒外排，废气中颗粒物、SO</w:t>
            </w:r>
            <w:r>
              <w:rPr>
                <w:rFonts w:hint="eastAsia"/>
                <w:u w:val="none"/>
                <w:vertAlign w:val="subscript"/>
              </w:rPr>
              <w:t>2</w:t>
            </w:r>
            <w:r>
              <w:rPr>
                <w:rFonts w:hint="eastAsia"/>
                <w:u w:val="none"/>
              </w:rPr>
              <w:t>、NO</w:t>
            </w:r>
            <w:r>
              <w:rPr>
                <w:rFonts w:hint="eastAsia"/>
                <w:u w:val="none"/>
                <w:vertAlign w:val="subscript"/>
              </w:rPr>
              <w:t>X</w:t>
            </w:r>
            <w:r>
              <w:rPr>
                <w:rFonts w:hint="eastAsia"/>
                <w:u w:val="none"/>
              </w:rPr>
              <w:t>排放浓度能够满足</w:t>
            </w:r>
            <w:r>
              <w:rPr>
                <w:rFonts w:hint="eastAsia"/>
              </w:rPr>
              <w:t>《湖南省工业炉窑大气污染综合治理实施方案》（2020年6月10日发布）中暂未制定行业排放标准的工业炉窑</w:t>
            </w:r>
            <w:r>
              <w:rPr>
                <w:rFonts w:hint="eastAsia"/>
                <w:lang w:val="en-US" w:eastAsia="zh-CN"/>
              </w:rPr>
              <w:t>排放标准（颗粒物：30</w:t>
            </w:r>
            <w:r>
              <w:rPr>
                <w:rFonts w:hint="eastAsia"/>
                <w:u w:val="none"/>
              </w:rPr>
              <w:t>mg/m</w:t>
            </w:r>
            <w:r>
              <w:rPr>
                <w:rFonts w:hint="eastAsia"/>
                <w:u w:val="none"/>
                <w:vertAlign w:val="superscript"/>
              </w:rPr>
              <w:t>3</w:t>
            </w:r>
            <w:r>
              <w:rPr>
                <w:rFonts w:hint="eastAsia"/>
                <w:lang w:val="en-US" w:eastAsia="zh-CN"/>
              </w:rPr>
              <w:t>，二氧化物：200</w:t>
            </w:r>
            <w:r>
              <w:rPr>
                <w:rFonts w:hint="eastAsia"/>
                <w:u w:val="none"/>
              </w:rPr>
              <w:t>mg/m</w:t>
            </w:r>
            <w:r>
              <w:rPr>
                <w:rFonts w:hint="eastAsia"/>
                <w:u w:val="none"/>
                <w:vertAlign w:val="superscript"/>
              </w:rPr>
              <w:t>3</w:t>
            </w:r>
            <w:r>
              <w:rPr>
                <w:rFonts w:hint="eastAsia"/>
                <w:lang w:val="en-US" w:eastAsia="zh-CN"/>
              </w:rPr>
              <w:t>，氮氧化物：300</w:t>
            </w:r>
            <w:r>
              <w:rPr>
                <w:rFonts w:hint="eastAsia"/>
                <w:u w:val="none"/>
              </w:rPr>
              <w:t>mg/m</w:t>
            </w:r>
            <w:r>
              <w:rPr>
                <w:rFonts w:hint="eastAsia"/>
                <w:u w:val="none"/>
                <w:vertAlign w:val="superscript"/>
              </w:rPr>
              <w:t>3</w:t>
            </w:r>
            <w:r>
              <w:rPr>
                <w:rFonts w:hint="eastAsia"/>
                <w:lang w:val="en-US" w:eastAsia="zh-CN"/>
              </w:rPr>
              <w:t>）</w:t>
            </w:r>
            <w:r>
              <w:rPr>
                <w:rFonts w:hint="eastAsia"/>
                <w:u w:val="none"/>
              </w:rPr>
              <w:t>。</w:t>
            </w:r>
          </w:p>
          <w:p w14:paraId="49C6CF2E">
            <w:pPr>
              <w:pStyle w:val="16"/>
              <w:ind w:firstLine="480"/>
              <w:rPr>
                <w:rFonts w:hint="eastAsia"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烘干废气</w:t>
            </w:r>
          </w:p>
          <w:p w14:paraId="596A5398">
            <w:pPr>
              <w:pStyle w:val="16"/>
              <w:ind w:firstLine="480"/>
              <w:rPr>
                <w:rFonts w:hint="default" w:eastAsia="宋体"/>
                <w:lang w:val="en-US" w:eastAsia="zh-CN"/>
              </w:rPr>
            </w:pPr>
            <w:r>
              <w:rPr>
                <w:rFonts w:hint="eastAsia"/>
                <w:lang w:val="en-US" w:eastAsia="zh-CN"/>
              </w:rPr>
              <w:t>本项目半成品需</w:t>
            </w:r>
            <w:r>
              <w:rPr>
                <w:rFonts w:hint="eastAsia"/>
              </w:rPr>
              <w:t>经过流化床进行烘干，烘干过程中</w:t>
            </w:r>
            <w:r>
              <w:rPr>
                <w:rFonts w:hint="eastAsia"/>
                <w:lang w:val="en-US" w:eastAsia="zh-CN"/>
              </w:rPr>
              <w:t>会</w:t>
            </w:r>
            <w:r>
              <w:rPr>
                <w:rFonts w:hint="eastAsia"/>
              </w:rPr>
              <w:t>产生少量的挥发性有机物</w:t>
            </w:r>
            <w:r>
              <w:rPr>
                <w:rFonts w:hint="eastAsia"/>
                <w:lang w:eastAsia="zh-CN"/>
              </w:rPr>
              <w:t>（</w:t>
            </w:r>
            <w:r>
              <w:rPr>
                <w:rFonts w:hint="eastAsia"/>
                <w:lang w:val="en-US" w:eastAsia="zh-CN"/>
              </w:rPr>
              <w:t>以</w:t>
            </w:r>
            <w:r>
              <w:rPr>
                <w:rFonts w:hint="eastAsia"/>
              </w:rPr>
              <w:t>非甲烷总烃</w:t>
            </w:r>
            <w:r>
              <w:rPr>
                <w:rFonts w:hint="eastAsia"/>
                <w:lang w:val="en-US" w:eastAsia="zh-CN"/>
              </w:rPr>
              <w:t>表征</w:t>
            </w:r>
            <w:r>
              <w:rPr>
                <w:rFonts w:hint="eastAsia"/>
                <w:lang w:eastAsia="zh-CN"/>
              </w:rPr>
              <w:t>）</w:t>
            </w:r>
            <w:r>
              <w:rPr>
                <w:rFonts w:hint="eastAsia"/>
              </w:rPr>
              <w:t>，根据《环境影响评价实用技术指南》（李爱贞主编）中推荐的经验系数进行估算，按原料的1‰～4‰计</w:t>
            </w:r>
            <w:r>
              <w:rPr>
                <w:rFonts w:hint="eastAsia"/>
                <w:lang w:eastAsia="zh-CN"/>
              </w:rPr>
              <w:t>（</w:t>
            </w:r>
            <w:r>
              <w:rPr>
                <w:rFonts w:hint="eastAsia"/>
                <w:lang w:val="en-US" w:eastAsia="zh-CN"/>
              </w:rPr>
              <w:t>本环评取最大值</w:t>
            </w:r>
            <w:r>
              <w:rPr>
                <w:rFonts w:hint="eastAsia"/>
              </w:rPr>
              <w:t>4‰</w:t>
            </w:r>
            <w:r>
              <w:rPr>
                <w:rFonts w:hint="eastAsia"/>
                <w:lang w:eastAsia="zh-CN"/>
              </w:rPr>
              <w:t>）</w:t>
            </w:r>
            <w:r>
              <w:rPr>
                <w:rFonts w:hint="eastAsia"/>
              </w:rPr>
              <w:t>，年耗量为</w:t>
            </w:r>
            <w:r>
              <w:rPr>
                <w:rFonts w:hint="eastAsia"/>
                <w:lang w:val="en-US" w:eastAsia="zh-CN"/>
              </w:rPr>
              <w:t>100</w:t>
            </w:r>
            <w:r>
              <w:rPr>
                <w:rFonts w:hint="eastAsia"/>
              </w:rPr>
              <w:t>t，则非甲烷总烃产生量为</w:t>
            </w:r>
            <w:r>
              <w:rPr>
                <w:rFonts w:hint="eastAsia"/>
                <w:lang w:val="en-US" w:eastAsia="zh-CN"/>
              </w:rPr>
              <w:t>0.4</w:t>
            </w:r>
            <w:r>
              <w:rPr>
                <w:rFonts w:hint="eastAsia"/>
              </w:rPr>
              <w:t>t/a，</w:t>
            </w:r>
            <w:r>
              <w:rPr>
                <w:rFonts w:hint="eastAsia"/>
                <w:lang w:val="en-US" w:eastAsia="zh-CN"/>
              </w:rPr>
              <w:t>设置</w:t>
            </w:r>
            <w:r>
              <w:rPr>
                <w:rFonts w:hint="eastAsia"/>
              </w:rPr>
              <w:t>集气罩对废气收集后</w:t>
            </w:r>
            <w:r>
              <w:rPr>
                <w:rFonts w:hint="eastAsia"/>
                <w:u w:val="none"/>
                <w:lang w:val="en-US" w:eastAsia="zh-CN"/>
              </w:rPr>
              <w:t>水喷淋+活性炭吸附</w:t>
            </w:r>
            <w:r>
              <w:rPr>
                <w:rFonts w:hint="eastAsia"/>
              </w:rPr>
              <w:t>处理后通15m排气筒排放</w:t>
            </w:r>
            <w:r>
              <w:rPr>
                <w:rFonts w:hint="eastAsia"/>
                <w:lang w:eastAsia="zh-CN"/>
              </w:rPr>
              <w:t>，</w:t>
            </w:r>
            <w:r>
              <w:rPr>
                <w:rFonts w:hint="eastAsia"/>
              </w:rPr>
              <w:t>风量为</w:t>
            </w:r>
            <w:r>
              <w:rPr>
                <w:rFonts w:hint="eastAsia"/>
                <w:lang w:val="en-US" w:eastAsia="zh-CN"/>
              </w:rPr>
              <w:t>5</w:t>
            </w:r>
            <w:r>
              <w:rPr>
                <w:rFonts w:hint="eastAsia"/>
              </w:rPr>
              <w:t>000m</w:t>
            </w:r>
            <w:r>
              <w:rPr>
                <w:rFonts w:hint="eastAsia"/>
                <w:vertAlign w:val="superscript"/>
              </w:rPr>
              <w:t>3</w:t>
            </w:r>
            <w:r>
              <w:rPr>
                <w:rFonts w:hint="eastAsia"/>
              </w:rPr>
              <w:t>/h，</w:t>
            </w:r>
            <w:r>
              <w:rPr>
                <w:rFonts w:hint="eastAsia"/>
                <w:u w:val="none"/>
                <w:lang w:val="en-US" w:eastAsia="zh-CN"/>
              </w:rPr>
              <w:t>根据《排放源统计调查产排污核算方法和系数手册》42 废弃资源综合利用行业系数手册中“活性炭吸附”去除效率为55%，</w:t>
            </w:r>
            <w:r>
              <w:rPr>
                <w:rFonts w:hint="eastAsia"/>
              </w:rPr>
              <w:t>集气罩收集效率90%，则</w:t>
            </w:r>
            <w:r>
              <w:rPr>
                <w:rFonts w:hint="eastAsia"/>
                <w:lang w:val="en-US" w:eastAsia="zh-CN"/>
              </w:rPr>
              <w:t>烘干废气中非甲烷总烃排放量为0.162t/a（0.068kg/h），排放浓度为13.6mg/m</w:t>
            </w:r>
            <w:r>
              <w:rPr>
                <w:rFonts w:hint="eastAsia"/>
                <w:vertAlign w:val="superscript"/>
                <w:lang w:val="en-US" w:eastAsia="zh-CN"/>
              </w:rPr>
              <w:t>3</w:t>
            </w:r>
            <w:r>
              <w:rPr>
                <w:rFonts w:hint="eastAsia"/>
                <w:lang w:val="en-US" w:eastAsia="zh-CN"/>
              </w:rPr>
              <w:t>，能满足</w:t>
            </w:r>
            <w:r>
              <w:rPr>
                <w:rFonts w:hint="eastAsia"/>
              </w:rPr>
              <w:t>《玻璃工业大气污染物排放标准》（GB26453-2022）表</w:t>
            </w:r>
            <w:r>
              <w:rPr>
                <w:rFonts w:hint="eastAsia"/>
                <w:lang w:val="en-US" w:eastAsia="zh-CN"/>
              </w:rPr>
              <w:t>1污染物</w:t>
            </w:r>
            <w:r>
              <w:rPr>
                <w:rFonts w:hint="eastAsia"/>
              </w:rPr>
              <w:t>排放</w:t>
            </w:r>
            <w:r>
              <w:rPr>
                <w:rFonts w:hint="eastAsia"/>
                <w:lang w:val="en-US" w:eastAsia="zh-CN"/>
              </w:rPr>
              <w:t>限值</w:t>
            </w:r>
            <w:r>
              <w:rPr>
                <w:rFonts w:hint="eastAsia"/>
                <w:lang w:eastAsia="zh-CN"/>
              </w:rPr>
              <w:t>（</w:t>
            </w:r>
            <w:r>
              <w:rPr>
                <w:rFonts w:hint="eastAsia"/>
                <w:lang w:val="en-US" w:eastAsia="zh-CN"/>
              </w:rPr>
              <w:t>非甲烷总烃：80mg/m</w:t>
            </w:r>
            <w:r>
              <w:rPr>
                <w:rFonts w:hint="eastAsia"/>
                <w:vertAlign w:val="superscript"/>
                <w:lang w:val="en-US" w:eastAsia="zh-CN"/>
              </w:rPr>
              <w:t>3</w:t>
            </w:r>
            <w:r>
              <w:rPr>
                <w:rFonts w:hint="eastAsia"/>
                <w:lang w:eastAsia="zh-CN"/>
              </w:rPr>
              <w:t>）</w:t>
            </w:r>
            <w:r>
              <w:rPr>
                <w:rFonts w:hint="eastAsia"/>
                <w:lang w:val="en-US" w:eastAsia="zh-CN"/>
              </w:rPr>
              <w:t>。</w:t>
            </w:r>
          </w:p>
          <w:p w14:paraId="5875253B">
            <w:pPr>
              <w:ind w:firstLine="482"/>
              <w:rPr>
                <w:b/>
                <w:bCs/>
              </w:rPr>
            </w:pPr>
            <w:r>
              <w:rPr>
                <w:rFonts w:hint="eastAsia"/>
                <w:b/>
                <w:bCs/>
              </w:rPr>
              <w:t>1.2 废气产排污情况</w:t>
            </w:r>
          </w:p>
          <w:p w14:paraId="05295AD3">
            <w:pPr>
              <w:pStyle w:val="16"/>
              <w:ind w:firstLine="480"/>
            </w:pPr>
            <w:r>
              <w:rPr>
                <w:rFonts w:hint="eastAsia"/>
              </w:rPr>
              <w:t>本项目废气产排情况详见下表。</w:t>
            </w:r>
          </w:p>
          <w:p w14:paraId="53B134E4">
            <w:pPr>
              <w:pStyle w:val="17"/>
            </w:pPr>
            <w:r>
              <w:rPr>
                <w:rFonts w:hint="eastAsia"/>
              </w:rPr>
              <w:t>表4-3  废气产排</w:t>
            </w:r>
            <w:r>
              <w:rPr>
                <w:rFonts w:hint="eastAsia"/>
                <w:lang w:val="en-US" w:eastAsia="zh-CN"/>
              </w:rPr>
              <w:t>污</w:t>
            </w:r>
            <w:r>
              <w:rPr>
                <w:rFonts w:hint="eastAsia"/>
              </w:rPr>
              <w:t>情况</w:t>
            </w:r>
          </w:p>
          <w:tbl>
            <w:tblPr>
              <w:tblStyle w:val="12"/>
              <w:tblW w:w="7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679"/>
              <w:gridCol w:w="902"/>
              <w:gridCol w:w="935"/>
              <w:gridCol w:w="1164"/>
              <w:gridCol w:w="676"/>
              <w:gridCol w:w="850"/>
              <w:gridCol w:w="1054"/>
              <w:gridCol w:w="1195"/>
            </w:tblGrid>
            <w:tr w14:paraId="6FD2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vAlign w:val="center"/>
                </w:tcPr>
                <w:p w14:paraId="282D5BDA">
                  <w:pPr>
                    <w:pStyle w:val="15"/>
                  </w:pPr>
                  <w:r>
                    <w:rPr>
                      <w:rFonts w:hint="eastAsia"/>
                    </w:rPr>
                    <w:t>序号</w:t>
                  </w:r>
                </w:p>
              </w:tc>
              <w:tc>
                <w:tcPr>
                  <w:tcW w:w="679" w:type="dxa"/>
                  <w:vAlign w:val="center"/>
                </w:tcPr>
                <w:p w14:paraId="2187EFD0">
                  <w:pPr>
                    <w:pStyle w:val="15"/>
                  </w:pPr>
                  <w:r>
                    <w:rPr>
                      <w:rFonts w:hint="eastAsia"/>
                    </w:rPr>
                    <w:t>排放源</w:t>
                  </w:r>
                </w:p>
              </w:tc>
              <w:tc>
                <w:tcPr>
                  <w:tcW w:w="902" w:type="dxa"/>
                  <w:vAlign w:val="center"/>
                </w:tcPr>
                <w:p w14:paraId="42262144">
                  <w:pPr>
                    <w:pStyle w:val="15"/>
                  </w:pPr>
                  <w:r>
                    <w:rPr>
                      <w:rFonts w:hint="eastAsia"/>
                    </w:rPr>
                    <w:t>污染物</w:t>
                  </w:r>
                </w:p>
              </w:tc>
              <w:tc>
                <w:tcPr>
                  <w:tcW w:w="935" w:type="dxa"/>
                  <w:vAlign w:val="center"/>
                </w:tcPr>
                <w:p w14:paraId="787B1115">
                  <w:pPr>
                    <w:pStyle w:val="15"/>
                  </w:pPr>
                  <w:r>
                    <w:rPr>
                      <w:rFonts w:hint="eastAsia"/>
                    </w:rPr>
                    <w:t>产生量（t/a）</w:t>
                  </w:r>
                </w:p>
              </w:tc>
              <w:tc>
                <w:tcPr>
                  <w:tcW w:w="1164" w:type="dxa"/>
                  <w:vAlign w:val="center"/>
                </w:tcPr>
                <w:p w14:paraId="60E2163E">
                  <w:pPr>
                    <w:pStyle w:val="15"/>
                  </w:pPr>
                  <w:r>
                    <w:rPr>
                      <w:rFonts w:hint="eastAsia"/>
                    </w:rPr>
                    <w:t>处理措施</w:t>
                  </w:r>
                </w:p>
              </w:tc>
              <w:tc>
                <w:tcPr>
                  <w:tcW w:w="676" w:type="dxa"/>
                  <w:vAlign w:val="center"/>
                </w:tcPr>
                <w:p w14:paraId="4F0E4DF7">
                  <w:pPr>
                    <w:pStyle w:val="15"/>
                  </w:pPr>
                  <w:r>
                    <w:rPr>
                      <w:rFonts w:hint="eastAsia"/>
                    </w:rPr>
                    <w:t>排放方式</w:t>
                  </w:r>
                </w:p>
              </w:tc>
              <w:tc>
                <w:tcPr>
                  <w:tcW w:w="850" w:type="dxa"/>
                  <w:vAlign w:val="center"/>
                </w:tcPr>
                <w:p w14:paraId="41847953">
                  <w:pPr>
                    <w:pStyle w:val="15"/>
                  </w:pPr>
                  <w:r>
                    <w:rPr>
                      <w:rFonts w:hint="eastAsia"/>
                    </w:rPr>
                    <w:t>排放量（t/a）</w:t>
                  </w:r>
                </w:p>
              </w:tc>
              <w:tc>
                <w:tcPr>
                  <w:tcW w:w="1054" w:type="dxa"/>
                  <w:vAlign w:val="center"/>
                </w:tcPr>
                <w:p w14:paraId="3CA20E85">
                  <w:pPr>
                    <w:pStyle w:val="15"/>
                  </w:pPr>
                  <w:r>
                    <w:rPr>
                      <w:rFonts w:hint="eastAsia"/>
                    </w:rPr>
                    <w:t>排放速率（kg/h）</w:t>
                  </w:r>
                </w:p>
              </w:tc>
              <w:tc>
                <w:tcPr>
                  <w:tcW w:w="1195" w:type="dxa"/>
                  <w:vAlign w:val="center"/>
                </w:tcPr>
                <w:p w14:paraId="35643412">
                  <w:pPr>
                    <w:pStyle w:val="15"/>
                  </w:pPr>
                  <w:r>
                    <w:rPr>
                      <w:rFonts w:hint="eastAsia"/>
                    </w:rPr>
                    <w:t>排放浓度（mg/m</w:t>
                  </w:r>
                  <w:r>
                    <w:rPr>
                      <w:rFonts w:hint="eastAsia"/>
                      <w:vertAlign w:val="superscript"/>
                    </w:rPr>
                    <w:t>3</w:t>
                  </w:r>
                  <w:r>
                    <w:rPr>
                      <w:rFonts w:hint="eastAsia"/>
                    </w:rPr>
                    <w:t>）</w:t>
                  </w:r>
                </w:p>
              </w:tc>
            </w:tr>
            <w:tr w14:paraId="536E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A6B5929">
                  <w:pPr>
                    <w:pStyle w:val="15"/>
                  </w:pPr>
                  <w:r>
                    <w:rPr>
                      <w:rFonts w:hint="eastAsia"/>
                    </w:rPr>
                    <w:t>1</w:t>
                  </w:r>
                </w:p>
              </w:tc>
              <w:tc>
                <w:tcPr>
                  <w:tcW w:w="679" w:type="dxa"/>
                  <w:vMerge w:val="restart"/>
                  <w:vAlign w:val="center"/>
                </w:tcPr>
                <w:p w14:paraId="7F63EA37">
                  <w:pPr>
                    <w:pStyle w:val="15"/>
                  </w:pPr>
                  <w:r>
                    <w:rPr>
                      <w:rFonts w:hint="eastAsia"/>
                      <w:lang w:val="en-US" w:eastAsia="zh-CN"/>
                    </w:rPr>
                    <w:t>热风炉</w:t>
                  </w:r>
                  <w:r>
                    <w:rPr>
                      <w:rFonts w:hint="eastAsia"/>
                    </w:rPr>
                    <w:t>废气</w:t>
                  </w:r>
                </w:p>
              </w:tc>
              <w:tc>
                <w:tcPr>
                  <w:tcW w:w="902" w:type="dxa"/>
                  <w:vAlign w:val="center"/>
                </w:tcPr>
                <w:p w14:paraId="52C952F3">
                  <w:pPr>
                    <w:pStyle w:val="15"/>
                  </w:pPr>
                  <w:r>
                    <w:rPr>
                      <w:rFonts w:hint="eastAsia"/>
                    </w:rPr>
                    <w:t>颗粒物</w:t>
                  </w:r>
                </w:p>
              </w:tc>
              <w:tc>
                <w:tcPr>
                  <w:tcW w:w="935" w:type="dxa"/>
                  <w:vAlign w:val="center"/>
                </w:tcPr>
                <w:p w14:paraId="6604D1CC">
                  <w:pPr>
                    <w:pStyle w:val="15"/>
                    <w:ind w:firstLine="0" w:firstLineChars="0"/>
                    <w:rPr>
                      <w:u w:val="none"/>
                    </w:rPr>
                  </w:pPr>
                  <w:r>
                    <w:rPr>
                      <w:rFonts w:hint="eastAsia"/>
                      <w:u w:val="none"/>
                      <w:lang w:val="en-US" w:eastAsia="zh-CN"/>
                    </w:rPr>
                    <w:t>0.27</w:t>
                  </w:r>
                </w:p>
              </w:tc>
              <w:tc>
                <w:tcPr>
                  <w:tcW w:w="1164" w:type="dxa"/>
                  <w:vMerge w:val="restart"/>
                  <w:vAlign w:val="center"/>
                </w:tcPr>
                <w:p w14:paraId="55BC4B23">
                  <w:pPr>
                    <w:pStyle w:val="15"/>
                  </w:pPr>
                  <w:r>
                    <w:rPr>
                      <w:rFonts w:hint="eastAsia"/>
                      <w:lang w:eastAsia="zh-CN"/>
                    </w:rPr>
                    <w:t>脉冲布袋除尘</w:t>
                  </w:r>
                  <w:r>
                    <w:rPr>
                      <w:rFonts w:hint="eastAsia"/>
                      <w:lang w:val="en-US" w:eastAsia="zh-CN"/>
                    </w:rPr>
                    <w:t>+15</w:t>
                  </w:r>
                  <w:r>
                    <w:rPr>
                      <w:rFonts w:hint="eastAsia"/>
                    </w:rPr>
                    <w:t>m排气筒</w:t>
                  </w:r>
                </w:p>
              </w:tc>
              <w:tc>
                <w:tcPr>
                  <w:tcW w:w="676" w:type="dxa"/>
                  <w:vMerge w:val="restart"/>
                  <w:vAlign w:val="center"/>
                </w:tcPr>
                <w:p w14:paraId="695162C9">
                  <w:pPr>
                    <w:pStyle w:val="15"/>
                  </w:pPr>
                  <w:r>
                    <w:rPr>
                      <w:rFonts w:hint="eastAsia"/>
                    </w:rPr>
                    <w:t>有组织</w:t>
                  </w:r>
                </w:p>
              </w:tc>
              <w:tc>
                <w:tcPr>
                  <w:tcW w:w="850" w:type="dxa"/>
                  <w:vAlign w:val="center"/>
                </w:tcPr>
                <w:p w14:paraId="7CB74342">
                  <w:pPr>
                    <w:pStyle w:val="15"/>
                    <w:ind w:firstLine="0" w:firstLineChars="0"/>
                    <w:rPr>
                      <w:u w:val="none"/>
                    </w:rPr>
                  </w:pPr>
                  <w:r>
                    <w:rPr>
                      <w:rFonts w:hint="eastAsia"/>
                      <w:highlight w:val="none"/>
                      <w:u w:val="none"/>
                    </w:rPr>
                    <w:t>0.0</w:t>
                  </w:r>
                  <w:r>
                    <w:rPr>
                      <w:rFonts w:hint="eastAsia"/>
                      <w:highlight w:val="none"/>
                      <w:u w:val="none"/>
                      <w:lang w:val="en-US" w:eastAsia="zh-CN"/>
                    </w:rPr>
                    <w:t>04</w:t>
                  </w:r>
                </w:p>
              </w:tc>
              <w:tc>
                <w:tcPr>
                  <w:tcW w:w="1054" w:type="dxa"/>
                  <w:vAlign w:val="center"/>
                </w:tcPr>
                <w:p w14:paraId="18D2E33E">
                  <w:pPr>
                    <w:pStyle w:val="15"/>
                    <w:ind w:firstLine="0" w:firstLineChars="0"/>
                    <w:rPr>
                      <w:u w:val="none"/>
                    </w:rPr>
                  </w:pPr>
                  <w:r>
                    <w:rPr>
                      <w:rFonts w:hint="eastAsia"/>
                      <w:highlight w:val="none"/>
                      <w:u w:val="none"/>
                    </w:rPr>
                    <w:t>0.0</w:t>
                  </w:r>
                  <w:r>
                    <w:rPr>
                      <w:rFonts w:hint="eastAsia"/>
                      <w:highlight w:val="none"/>
                      <w:u w:val="none"/>
                      <w:lang w:val="en-US" w:eastAsia="zh-CN"/>
                    </w:rPr>
                    <w:t>02</w:t>
                  </w:r>
                </w:p>
              </w:tc>
              <w:tc>
                <w:tcPr>
                  <w:tcW w:w="1195" w:type="dxa"/>
                  <w:vAlign w:val="center"/>
                </w:tcPr>
                <w:p w14:paraId="55498FAE">
                  <w:pPr>
                    <w:pStyle w:val="15"/>
                    <w:ind w:firstLine="0" w:firstLineChars="0"/>
                    <w:rPr>
                      <w:u w:val="none"/>
                    </w:rPr>
                  </w:pPr>
                  <w:r>
                    <w:rPr>
                      <w:rFonts w:hint="eastAsia"/>
                      <w:highlight w:val="none"/>
                      <w:u w:val="none"/>
                    </w:rPr>
                    <w:t>1.</w:t>
                  </w:r>
                  <w:r>
                    <w:rPr>
                      <w:rFonts w:hint="eastAsia"/>
                      <w:highlight w:val="none"/>
                      <w:u w:val="none"/>
                      <w:lang w:val="en-US" w:eastAsia="zh-CN"/>
                    </w:rPr>
                    <w:t>19</w:t>
                  </w:r>
                </w:p>
              </w:tc>
            </w:tr>
            <w:tr w14:paraId="258F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75A5ABFB">
                  <w:pPr>
                    <w:pStyle w:val="15"/>
                  </w:pPr>
                </w:p>
              </w:tc>
              <w:tc>
                <w:tcPr>
                  <w:tcW w:w="679" w:type="dxa"/>
                  <w:vMerge w:val="continue"/>
                  <w:vAlign w:val="center"/>
                </w:tcPr>
                <w:p w14:paraId="60839065">
                  <w:pPr>
                    <w:pStyle w:val="15"/>
                  </w:pPr>
                </w:p>
              </w:tc>
              <w:tc>
                <w:tcPr>
                  <w:tcW w:w="902" w:type="dxa"/>
                  <w:vAlign w:val="center"/>
                </w:tcPr>
                <w:p w14:paraId="682FCBEF">
                  <w:pPr>
                    <w:pStyle w:val="15"/>
                  </w:pPr>
                  <w:r>
                    <w:rPr>
                      <w:rFonts w:hint="eastAsia"/>
                    </w:rPr>
                    <w:t>二氧化硫</w:t>
                  </w:r>
                </w:p>
              </w:tc>
              <w:tc>
                <w:tcPr>
                  <w:tcW w:w="935" w:type="dxa"/>
                  <w:vAlign w:val="center"/>
                </w:tcPr>
                <w:p w14:paraId="5C2CB759">
                  <w:pPr>
                    <w:pStyle w:val="15"/>
                    <w:ind w:firstLine="0" w:firstLineChars="0"/>
                    <w:rPr>
                      <w:u w:val="none"/>
                    </w:rPr>
                  </w:pPr>
                  <w:r>
                    <w:rPr>
                      <w:rFonts w:hint="eastAsia"/>
                      <w:u w:val="none"/>
                    </w:rPr>
                    <w:t>0.</w:t>
                  </w:r>
                  <w:r>
                    <w:rPr>
                      <w:rFonts w:hint="eastAsia"/>
                      <w:u w:val="none"/>
                      <w:lang w:val="en-US" w:eastAsia="zh-CN"/>
                    </w:rPr>
                    <w:t>02</w:t>
                  </w:r>
                </w:p>
              </w:tc>
              <w:tc>
                <w:tcPr>
                  <w:tcW w:w="1164" w:type="dxa"/>
                  <w:vMerge w:val="continue"/>
                  <w:vAlign w:val="center"/>
                </w:tcPr>
                <w:p w14:paraId="7CB370D3">
                  <w:pPr>
                    <w:pStyle w:val="15"/>
                  </w:pPr>
                </w:p>
              </w:tc>
              <w:tc>
                <w:tcPr>
                  <w:tcW w:w="676" w:type="dxa"/>
                  <w:vMerge w:val="continue"/>
                  <w:vAlign w:val="center"/>
                </w:tcPr>
                <w:p w14:paraId="46D42332">
                  <w:pPr>
                    <w:pStyle w:val="15"/>
                  </w:pPr>
                </w:p>
              </w:tc>
              <w:tc>
                <w:tcPr>
                  <w:tcW w:w="850" w:type="dxa"/>
                  <w:vAlign w:val="center"/>
                </w:tcPr>
                <w:p w14:paraId="250EAA24">
                  <w:pPr>
                    <w:pStyle w:val="15"/>
                    <w:ind w:firstLine="0" w:firstLineChars="0"/>
                    <w:rPr>
                      <w:u w:val="none"/>
                    </w:rPr>
                  </w:pPr>
                  <w:r>
                    <w:rPr>
                      <w:rFonts w:hint="eastAsia"/>
                      <w:u w:val="none"/>
                    </w:rPr>
                    <w:t>0.</w:t>
                  </w:r>
                  <w:r>
                    <w:rPr>
                      <w:rFonts w:hint="eastAsia"/>
                      <w:u w:val="none"/>
                      <w:lang w:val="en-US" w:eastAsia="zh-CN"/>
                    </w:rPr>
                    <w:t>02</w:t>
                  </w:r>
                </w:p>
              </w:tc>
              <w:tc>
                <w:tcPr>
                  <w:tcW w:w="1054" w:type="dxa"/>
                  <w:vAlign w:val="center"/>
                </w:tcPr>
                <w:p w14:paraId="3649ECDF">
                  <w:pPr>
                    <w:pStyle w:val="15"/>
                    <w:ind w:firstLine="0" w:firstLineChars="0"/>
                    <w:rPr>
                      <w:u w:val="none"/>
                    </w:rPr>
                  </w:pPr>
                  <w:r>
                    <w:rPr>
                      <w:rFonts w:hint="eastAsia"/>
                      <w:highlight w:val="none"/>
                      <w:u w:val="none"/>
                    </w:rPr>
                    <w:t>0.</w:t>
                  </w:r>
                  <w:r>
                    <w:rPr>
                      <w:rFonts w:hint="eastAsia"/>
                      <w:highlight w:val="none"/>
                      <w:u w:val="none"/>
                      <w:lang w:val="en-US" w:eastAsia="zh-CN"/>
                    </w:rPr>
                    <w:t>008</w:t>
                  </w:r>
                </w:p>
              </w:tc>
              <w:tc>
                <w:tcPr>
                  <w:tcW w:w="1195" w:type="dxa"/>
                  <w:vAlign w:val="center"/>
                </w:tcPr>
                <w:p w14:paraId="22491103">
                  <w:pPr>
                    <w:pStyle w:val="15"/>
                    <w:ind w:firstLine="0" w:firstLineChars="0"/>
                    <w:rPr>
                      <w:u w:val="none"/>
                    </w:rPr>
                  </w:pPr>
                  <w:r>
                    <w:rPr>
                      <w:rFonts w:hint="eastAsia"/>
                      <w:highlight w:val="none"/>
                      <w:u w:val="none"/>
                    </w:rPr>
                    <w:t>5</w:t>
                  </w:r>
                  <w:r>
                    <w:rPr>
                      <w:rFonts w:hint="eastAsia"/>
                      <w:highlight w:val="none"/>
                      <w:u w:val="none"/>
                      <w:lang w:val="en-US" w:eastAsia="zh-CN"/>
                    </w:rPr>
                    <w:t>.99</w:t>
                  </w:r>
                </w:p>
              </w:tc>
            </w:tr>
            <w:tr w14:paraId="31B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45EB2C7E">
                  <w:pPr>
                    <w:pStyle w:val="15"/>
                  </w:pPr>
                </w:p>
              </w:tc>
              <w:tc>
                <w:tcPr>
                  <w:tcW w:w="679" w:type="dxa"/>
                  <w:vMerge w:val="continue"/>
                  <w:vAlign w:val="center"/>
                </w:tcPr>
                <w:p w14:paraId="0FA7CB76">
                  <w:pPr>
                    <w:pStyle w:val="15"/>
                  </w:pPr>
                </w:p>
              </w:tc>
              <w:tc>
                <w:tcPr>
                  <w:tcW w:w="902" w:type="dxa"/>
                  <w:vAlign w:val="center"/>
                </w:tcPr>
                <w:p w14:paraId="13EC4CE1">
                  <w:pPr>
                    <w:pStyle w:val="15"/>
                  </w:pPr>
                  <w:r>
                    <w:rPr>
                      <w:rFonts w:hint="eastAsia"/>
                    </w:rPr>
                    <w:t>氮氧化物</w:t>
                  </w:r>
                </w:p>
              </w:tc>
              <w:tc>
                <w:tcPr>
                  <w:tcW w:w="935" w:type="dxa"/>
                  <w:vAlign w:val="center"/>
                </w:tcPr>
                <w:p w14:paraId="752ADC2D">
                  <w:pPr>
                    <w:pStyle w:val="15"/>
                    <w:ind w:firstLine="0" w:firstLineChars="0"/>
                    <w:rPr>
                      <w:u w:val="none"/>
                    </w:rPr>
                  </w:pPr>
                  <w:r>
                    <w:rPr>
                      <w:rFonts w:hint="eastAsia"/>
                      <w:u w:val="none"/>
                      <w:lang w:val="en-US" w:eastAsia="zh-CN"/>
                    </w:rPr>
                    <w:t>0.55</w:t>
                  </w:r>
                </w:p>
              </w:tc>
              <w:tc>
                <w:tcPr>
                  <w:tcW w:w="1164" w:type="dxa"/>
                  <w:vMerge w:val="continue"/>
                  <w:vAlign w:val="center"/>
                </w:tcPr>
                <w:p w14:paraId="5CE507D6">
                  <w:pPr>
                    <w:pStyle w:val="15"/>
                  </w:pPr>
                </w:p>
              </w:tc>
              <w:tc>
                <w:tcPr>
                  <w:tcW w:w="676" w:type="dxa"/>
                  <w:vMerge w:val="continue"/>
                  <w:vAlign w:val="center"/>
                </w:tcPr>
                <w:p w14:paraId="47B3B6FE">
                  <w:pPr>
                    <w:pStyle w:val="15"/>
                  </w:pPr>
                </w:p>
              </w:tc>
              <w:tc>
                <w:tcPr>
                  <w:tcW w:w="850" w:type="dxa"/>
                  <w:vAlign w:val="center"/>
                </w:tcPr>
                <w:p w14:paraId="4D37809F">
                  <w:pPr>
                    <w:pStyle w:val="15"/>
                    <w:ind w:firstLine="0" w:firstLineChars="0"/>
                    <w:rPr>
                      <w:u w:val="none"/>
                    </w:rPr>
                  </w:pPr>
                  <w:r>
                    <w:rPr>
                      <w:rFonts w:hint="eastAsia"/>
                      <w:u w:val="none"/>
                      <w:lang w:val="en-US" w:eastAsia="zh-CN"/>
                    </w:rPr>
                    <w:t>0.55</w:t>
                  </w:r>
                </w:p>
              </w:tc>
              <w:tc>
                <w:tcPr>
                  <w:tcW w:w="1054" w:type="dxa"/>
                  <w:vAlign w:val="center"/>
                </w:tcPr>
                <w:p w14:paraId="773CEA02">
                  <w:pPr>
                    <w:pStyle w:val="15"/>
                    <w:ind w:firstLine="0" w:firstLineChars="0"/>
                    <w:rPr>
                      <w:u w:val="none"/>
                    </w:rPr>
                  </w:pPr>
                  <w:r>
                    <w:rPr>
                      <w:rFonts w:hint="eastAsia"/>
                      <w:highlight w:val="none"/>
                      <w:u w:val="none"/>
                      <w:lang w:val="en-US" w:eastAsia="zh-CN"/>
                    </w:rPr>
                    <w:t>0.229</w:t>
                  </w:r>
                </w:p>
              </w:tc>
              <w:tc>
                <w:tcPr>
                  <w:tcW w:w="1195" w:type="dxa"/>
                  <w:vAlign w:val="center"/>
                </w:tcPr>
                <w:p w14:paraId="024C0329">
                  <w:pPr>
                    <w:pStyle w:val="15"/>
                    <w:ind w:firstLine="0" w:firstLineChars="0"/>
                    <w:rPr>
                      <w:u w:val="none"/>
                    </w:rPr>
                  </w:pPr>
                  <w:r>
                    <w:rPr>
                      <w:rFonts w:hint="eastAsia"/>
                      <w:highlight w:val="none"/>
                      <w:u w:val="none"/>
                    </w:rPr>
                    <w:t>16</w:t>
                  </w:r>
                  <w:r>
                    <w:rPr>
                      <w:rFonts w:hint="eastAsia"/>
                      <w:highlight w:val="none"/>
                      <w:u w:val="none"/>
                      <w:lang w:val="en-US" w:eastAsia="zh-CN"/>
                    </w:rPr>
                    <w:t>4.47</w:t>
                  </w:r>
                </w:p>
              </w:tc>
            </w:tr>
            <w:tr w14:paraId="15A7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restart"/>
                  <w:vAlign w:val="center"/>
                </w:tcPr>
                <w:p w14:paraId="371CD620">
                  <w:pPr>
                    <w:pStyle w:val="15"/>
                  </w:pPr>
                  <w:r>
                    <w:rPr>
                      <w:rFonts w:hint="eastAsia"/>
                    </w:rPr>
                    <w:t>2</w:t>
                  </w:r>
                </w:p>
              </w:tc>
              <w:tc>
                <w:tcPr>
                  <w:tcW w:w="679" w:type="dxa"/>
                  <w:vMerge w:val="restart"/>
                  <w:vAlign w:val="center"/>
                </w:tcPr>
                <w:p w14:paraId="73B3B3AE">
                  <w:pPr>
                    <w:pStyle w:val="15"/>
                  </w:pPr>
                  <w:r>
                    <w:rPr>
                      <w:rFonts w:hint="eastAsia"/>
                      <w:u w:val="none"/>
                      <w:lang w:val="en-US" w:eastAsia="zh-CN"/>
                    </w:rPr>
                    <w:t>粉碎挤出废气</w:t>
                  </w:r>
                </w:p>
              </w:tc>
              <w:tc>
                <w:tcPr>
                  <w:tcW w:w="902" w:type="dxa"/>
                  <w:vAlign w:val="center"/>
                </w:tcPr>
                <w:p w14:paraId="64416733">
                  <w:pPr>
                    <w:pStyle w:val="15"/>
                    <w:rPr>
                      <w:rFonts w:hint="eastAsia" w:eastAsia="宋体"/>
                      <w:lang w:val="en-US" w:eastAsia="zh-CN"/>
                    </w:rPr>
                  </w:pPr>
                  <w:r>
                    <w:rPr>
                      <w:rFonts w:hint="eastAsia"/>
                      <w:lang w:val="en-US" w:eastAsia="zh-CN"/>
                    </w:rPr>
                    <w:t>颗粒物</w:t>
                  </w:r>
                </w:p>
              </w:tc>
              <w:tc>
                <w:tcPr>
                  <w:tcW w:w="935" w:type="dxa"/>
                  <w:vAlign w:val="center"/>
                </w:tcPr>
                <w:p w14:paraId="70299CC2">
                  <w:pPr>
                    <w:pStyle w:val="15"/>
                    <w:ind w:firstLine="0" w:firstLineChars="0"/>
                    <w:rPr>
                      <w:rFonts w:hint="default"/>
                      <w:u w:val="none"/>
                      <w:lang w:val="en-US" w:eastAsia="zh-CN"/>
                    </w:rPr>
                  </w:pPr>
                  <w:r>
                    <w:rPr>
                      <w:rFonts w:hint="eastAsia"/>
                      <w:u w:val="none"/>
                      <w:lang w:val="en-US" w:eastAsia="zh-CN"/>
                    </w:rPr>
                    <w:t>1.35</w:t>
                  </w:r>
                </w:p>
              </w:tc>
              <w:tc>
                <w:tcPr>
                  <w:tcW w:w="1164" w:type="dxa"/>
                  <w:vMerge w:val="restart"/>
                  <w:vAlign w:val="center"/>
                </w:tcPr>
                <w:p w14:paraId="160BAD91">
                  <w:pPr>
                    <w:pStyle w:val="15"/>
                    <w:rPr>
                      <w:rFonts w:hint="default"/>
                      <w:lang w:val="en-US"/>
                    </w:rPr>
                  </w:pPr>
                  <w:r>
                    <w:rPr>
                      <w:rFonts w:hint="eastAsia"/>
                      <w:u w:val="none"/>
                      <w:lang w:val="en-US" w:eastAsia="zh-CN"/>
                    </w:rPr>
                    <w:t>水喷淋+活性炭+15m排气筒</w:t>
                  </w:r>
                </w:p>
              </w:tc>
              <w:tc>
                <w:tcPr>
                  <w:tcW w:w="676" w:type="dxa"/>
                  <w:vMerge w:val="restart"/>
                  <w:vAlign w:val="center"/>
                </w:tcPr>
                <w:p w14:paraId="5848B91E">
                  <w:pPr>
                    <w:pStyle w:val="15"/>
                  </w:pPr>
                  <w:r>
                    <w:rPr>
                      <w:rFonts w:hint="eastAsia"/>
                    </w:rPr>
                    <w:t>有组织</w:t>
                  </w:r>
                </w:p>
              </w:tc>
              <w:tc>
                <w:tcPr>
                  <w:tcW w:w="850" w:type="dxa"/>
                  <w:vAlign w:val="center"/>
                </w:tcPr>
                <w:p w14:paraId="2A1C923F">
                  <w:pPr>
                    <w:pStyle w:val="15"/>
                    <w:ind w:firstLine="0" w:firstLineChars="0"/>
                    <w:rPr>
                      <w:rFonts w:hint="default"/>
                      <w:u w:val="none"/>
                      <w:lang w:val="en-US" w:eastAsia="zh-CN"/>
                    </w:rPr>
                  </w:pPr>
                  <w:r>
                    <w:rPr>
                      <w:rFonts w:hint="eastAsia"/>
                      <w:u w:val="none"/>
                      <w:lang w:val="en-US" w:eastAsia="zh-CN"/>
                    </w:rPr>
                    <w:t>0.304</w:t>
                  </w:r>
                </w:p>
              </w:tc>
              <w:tc>
                <w:tcPr>
                  <w:tcW w:w="1054" w:type="dxa"/>
                  <w:vAlign w:val="center"/>
                </w:tcPr>
                <w:p w14:paraId="39266BA8">
                  <w:pPr>
                    <w:pStyle w:val="15"/>
                    <w:ind w:firstLine="0" w:firstLineChars="0"/>
                    <w:rPr>
                      <w:rFonts w:hint="default"/>
                      <w:highlight w:val="none"/>
                      <w:u w:val="none"/>
                      <w:lang w:val="en-US" w:eastAsia="zh-CN"/>
                    </w:rPr>
                  </w:pPr>
                  <w:r>
                    <w:rPr>
                      <w:rFonts w:hint="eastAsia"/>
                      <w:highlight w:val="none"/>
                      <w:u w:val="none"/>
                      <w:lang w:val="en-US" w:eastAsia="zh-CN"/>
                    </w:rPr>
                    <w:t>0.127</w:t>
                  </w:r>
                </w:p>
              </w:tc>
              <w:tc>
                <w:tcPr>
                  <w:tcW w:w="1195" w:type="dxa"/>
                  <w:vAlign w:val="center"/>
                </w:tcPr>
                <w:p w14:paraId="16CAD9EA">
                  <w:pPr>
                    <w:pStyle w:val="15"/>
                    <w:ind w:firstLine="0" w:firstLineChars="0"/>
                    <w:rPr>
                      <w:rFonts w:hint="default" w:eastAsia="宋体"/>
                      <w:highlight w:val="none"/>
                      <w:u w:val="none"/>
                      <w:lang w:val="en-US" w:eastAsia="zh-CN"/>
                    </w:rPr>
                  </w:pPr>
                  <w:r>
                    <w:rPr>
                      <w:rFonts w:hint="eastAsia"/>
                      <w:highlight w:val="none"/>
                      <w:u w:val="none"/>
                      <w:lang w:val="en-US" w:eastAsia="zh-CN"/>
                    </w:rPr>
                    <w:t>12.7</w:t>
                  </w:r>
                </w:p>
              </w:tc>
            </w:tr>
            <w:tr w14:paraId="15AE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Merge w:val="continue"/>
                  <w:vAlign w:val="center"/>
                </w:tcPr>
                <w:p w14:paraId="06C77B1A">
                  <w:pPr>
                    <w:pStyle w:val="15"/>
                    <w:rPr>
                      <w:rFonts w:hint="eastAsia"/>
                    </w:rPr>
                  </w:pPr>
                </w:p>
              </w:tc>
              <w:tc>
                <w:tcPr>
                  <w:tcW w:w="679" w:type="dxa"/>
                  <w:vMerge w:val="continue"/>
                  <w:vAlign w:val="center"/>
                </w:tcPr>
                <w:p w14:paraId="65FCF817">
                  <w:pPr>
                    <w:pStyle w:val="15"/>
                  </w:pPr>
                </w:p>
              </w:tc>
              <w:tc>
                <w:tcPr>
                  <w:tcW w:w="902" w:type="dxa"/>
                  <w:vAlign w:val="center"/>
                </w:tcPr>
                <w:p w14:paraId="40E15504">
                  <w:pPr>
                    <w:pStyle w:val="15"/>
                    <w:rPr>
                      <w:rFonts w:hint="eastAsia" w:eastAsia="宋体"/>
                      <w:lang w:val="en-US" w:eastAsia="zh-CN"/>
                    </w:rPr>
                  </w:pPr>
                  <w:r>
                    <w:rPr>
                      <w:rFonts w:hint="eastAsia"/>
                      <w:lang w:val="en-US" w:eastAsia="zh-CN"/>
                    </w:rPr>
                    <w:t>非甲烷总烃</w:t>
                  </w:r>
                </w:p>
              </w:tc>
              <w:tc>
                <w:tcPr>
                  <w:tcW w:w="935" w:type="dxa"/>
                  <w:vAlign w:val="center"/>
                </w:tcPr>
                <w:p w14:paraId="2335AF90">
                  <w:pPr>
                    <w:pStyle w:val="15"/>
                    <w:ind w:firstLine="0" w:firstLineChars="0"/>
                    <w:rPr>
                      <w:rFonts w:hint="default"/>
                      <w:u w:val="none"/>
                      <w:lang w:val="en-US" w:eastAsia="zh-CN"/>
                    </w:rPr>
                  </w:pPr>
                  <w:r>
                    <w:rPr>
                      <w:rFonts w:hint="eastAsia"/>
                      <w:u w:val="none"/>
                      <w:lang w:val="en-US" w:eastAsia="zh-CN"/>
                    </w:rPr>
                    <w:t>0.035</w:t>
                  </w:r>
                </w:p>
              </w:tc>
              <w:tc>
                <w:tcPr>
                  <w:tcW w:w="1164" w:type="dxa"/>
                  <w:vMerge w:val="continue"/>
                  <w:vAlign w:val="center"/>
                </w:tcPr>
                <w:p w14:paraId="792CD8A7">
                  <w:pPr>
                    <w:pStyle w:val="15"/>
                  </w:pPr>
                </w:p>
              </w:tc>
              <w:tc>
                <w:tcPr>
                  <w:tcW w:w="676" w:type="dxa"/>
                  <w:vMerge w:val="continue"/>
                  <w:vAlign w:val="center"/>
                </w:tcPr>
                <w:p w14:paraId="01505E84">
                  <w:pPr>
                    <w:pStyle w:val="15"/>
                  </w:pPr>
                </w:p>
              </w:tc>
              <w:tc>
                <w:tcPr>
                  <w:tcW w:w="850" w:type="dxa"/>
                  <w:vAlign w:val="center"/>
                </w:tcPr>
                <w:p w14:paraId="79B18211">
                  <w:pPr>
                    <w:pStyle w:val="15"/>
                    <w:ind w:firstLine="0" w:firstLineChars="0"/>
                    <w:rPr>
                      <w:rFonts w:hint="default"/>
                      <w:u w:val="none"/>
                      <w:lang w:val="en-US" w:eastAsia="zh-CN"/>
                    </w:rPr>
                  </w:pPr>
                  <w:r>
                    <w:rPr>
                      <w:rFonts w:hint="eastAsia"/>
                      <w:u w:val="none"/>
                      <w:lang w:val="en-US" w:eastAsia="zh-CN"/>
                    </w:rPr>
                    <w:t>0.014</w:t>
                  </w:r>
                </w:p>
              </w:tc>
              <w:tc>
                <w:tcPr>
                  <w:tcW w:w="1054" w:type="dxa"/>
                  <w:vAlign w:val="center"/>
                </w:tcPr>
                <w:p w14:paraId="422924C6">
                  <w:pPr>
                    <w:pStyle w:val="15"/>
                    <w:ind w:firstLine="0" w:firstLineChars="0"/>
                    <w:rPr>
                      <w:rFonts w:hint="default"/>
                      <w:highlight w:val="none"/>
                      <w:u w:val="none"/>
                      <w:lang w:val="en-US" w:eastAsia="zh-CN"/>
                    </w:rPr>
                  </w:pPr>
                  <w:r>
                    <w:rPr>
                      <w:rFonts w:hint="eastAsia"/>
                      <w:highlight w:val="none"/>
                      <w:u w:val="none"/>
                      <w:lang w:val="en-US" w:eastAsia="zh-CN"/>
                    </w:rPr>
                    <w:t>0.006</w:t>
                  </w:r>
                </w:p>
              </w:tc>
              <w:tc>
                <w:tcPr>
                  <w:tcW w:w="1195" w:type="dxa"/>
                  <w:vAlign w:val="center"/>
                </w:tcPr>
                <w:p w14:paraId="75EA9F5D">
                  <w:pPr>
                    <w:pStyle w:val="15"/>
                    <w:ind w:firstLine="0" w:firstLineChars="0"/>
                    <w:rPr>
                      <w:rFonts w:hint="default" w:eastAsia="宋体"/>
                      <w:highlight w:val="none"/>
                      <w:u w:val="none"/>
                      <w:lang w:val="en-US" w:eastAsia="zh-CN"/>
                    </w:rPr>
                  </w:pPr>
                  <w:r>
                    <w:rPr>
                      <w:rFonts w:hint="eastAsia"/>
                      <w:highlight w:val="none"/>
                      <w:u w:val="none"/>
                      <w:lang w:val="en-US" w:eastAsia="zh-CN"/>
                    </w:rPr>
                    <w:t>1.2</w:t>
                  </w:r>
                </w:p>
              </w:tc>
            </w:tr>
            <w:tr w14:paraId="384B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14:paraId="6FBA11F1">
                  <w:pPr>
                    <w:pStyle w:val="15"/>
                    <w:rPr>
                      <w:rFonts w:hint="eastAsia" w:eastAsia="宋体"/>
                      <w:lang w:val="en-US" w:eastAsia="zh-CN"/>
                    </w:rPr>
                  </w:pPr>
                  <w:r>
                    <w:rPr>
                      <w:rFonts w:hint="eastAsia"/>
                      <w:lang w:val="en-US" w:eastAsia="zh-CN"/>
                    </w:rPr>
                    <w:t>3</w:t>
                  </w:r>
                </w:p>
              </w:tc>
              <w:tc>
                <w:tcPr>
                  <w:tcW w:w="679" w:type="dxa"/>
                  <w:vAlign w:val="center"/>
                </w:tcPr>
                <w:p w14:paraId="3129752D">
                  <w:pPr>
                    <w:pStyle w:val="15"/>
                    <w:rPr>
                      <w:rFonts w:hint="default" w:eastAsia="宋体"/>
                      <w:lang w:val="en-US" w:eastAsia="zh-CN"/>
                    </w:rPr>
                  </w:pPr>
                  <w:r>
                    <w:rPr>
                      <w:rFonts w:hint="eastAsia"/>
                      <w:lang w:val="en-US" w:eastAsia="zh-CN"/>
                    </w:rPr>
                    <w:t>烘干废气</w:t>
                  </w:r>
                </w:p>
              </w:tc>
              <w:tc>
                <w:tcPr>
                  <w:tcW w:w="902" w:type="dxa"/>
                  <w:vAlign w:val="center"/>
                </w:tcPr>
                <w:p w14:paraId="116211BF">
                  <w:pPr>
                    <w:pStyle w:val="15"/>
                    <w:rPr>
                      <w:rFonts w:hint="eastAsia"/>
                    </w:rPr>
                  </w:pPr>
                  <w:r>
                    <w:rPr>
                      <w:rFonts w:hint="eastAsia"/>
                      <w:lang w:val="en-US" w:eastAsia="zh-CN"/>
                    </w:rPr>
                    <w:t>非甲烷总烃</w:t>
                  </w:r>
                </w:p>
              </w:tc>
              <w:tc>
                <w:tcPr>
                  <w:tcW w:w="935" w:type="dxa"/>
                  <w:vAlign w:val="center"/>
                </w:tcPr>
                <w:p w14:paraId="62320ACA">
                  <w:pPr>
                    <w:pStyle w:val="15"/>
                    <w:ind w:firstLine="0" w:firstLineChars="0"/>
                    <w:rPr>
                      <w:rFonts w:hint="default"/>
                      <w:u w:val="none"/>
                      <w:lang w:val="en-US" w:eastAsia="zh-CN"/>
                    </w:rPr>
                  </w:pPr>
                  <w:r>
                    <w:rPr>
                      <w:rFonts w:hint="eastAsia"/>
                      <w:u w:val="none"/>
                      <w:lang w:val="en-US" w:eastAsia="zh-CN"/>
                    </w:rPr>
                    <w:t>0.4</w:t>
                  </w:r>
                </w:p>
              </w:tc>
              <w:tc>
                <w:tcPr>
                  <w:tcW w:w="1164" w:type="dxa"/>
                  <w:vMerge w:val="continue"/>
                  <w:vAlign w:val="center"/>
                </w:tcPr>
                <w:p w14:paraId="270E8E12">
                  <w:pPr>
                    <w:pStyle w:val="15"/>
                  </w:pPr>
                </w:p>
              </w:tc>
              <w:tc>
                <w:tcPr>
                  <w:tcW w:w="676" w:type="dxa"/>
                  <w:vMerge w:val="continue"/>
                  <w:vAlign w:val="center"/>
                </w:tcPr>
                <w:p w14:paraId="457565A0">
                  <w:pPr>
                    <w:pStyle w:val="15"/>
                  </w:pPr>
                </w:p>
              </w:tc>
              <w:tc>
                <w:tcPr>
                  <w:tcW w:w="850" w:type="dxa"/>
                  <w:vAlign w:val="center"/>
                </w:tcPr>
                <w:p w14:paraId="2F7A50FB">
                  <w:pPr>
                    <w:pStyle w:val="15"/>
                    <w:ind w:firstLine="0" w:firstLineChars="0"/>
                    <w:rPr>
                      <w:rFonts w:hint="default"/>
                      <w:u w:val="none"/>
                      <w:lang w:val="en-US" w:eastAsia="zh-CN"/>
                    </w:rPr>
                  </w:pPr>
                  <w:r>
                    <w:rPr>
                      <w:rFonts w:hint="eastAsia"/>
                      <w:u w:val="none"/>
                      <w:lang w:val="en-US" w:eastAsia="zh-CN"/>
                    </w:rPr>
                    <w:t>0.162</w:t>
                  </w:r>
                </w:p>
              </w:tc>
              <w:tc>
                <w:tcPr>
                  <w:tcW w:w="1054" w:type="dxa"/>
                  <w:vAlign w:val="center"/>
                </w:tcPr>
                <w:p w14:paraId="7B64D9FC">
                  <w:pPr>
                    <w:pStyle w:val="15"/>
                    <w:ind w:firstLine="0" w:firstLineChars="0"/>
                    <w:rPr>
                      <w:rFonts w:hint="default"/>
                      <w:highlight w:val="none"/>
                      <w:u w:val="none"/>
                      <w:lang w:val="en-US" w:eastAsia="zh-CN"/>
                    </w:rPr>
                  </w:pPr>
                  <w:r>
                    <w:rPr>
                      <w:rFonts w:hint="eastAsia"/>
                      <w:highlight w:val="none"/>
                      <w:u w:val="none"/>
                      <w:lang w:val="en-US" w:eastAsia="zh-CN"/>
                    </w:rPr>
                    <w:t>0.068</w:t>
                  </w:r>
                </w:p>
              </w:tc>
              <w:tc>
                <w:tcPr>
                  <w:tcW w:w="1195" w:type="dxa"/>
                  <w:vAlign w:val="center"/>
                </w:tcPr>
                <w:p w14:paraId="42A1FC58">
                  <w:pPr>
                    <w:pStyle w:val="15"/>
                    <w:ind w:firstLine="0" w:firstLineChars="0"/>
                    <w:rPr>
                      <w:rFonts w:hint="default" w:eastAsia="宋体"/>
                      <w:highlight w:val="none"/>
                      <w:u w:val="none"/>
                      <w:lang w:val="en-US" w:eastAsia="zh-CN"/>
                    </w:rPr>
                  </w:pPr>
                  <w:r>
                    <w:rPr>
                      <w:rFonts w:hint="eastAsia"/>
                      <w:highlight w:val="none"/>
                      <w:u w:val="none"/>
                      <w:lang w:val="en-US" w:eastAsia="zh-CN"/>
                    </w:rPr>
                    <w:t>13.6</w:t>
                  </w:r>
                </w:p>
              </w:tc>
            </w:tr>
          </w:tbl>
          <w:p w14:paraId="78088E1F">
            <w:pPr>
              <w:ind w:firstLine="482"/>
              <w:rPr>
                <w:b/>
                <w:bCs/>
              </w:rPr>
            </w:pPr>
            <w:r>
              <w:rPr>
                <w:rFonts w:hint="eastAsia"/>
                <w:b/>
                <w:bCs/>
              </w:rPr>
              <w:t>1.</w:t>
            </w:r>
            <w:r>
              <w:rPr>
                <w:rFonts w:hint="eastAsia"/>
                <w:b/>
                <w:bCs/>
                <w:lang w:val="en-US" w:eastAsia="zh-CN"/>
              </w:rPr>
              <w:t>3</w:t>
            </w:r>
            <w:r>
              <w:rPr>
                <w:rFonts w:hint="eastAsia"/>
                <w:b/>
                <w:bCs/>
              </w:rPr>
              <w:t xml:space="preserve"> 废气处理</w:t>
            </w:r>
            <w:r>
              <w:rPr>
                <w:b/>
                <w:bCs/>
              </w:rPr>
              <w:t>措施可行性分析</w:t>
            </w:r>
          </w:p>
          <w:p w14:paraId="065400C6">
            <w:pPr>
              <w:pStyle w:val="16"/>
              <w:ind w:firstLine="48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热风炉废气</w:t>
            </w:r>
          </w:p>
          <w:p w14:paraId="70F85205">
            <w:pPr>
              <w:pStyle w:val="16"/>
              <w:ind w:firstLine="480"/>
            </w:pPr>
            <w:r>
              <w:t>本项目</w:t>
            </w:r>
            <w:r>
              <w:rPr>
                <w:rFonts w:hint="eastAsia"/>
              </w:rPr>
              <w:t>锅炉</w:t>
            </w:r>
            <w:r>
              <w:t>废气污染治理设施为</w:t>
            </w:r>
            <w:r>
              <w:rPr>
                <w:rFonts w:hint="eastAsia"/>
                <w:color w:val="auto"/>
                <w:highlight w:val="none"/>
                <w:lang w:eastAsia="zh-CN"/>
              </w:rPr>
              <w:t>脉冲布袋除尘</w:t>
            </w:r>
            <w:r>
              <w:t>，其工作原理</w:t>
            </w:r>
            <w:r>
              <w:rPr>
                <w:rFonts w:hint="eastAsia"/>
              </w:rPr>
              <w:t>为：含尘气体由进风道进入灰斗，粗尘粒直接落入灰斗底部，细尘粒随气流转折向上进入中、下箱体，粉尘积附在滤袋外表面，过滤后的气体进入上箱体至净气集合管排风道，经排风机排至大气。清灰过程是先切断该室的净气出口风道，使该室的布袋处于无气流通过的状态（分室停风清灰）。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及卸灰阀等进行全自动控制。</w:t>
            </w:r>
          </w:p>
          <w:p w14:paraId="0CC2F9F9">
            <w:pPr>
              <w:pStyle w:val="16"/>
              <w:ind w:firstLine="480"/>
              <w:rPr>
                <w:rFonts w:hint="eastAsia"/>
              </w:rPr>
            </w:pPr>
            <w:r>
              <w:rPr>
                <w:rFonts w:hint="eastAsia"/>
                <w:lang w:val="en-US" w:eastAsia="zh-CN"/>
              </w:rPr>
              <w:t>热风炉废气经脉冲布袋除尘器处理后</w:t>
            </w:r>
            <w:r>
              <w:rPr>
                <w:rFonts w:hint="eastAsia"/>
              </w:rPr>
              <w:t>能够达到《湖南省工业炉窑大气污染综合治理实施方案》（2020年6月10日发布）中暂未制定行业排放标准的工业炉窑</w:t>
            </w:r>
            <w:r>
              <w:rPr>
                <w:rFonts w:hint="eastAsia"/>
                <w:lang w:val="en-US" w:eastAsia="zh-CN"/>
              </w:rPr>
              <w:t>排放标准（颗粒物：30</w:t>
            </w:r>
            <w:r>
              <w:rPr>
                <w:rFonts w:hint="eastAsia"/>
                <w:u w:val="none"/>
              </w:rPr>
              <w:t>mg/m</w:t>
            </w:r>
            <w:r>
              <w:rPr>
                <w:rFonts w:hint="eastAsia"/>
                <w:u w:val="none"/>
                <w:vertAlign w:val="superscript"/>
              </w:rPr>
              <w:t>3</w:t>
            </w:r>
            <w:r>
              <w:rPr>
                <w:rFonts w:hint="eastAsia"/>
                <w:lang w:val="en-US" w:eastAsia="zh-CN"/>
              </w:rPr>
              <w:t>，二氧化物：200</w:t>
            </w:r>
            <w:r>
              <w:rPr>
                <w:rFonts w:hint="eastAsia"/>
                <w:u w:val="none"/>
              </w:rPr>
              <w:t>mg/m</w:t>
            </w:r>
            <w:r>
              <w:rPr>
                <w:rFonts w:hint="eastAsia"/>
                <w:u w:val="none"/>
                <w:vertAlign w:val="superscript"/>
              </w:rPr>
              <w:t>3</w:t>
            </w:r>
            <w:r>
              <w:rPr>
                <w:rFonts w:hint="eastAsia"/>
                <w:lang w:val="en-US" w:eastAsia="zh-CN"/>
              </w:rPr>
              <w:t>，氮氧化物：300</w:t>
            </w:r>
            <w:r>
              <w:rPr>
                <w:rFonts w:hint="eastAsia"/>
                <w:u w:val="none"/>
              </w:rPr>
              <w:t>mg/m</w:t>
            </w:r>
            <w:r>
              <w:rPr>
                <w:rFonts w:hint="eastAsia"/>
                <w:u w:val="none"/>
                <w:vertAlign w:val="superscript"/>
              </w:rPr>
              <w:t>3</w:t>
            </w:r>
            <w:r>
              <w:rPr>
                <w:rFonts w:hint="eastAsia"/>
                <w:lang w:val="en-US" w:eastAsia="zh-CN"/>
              </w:rPr>
              <w:t>），措施可行</w:t>
            </w:r>
            <w:r>
              <w:rPr>
                <w:rFonts w:hint="eastAsia"/>
              </w:rPr>
              <w:t>。</w:t>
            </w:r>
          </w:p>
          <w:p w14:paraId="74B1ED15">
            <w:pPr>
              <w:pStyle w:val="16"/>
              <w:ind w:firstLine="480"/>
              <w:rPr>
                <w:rFonts w:hint="eastAsia"/>
              </w:rPr>
            </w:pPr>
            <w:r>
              <w:rPr>
                <w:rFonts w:hint="eastAsia"/>
              </w:rPr>
              <w:t>根据《炉窑大气污染物排放标准》（GB9078-1996），各种工业炉窑烟囱（或排气筒）最低允许高度为15m，同时，新建热风炉房烟囱周围半径200 米内有建筑物时，其烟囱应高出最高建筑物3米以上，本项目周边200米范围内建筑物均为</w:t>
            </w:r>
            <w:r>
              <w:rPr>
                <w:rFonts w:hint="eastAsia"/>
                <w:lang w:val="en-US" w:eastAsia="zh-CN"/>
              </w:rPr>
              <w:t>8</w:t>
            </w:r>
            <w:r>
              <w:rPr>
                <w:rFonts w:hint="eastAsia"/>
              </w:rPr>
              <w:t>米</w:t>
            </w:r>
            <w:r>
              <w:rPr>
                <w:rFonts w:hint="eastAsia"/>
                <w:lang w:val="en-US" w:eastAsia="zh-CN"/>
              </w:rPr>
              <w:t>左右</w:t>
            </w:r>
            <w:r>
              <w:rPr>
                <w:rFonts w:hint="eastAsia"/>
              </w:rPr>
              <w:t>，则本项目热风炉排气筒</w:t>
            </w:r>
            <w:r>
              <w:rPr>
                <w:rFonts w:hint="eastAsia"/>
                <w:lang w:val="en-US" w:eastAsia="zh-CN"/>
              </w:rPr>
              <w:t>为15m，</w:t>
            </w:r>
            <w:r>
              <w:rPr>
                <w:rFonts w:hint="eastAsia"/>
              </w:rPr>
              <w:t>高度合理。</w:t>
            </w:r>
          </w:p>
          <w:p w14:paraId="174C3A56">
            <w:pPr>
              <w:pStyle w:val="16"/>
              <w:ind w:firstLine="480"/>
              <w:rPr>
                <w:rFonts w:hint="eastAsia"/>
                <w:lang w:eastAsia="zh-CN"/>
              </w:rPr>
            </w:pPr>
            <w:r>
              <w:rPr>
                <w:rFonts w:hint="eastAsia"/>
                <w:lang w:eastAsia="zh-CN"/>
              </w:rPr>
              <w:t>（</w:t>
            </w:r>
            <w:r>
              <w:rPr>
                <w:rFonts w:hint="eastAsia"/>
                <w:lang w:val="en-US" w:eastAsia="zh-CN"/>
              </w:rPr>
              <w:t>2</w:t>
            </w:r>
            <w:r>
              <w:rPr>
                <w:rFonts w:hint="eastAsia"/>
                <w:lang w:eastAsia="zh-CN"/>
              </w:rPr>
              <w:t>）粉碎挤出废气</w:t>
            </w:r>
            <w:r>
              <w:rPr>
                <w:rFonts w:hint="eastAsia"/>
                <w:lang w:val="en-US" w:eastAsia="zh-CN"/>
              </w:rPr>
              <w:t>和</w:t>
            </w:r>
            <w:r>
              <w:rPr>
                <w:rFonts w:hint="eastAsia"/>
                <w:lang w:eastAsia="zh-CN"/>
              </w:rPr>
              <w:t>烘干废气</w:t>
            </w:r>
          </w:p>
          <w:p w14:paraId="125E10E6">
            <w:pPr>
              <w:pStyle w:val="16"/>
              <w:ind w:firstLine="480"/>
              <w:rPr>
                <w:rFonts w:hint="eastAsia"/>
                <w:lang w:eastAsia="zh-CN"/>
              </w:rPr>
            </w:pPr>
            <w:r>
              <w:rPr>
                <w:rFonts w:hint="eastAsia"/>
                <w:lang w:eastAsia="zh-CN"/>
              </w:rPr>
              <w:t>粉碎挤出废气</w:t>
            </w:r>
            <w:r>
              <w:rPr>
                <w:rFonts w:hint="eastAsia"/>
                <w:lang w:val="en-US" w:eastAsia="zh-CN"/>
              </w:rPr>
              <w:t>和</w:t>
            </w:r>
            <w:r>
              <w:rPr>
                <w:rFonts w:hint="eastAsia"/>
                <w:lang w:eastAsia="zh-CN"/>
              </w:rPr>
              <w:t>烘干废气</w:t>
            </w:r>
            <w:r>
              <w:rPr>
                <w:rFonts w:hint="eastAsia"/>
                <w:lang w:val="en-US" w:eastAsia="zh-CN"/>
              </w:rPr>
              <w:t>经</w:t>
            </w:r>
            <w:r>
              <w:rPr>
                <w:rFonts w:hint="eastAsia"/>
                <w:u w:val="none"/>
                <w:lang w:val="en-US" w:eastAsia="zh-CN"/>
              </w:rPr>
              <w:t>水喷淋+活性炭吸附后15m高排气筒外排。</w:t>
            </w:r>
            <w:r>
              <w:rPr>
                <w:rFonts w:hint="eastAsia"/>
                <w:lang w:val="en-US" w:eastAsia="zh-CN"/>
              </w:rPr>
              <w:t>水喷淋</w:t>
            </w:r>
            <w:r>
              <w:rPr>
                <w:rFonts w:hint="eastAsia"/>
              </w:rPr>
              <w:t>+活性炭吸附装置原理：采用水喷淋吸收法降温、除颗粒物，该装置由旋风层、喷淋层、循环水箱、除雾层组成，废气由风管引入塔内，高速旋转下与水雾充份混合洗涤净化，再经除雾层脱水除雾后进入活性炭吸附设备、水在塔底经水泵增压后在箱顶喷淋雾化而下，最后回流至箱底循环使用。废气经</w:t>
            </w:r>
            <w:r>
              <w:rPr>
                <w:rFonts w:hint="eastAsia"/>
                <w:lang w:val="en-US" w:eastAsia="zh-CN"/>
              </w:rPr>
              <w:t>水喷淋</w:t>
            </w:r>
            <w:r>
              <w:rPr>
                <w:rFonts w:hint="eastAsia"/>
              </w:rPr>
              <w:t>后由风机提供动力，负压进入活性炭吸附装置，废气与具有大表面的多孔性的活性炭接触，废气中的污染物被吸附，使其与气体混合物分离而起到净化作用，净化气体高空排放</w:t>
            </w:r>
            <w:r>
              <w:rPr>
                <w:rFonts w:hint="eastAsia"/>
                <w:lang w:eastAsia="zh-CN"/>
              </w:rPr>
              <w:t>。</w:t>
            </w:r>
          </w:p>
          <w:p w14:paraId="4AA51347">
            <w:pPr>
              <w:pStyle w:val="16"/>
              <w:ind w:firstLine="480"/>
            </w:pPr>
            <w:r>
              <w:rPr>
                <w:rFonts w:hint="eastAsia"/>
                <w:u w:val="none"/>
                <w:lang w:val="en-US" w:eastAsia="zh-CN"/>
              </w:rPr>
              <w:t>经过处理后</w:t>
            </w:r>
            <w:r>
              <w:rPr>
                <w:rFonts w:hint="eastAsia"/>
              </w:rPr>
              <w:t>颗粒物、非甲烷总烃排放浓度能达到</w:t>
            </w:r>
            <w:r>
              <w:rPr>
                <w:rFonts w:hint="eastAsia"/>
                <w:lang w:val="en-US" w:eastAsia="zh-CN"/>
              </w:rPr>
              <w:t>能满足</w:t>
            </w:r>
            <w:r>
              <w:rPr>
                <w:rFonts w:hint="eastAsia"/>
              </w:rPr>
              <w:t>《玻璃工业大气污染物排放标准》（GB26453-2022）表</w:t>
            </w:r>
            <w:r>
              <w:rPr>
                <w:rFonts w:hint="eastAsia"/>
                <w:lang w:val="en-US" w:eastAsia="zh-CN"/>
              </w:rPr>
              <w:t>1污染物</w:t>
            </w:r>
            <w:r>
              <w:rPr>
                <w:rFonts w:hint="eastAsia"/>
              </w:rPr>
              <w:t>排放</w:t>
            </w:r>
            <w:r>
              <w:rPr>
                <w:rFonts w:hint="eastAsia"/>
                <w:lang w:val="en-US" w:eastAsia="zh-CN"/>
              </w:rPr>
              <w:t>限值</w:t>
            </w:r>
            <w:r>
              <w:rPr>
                <w:rFonts w:hint="eastAsia"/>
                <w:lang w:eastAsia="zh-CN"/>
              </w:rPr>
              <w:t>（</w:t>
            </w:r>
            <w:r>
              <w:rPr>
                <w:rFonts w:hint="eastAsia"/>
                <w:lang w:val="en-US" w:eastAsia="zh-CN"/>
              </w:rPr>
              <w:t>颗粒物：30mg/m</w:t>
            </w:r>
            <w:r>
              <w:rPr>
                <w:rFonts w:hint="eastAsia"/>
                <w:vertAlign w:val="superscript"/>
                <w:lang w:val="en-US" w:eastAsia="zh-CN"/>
              </w:rPr>
              <w:t>3</w:t>
            </w:r>
            <w:r>
              <w:rPr>
                <w:rFonts w:hint="eastAsia"/>
                <w:lang w:val="en-US" w:eastAsia="zh-CN"/>
              </w:rPr>
              <w:t>，非甲烷总烃：80mg/m</w:t>
            </w:r>
            <w:r>
              <w:rPr>
                <w:rFonts w:hint="eastAsia"/>
                <w:vertAlign w:val="superscript"/>
                <w:lang w:val="en-US" w:eastAsia="zh-CN"/>
              </w:rPr>
              <w:t>3</w:t>
            </w:r>
            <w:r>
              <w:rPr>
                <w:rFonts w:hint="eastAsia"/>
                <w:lang w:eastAsia="zh-CN"/>
              </w:rPr>
              <w:t>），</w:t>
            </w:r>
            <w:r>
              <w:rPr>
                <w:rFonts w:hint="eastAsia"/>
                <w:lang w:val="en-US" w:eastAsia="zh-CN"/>
              </w:rPr>
              <w:t>措施</w:t>
            </w:r>
            <w:r>
              <w:rPr>
                <w:rFonts w:hint="eastAsia"/>
              </w:rPr>
              <w:t>可行。</w:t>
            </w:r>
          </w:p>
          <w:p w14:paraId="2FE049AD">
            <w:pPr>
              <w:pStyle w:val="16"/>
              <w:ind w:firstLine="480"/>
            </w:pPr>
            <w:r>
              <w:rPr>
                <w:rFonts w:hint="eastAsia"/>
                <w:u w:val="none"/>
                <w:lang w:val="en-US" w:eastAsia="zh-CN"/>
              </w:rPr>
              <w:t>根据《玻璃工业大气污染物排放标准》（GB 26453-2022）“4.8 排气筒高度不低于15 m。”本项目排气筒均为15m，可以满足《玻璃工业大气污染物排放标准》（GB26453-2022）要求，高度合理。</w:t>
            </w:r>
          </w:p>
          <w:p w14:paraId="203C4D64">
            <w:pPr>
              <w:ind w:firstLine="482"/>
            </w:pPr>
            <w:r>
              <w:rPr>
                <w:b/>
                <w:bCs/>
              </w:rPr>
              <w:t>1.</w:t>
            </w:r>
            <w:r>
              <w:rPr>
                <w:rFonts w:hint="eastAsia"/>
                <w:b/>
                <w:bCs/>
                <w:lang w:val="en-US" w:eastAsia="zh-CN"/>
              </w:rPr>
              <w:t>4</w:t>
            </w:r>
            <w:r>
              <w:rPr>
                <w:b/>
                <w:bCs/>
              </w:rPr>
              <w:t xml:space="preserve"> 废气监测要求</w:t>
            </w:r>
          </w:p>
          <w:p w14:paraId="63289823">
            <w:pPr>
              <w:pStyle w:val="16"/>
              <w:ind w:firstLine="480"/>
            </w:pPr>
            <w:r>
              <w:t>根据《排污单位自行监测技术指南总则》（HJ 819-2017），废气监测计划详见下表。</w:t>
            </w:r>
          </w:p>
          <w:p w14:paraId="05FB9AAC">
            <w:pPr>
              <w:pStyle w:val="17"/>
              <w:rPr>
                <w:u w:val="none"/>
              </w:rPr>
            </w:pPr>
            <w:r>
              <w:rPr>
                <w:u w:val="none"/>
              </w:rPr>
              <w:t>表4-</w:t>
            </w:r>
            <w:r>
              <w:rPr>
                <w:rFonts w:hint="eastAsia"/>
                <w:u w:val="none"/>
                <w:lang w:val="en-US" w:eastAsia="zh-CN"/>
              </w:rPr>
              <w:t>4</w:t>
            </w:r>
            <w:r>
              <w:rPr>
                <w:rFonts w:hint="eastAsia"/>
                <w:u w:val="none"/>
              </w:rPr>
              <w:t xml:space="preserve"> </w:t>
            </w:r>
            <w:r>
              <w:rPr>
                <w:u w:val="none"/>
              </w:rPr>
              <w:t>废气监测计划</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40"/>
              <w:gridCol w:w="1160"/>
              <w:gridCol w:w="2734"/>
            </w:tblGrid>
            <w:tr w14:paraId="04E5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14:paraId="015EEB52">
                  <w:pPr>
                    <w:pStyle w:val="15"/>
                    <w:rPr>
                      <w:u w:val="none"/>
                    </w:rPr>
                  </w:pPr>
                  <w:r>
                    <w:rPr>
                      <w:rFonts w:hint="eastAsia"/>
                      <w:u w:val="none"/>
                    </w:rPr>
                    <w:t>监测点位</w:t>
                  </w:r>
                </w:p>
              </w:tc>
              <w:tc>
                <w:tcPr>
                  <w:tcW w:w="2340" w:type="dxa"/>
                  <w:vAlign w:val="center"/>
                </w:tcPr>
                <w:p w14:paraId="73638F0D">
                  <w:pPr>
                    <w:pStyle w:val="15"/>
                    <w:rPr>
                      <w:u w:val="none"/>
                    </w:rPr>
                  </w:pPr>
                  <w:r>
                    <w:rPr>
                      <w:rFonts w:hint="eastAsia"/>
                      <w:u w:val="none"/>
                    </w:rPr>
                    <w:t>监测内容</w:t>
                  </w:r>
                </w:p>
              </w:tc>
              <w:tc>
                <w:tcPr>
                  <w:tcW w:w="1160" w:type="dxa"/>
                  <w:vAlign w:val="center"/>
                </w:tcPr>
                <w:p w14:paraId="03CFD55E">
                  <w:pPr>
                    <w:pStyle w:val="15"/>
                    <w:rPr>
                      <w:u w:val="none"/>
                    </w:rPr>
                  </w:pPr>
                  <w:r>
                    <w:rPr>
                      <w:rFonts w:hint="eastAsia"/>
                      <w:u w:val="none"/>
                    </w:rPr>
                    <w:t>监测频次</w:t>
                  </w:r>
                </w:p>
              </w:tc>
              <w:tc>
                <w:tcPr>
                  <w:tcW w:w="2734" w:type="dxa"/>
                  <w:vAlign w:val="center"/>
                </w:tcPr>
                <w:p w14:paraId="18FA5B50">
                  <w:pPr>
                    <w:pStyle w:val="15"/>
                    <w:rPr>
                      <w:u w:val="none"/>
                    </w:rPr>
                  </w:pPr>
                  <w:r>
                    <w:rPr>
                      <w:rFonts w:hint="eastAsia"/>
                      <w:u w:val="none"/>
                    </w:rPr>
                    <w:t>执行标准</w:t>
                  </w:r>
                </w:p>
              </w:tc>
            </w:tr>
            <w:tr w14:paraId="45F7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14:paraId="0937214C">
                  <w:pPr>
                    <w:pStyle w:val="15"/>
                    <w:rPr>
                      <w:u w:val="none"/>
                    </w:rPr>
                  </w:pPr>
                  <w:r>
                    <w:rPr>
                      <w:rFonts w:hint="eastAsia"/>
                      <w:u w:val="none"/>
                      <w:lang w:val="en-US" w:eastAsia="zh-CN"/>
                    </w:rPr>
                    <w:t>热风炉</w:t>
                  </w:r>
                  <w:r>
                    <w:rPr>
                      <w:u w:val="none"/>
                    </w:rPr>
                    <w:t>排气筒</w:t>
                  </w:r>
                </w:p>
              </w:tc>
              <w:tc>
                <w:tcPr>
                  <w:tcW w:w="2340" w:type="dxa"/>
                  <w:vAlign w:val="center"/>
                </w:tcPr>
                <w:p w14:paraId="582F98FC">
                  <w:pPr>
                    <w:pStyle w:val="15"/>
                    <w:rPr>
                      <w:u w:val="none"/>
                    </w:rPr>
                  </w:pPr>
                  <w:r>
                    <w:rPr>
                      <w:rFonts w:hint="eastAsia"/>
                      <w:u w:val="none"/>
                    </w:rPr>
                    <w:t>颗粒物、二氧化硫、氮氧化物</w:t>
                  </w:r>
                </w:p>
              </w:tc>
              <w:tc>
                <w:tcPr>
                  <w:tcW w:w="1160" w:type="dxa"/>
                  <w:vAlign w:val="center"/>
                </w:tcPr>
                <w:p w14:paraId="2302CE57">
                  <w:pPr>
                    <w:pStyle w:val="15"/>
                    <w:rPr>
                      <w:rFonts w:hint="eastAsia" w:eastAsia="宋体"/>
                      <w:u w:val="none"/>
                      <w:lang w:eastAsia="zh-CN"/>
                    </w:rPr>
                  </w:pPr>
                  <w:r>
                    <w:rPr>
                      <w:rFonts w:hint="eastAsia"/>
                      <w:u w:val="none"/>
                    </w:rPr>
                    <w:t>1次/</w:t>
                  </w:r>
                  <w:r>
                    <w:rPr>
                      <w:rFonts w:hint="eastAsia"/>
                      <w:u w:val="none"/>
                      <w:lang w:val="en-US" w:eastAsia="zh-CN"/>
                    </w:rPr>
                    <w:t>年</w:t>
                  </w:r>
                </w:p>
              </w:tc>
              <w:tc>
                <w:tcPr>
                  <w:tcW w:w="2734" w:type="dxa"/>
                  <w:vAlign w:val="center"/>
                </w:tcPr>
                <w:p w14:paraId="703F214B">
                  <w:pPr>
                    <w:pStyle w:val="15"/>
                    <w:rPr>
                      <w:u w:val="none"/>
                    </w:rPr>
                  </w:pPr>
                  <w:r>
                    <w:rPr>
                      <w:rFonts w:hint="eastAsia"/>
                      <w:u w:val="none"/>
                    </w:rPr>
                    <w:t>《湖南省工业炉窑大气污染综合治理实施方案》</w:t>
                  </w:r>
                </w:p>
              </w:tc>
            </w:tr>
            <w:tr w14:paraId="1D7D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14:paraId="7C2D2E64">
                  <w:pPr>
                    <w:pStyle w:val="15"/>
                    <w:rPr>
                      <w:rFonts w:hint="default"/>
                      <w:u w:val="none"/>
                      <w:lang w:val="en-US" w:eastAsia="zh-CN"/>
                    </w:rPr>
                  </w:pPr>
                  <w:r>
                    <w:rPr>
                      <w:rFonts w:hint="eastAsia"/>
                      <w:lang w:eastAsia="zh-CN"/>
                    </w:rPr>
                    <w:t>粉碎挤出废气</w:t>
                  </w:r>
                  <w:r>
                    <w:rPr>
                      <w:rFonts w:hint="eastAsia"/>
                      <w:lang w:val="en-US" w:eastAsia="zh-CN"/>
                    </w:rPr>
                    <w:t>、</w:t>
                  </w:r>
                  <w:r>
                    <w:rPr>
                      <w:rFonts w:hint="eastAsia"/>
                      <w:lang w:eastAsia="zh-CN"/>
                    </w:rPr>
                    <w:t>烘干废气</w:t>
                  </w:r>
                  <w:r>
                    <w:rPr>
                      <w:rFonts w:hint="eastAsia"/>
                      <w:lang w:val="en-US" w:eastAsia="zh-CN"/>
                    </w:rPr>
                    <w:t>排气筒</w:t>
                  </w:r>
                </w:p>
              </w:tc>
              <w:tc>
                <w:tcPr>
                  <w:tcW w:w="2340" w:type="dxa"/>
                  <w:vAlign w:val="center"/>
                </w:tcPr>
                <w:p w14:paraId="35471BA4">
                  <w:pPr>
                    <w:pStyle w:val="15"/>
                    <w:rPr>
                      <w:rFonts w:hint="default" w:eastAsia="宋体"/>
                      <w:u w:val="none"/>
                      <w:lang w:val="en-US" w:eastAsia="zh-CN"/>
                    </w:rPr>
                  </w:pPr>
                  <w:r>
                    <w:rPr>
                      <w:rFonts w:hint="eastAsia"/>
                      <w:u w:val="none"/>
                      <w:lang w:val="en-US" w:eastAsia="zh-CN"/>
                    </w:rPr>
                    <w:t>颗粒物、非甲烷总烃</w:t>
                  </w:r>
                </w:p>
              </w:tc>
              <w:tc>
                <w:tcPr>
                  <w:tcW w:w="1160" w:type="dxa"/>
                  <w:vAlign w:val="center"/>
                </w:tcPr>
                <w:p w14:paraId="6F782B64">
                  <w:pPr>
                    <w:pStyle w:val="15"/>
                    <w:rPr>
                      <w:rFonts w:hint="eastAsia"/>
                      <w:u w:val="none"/>
                    </w:rPr>
                  </w:pPr>
                  <w:r>
                    <w:rPr>
                      <w:rFonts w:hint="eastAsia"/>
                      <w:u w:val="none"/>
                    </w:rPr>
                    <w:t>1次/</w:t>
                  </w:r>
                  <w:r>
                    <w:rPr>
                      <w:rFonts w:hint="eastAsia"/>
                      <w:u w:val="none"/>
                      <w:lang w:val="en-US" w:eastAsia="zh-CN"/>
                    </w:rPr>
                    <w:t>年</w:t>
                  </w:r>
                </w:p>
              </w:tc>
              <w:tc>
                <w:tcPr>
                  <w:tcW w:w="2734" w:type="dxa"/>
                  <w:vAlign w:val="center"/>
                </w:tcPr>
                <w:p w14:paraId="24907C26">
                  <w:pPr>
                    <w:pStyle w:val="15"/>
                    <w:rPr>
                      <w:rFonts w:hint="eastAsia"/>
                      <w:u w:val="none"/>
                    </w:rPr>
                  </w:pPr>
                  <w:r>
                    <w:rPr>
                      <w:rFonts w:hint="eastAsia"/>
                    </w:rPr>
                    <w:t>《玻璃工业大气污染物排放标准》（GB26453-2022）</w:t>
                  </w:r>
                </w:p>
              </w:tc>
            </w:tr>
            <w:tr w14:paraId="2DB5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14:paraId="0229EEF0">
                  <w:pPr>
                    <w:pStyle w:val="15"/>
                    <w:rPr>
                      <w:u w:val="none"/>
                    </w:rPr>
                  </w:pPr>
                  <w:r>
                    <w:rPr>
                      <w:rFonts w:hint="eastAsia"/>
                      <w:u w:val="none"/>
                    </w:rPr>
                    <w:t>厂界</w:t>
                  </w:r>
                </w:p>
              </w:tc>
              <w:tc>
                <w:tcPr>
                  <w:tcW w:w="2340" w:type="dxa"/>
                  <w:vAlign w:val="center"/>
                </w:tcPr>
                <w:p w14:paraId="7BD4A5D4">
                  <w:pPr>
                    <w:pStyle w:val="15"/>
                    <w:rPr>
                      <w:rFonts w:hint="eastAsia" w:eastAsia="宋体"/>
                      <w:u w:val="none"/>
                      <w:lang w:val="en-US" w:eastAsia="zh-CN"/>
                    </w:rPr>
                  </w:pPr>
                  <w:r>
                    <w:rPr>
                      <w:rFonts w:hint="eastAsia"/>
                      <w:u w:val="none"/>
                      <w:lang w:val="en-US" w:eastAsia="zh-CN"/>
                    </w:rPr>
                    <w:t>颗粒物、非甲烷总烃</w:t>
                  </w:r>
                </w:p>
              </w:tc>
              <w:tc>
                <w:tcPr>
                  <w:tcW w:w="1160" w:type="dxa"/>
                  <w:vAlign w:val="center"/>
                </w:tcPr>
                <w:p w14:paraId="737179CF">
                  <w:pPr>
                    <w:pStyle w:val="15"/>
                    <w:rPr>
                      <w:u w:val="none"/>
                    </w:rPr>
                  </w:pPr>
                  <w:r>
                    <w:rPr>
                      <w:rFonts w:hint="eastAsia"/>
                      <w:u w:val="none"/>
                    </w:rPr>
                    <w:t>1次/年</w:t>
                  </w:r>
                </w:p>
              </w:tc>
              <w:tc>
                <w:tcPr>
                  <w:tcW w:w="2734" w:type="dxa"/>
                  <w:vAlign w:val="center"/>
                </w:tcPr>
                <w:p w14:paraId="2990B531">
                  <w:pPr>
                    <w:pStyle w:val="15"/>
                    <w:rPr>
                      <w:u w:val="none"/>
                    </w:rPr>
                  </w:pPr>
                  <w:r>
                    <w:rPr>
                      <w:rFonts w:hint="eastAsia"/>
                    </w:rPr>
                    <w:t>《玻璃工业大气污染物排放标准》（GB26453-2022）</w:t>
                  </w:r>
                </w:p>
              </w:tc>
            </w:tr>
          </w:tbl>
          <w:p w14:paraId="3077AC01">
            <w:pPr>
              <w:pStyle w:val="16"/>
              <w:ind w:firstLine="482"/>
            </w:pPr>
            <w:r>
              <w:rPr>
                <w:rFonts w:hint="eastAsia" w:ascii="Times New Roman" w:hAnsi="Times New Roman" w:eastAsia="宋体" w:cs="Times New Roman"/>
                <w:b/>
                <w:bCs/>
              </w:rPr>
              <w:t>2、废水污染源分析</w:t>
            </w:r>
          </w:p>
          <w:p w14:paraId="163A1FC3">
            <w:pPr>
              <w:pStyle w:val="16"/>
              <w:ind w:firstLine="482"/>
              <w:rPr>
                <w:b/>
                <w:bCs/>
              </w:rPr>
            </w:pPr>
            <w:r>
              <w:rPr>
                <w:rFonts w:hint="eastAsia"/>
                <w:b/>
                <w:bCs/>
              </w:rPr>
              <w:t>2.1废水污染源强核算</w:t>
            </w:r>
          </w:p>
          <w:p w14:paraId="2BD31641">
            <w:pPr>
              <w:pStyle w:val="16"/>
              <w:ind w:firstLine="480"/>
              <w:rPr>
                <w:rFonts w:hint="eastAsia"/>
              </w:rPr>
            </w:pPr>
            <w:r>
              <w:t>项目废水主要为生活污水</w:t>
            </w:r>
            <w:r>
              <w:rPr>
                <w:rFonts w:hint="eastAsia"/>
                <w:lang w:eastAsia="zh-CN"/>
              </w:rPr>
              <w:t>，</w:t>
            </w:r>
            <w:r>
              <w:rPr>
                <w:rFonts w:hint="eastAsia"/>
              </w:rPr>
              <w:t>生活污水产生量为</w:t>
            </w:r>
            <w:r>
              <w:rPr>
                <w:rFonts w:hint="eastAsia"/>
                <w:u w:val="none"/>
                <w:lang w:val="en-US" w:eastAsia="zh-CN"/>
              </w:rPr>
              <w:t>1.12</w:t>
            </w:r>
            <w:r>
              <w:rPr>
                <w:rFonts w:hint="eastAsia"/>
                <w:u w:val="none"/>
              </w:rPr>
              <w:t>m</w:t>
            </w:r>
            <w:r>
              <w:rPr>
                <w:rFonts w:hint="eastAsia"/>
                <w:u w:val="none"/>
                <w:vertAlign w:val="superscript"/>
              </w:rPr>
              <w:t>3</w:t>
            </w:r>
            <w:r>
              <w:rPr>
                <w:rFonts w:hint="eastAsia"/>
                <w:u w:val="none"/>
              </w:rPr>
              <w:t>/d（</w:t>
            </w:r>
            <w:r>
              <w:rPr>
                <w:rFonts w:hint="eastAsia"/>
                <w:u w:val="none"/>
                <w:lang w:val="en-US" w:eastAsia="zh-CN"/>
              </w:rPr>
              <w:t>336</w:t>
            </w:r>
            <w:r>
              <w:rPr>
                <w:rFonts w:hint="eastAsia"/>
                <w:u w:val="none"/>
              </w:rPr>
              <w:t>m</w:t>
            </w:r>
            <w:r>
              <w:rPr>
                <w:rFonts w:hint="eastAsia"/>
                <w:u w:val="none"/>
                <w:vertAlign w:val="superscript"/>
              </w:rPr>
              <w:t>3</w:t>
            </w:r>
            <w:r>
              <w:rPr>
                <w:rFonts w:hint="eastAsia"/>
                <w:u w:val="none"/>
              </w:rPr>
              <w:t>/a），</w:t>
            </w:r>
            <w:r>
              <w:rPr>
                <w:rFonts w:hint="eastAsia"/>
                <w:u w:val="none"/>
                <w:lang w:val="en-US" w:eastAsia="zh-CN"/>
              </w:rPr>
              <w:t>经</w:t>
            </w:r>
            <w:r>
              <w:rPr>
                <w:rFonts w:hint="eastAsia"/>
                <w:u w:val="none"/>
              </w:rPr>
              <w:t>化粪池处理后</w:t>
            </w:r>
            <w:r>
              <w:rPr>
                <w:rFonts w:hint="eastAsia"/>
                <w:u w:val="none"/>
                <w:lang w:val="en-US" w:eastAsia="zh-CN"/>
              </w:rPr>
              <w:t>用作农肥</w:t>
            </w:r>
            <w:r>
              <w:rPr>
                <w:rFonts w:hint="eastAsia"/>
              </w:rPr>
              <w:t>。</w:t>
            </w:r>
          </w:p>
          <w:p w14:paraId="613DA5F1">
            <w:pPr>
              <w:pStyle w:val="22"/>
              <w:bidi w:val="0"/>
              <w:rPr>
                <w:rFonts w:hint="eastAsia"/>
                <w:lang w:val="en-US" w:eastAsia="zh-CN"/>
              </w:rPr>
            </w:pPr>
            <w:r>
              <w:rPr>
                <w:rFonts w:hint="eastAsia"/>
                <w:lang w:val="en-US" w:eastAsia="zh-CN"/>
              </w:rPr>
              <w:t>2.2 水污染物排放信息</w:t>
            </w:r>
          </w:p>
          <w:p w14:paraId="4626CC0A">
            <w:pPr>
              <w:pStyle w:val="16"/>
              <w:bidi w:val="0"/>
              <w:rPr>
                <w:rFonts w:hint="default"/>
                <w:lang w:val="en-US" w:eastAsia="zh-CN"/>
              </w:rPr>
            </w:pPr>
            <w:r>
              <w:rPr>
                <w:rFonts w:hint="eastAsia"/>
                <w:lang w:val="en-US" w:eastAsia="zh-CN"/>
              </w:rPr>
              <w:t>废水类别、污染物及污染治理设施信息，详见下表。</w:t>
            </w:r>
          </w:p>
          <w:p w14:paraId="30D4CEA8">
            <w:pPr>
              <w:pStyle w:val="17"/>
              <w:bidi w:val="0"/>
              <w:rPr>
                <w:rFonts w:hint="default"/>
                <w:lang w:val="en-US" w:eastAsia="zh-CN"/>
              </w:rPr>
            </w:pPr>
            <w:r>
              <w:rPr>
                <w:rFonts w:hint="default"/>
                <w:lang w:val="en-US" w:eastAsia="zh-CN"/>
              </w:rPr>
              <w:t>表4-</w:t>
            </w:r>
            <w:r>
              <w:rPr>
                <w:rFonts w:hint="eastAsia"/>
                <w:lang w:val="en-US" w:eastAsia="zh-CN"/>
              </w:rPr>
              <w:t>5</w:t>
            </w:r>
            <w:r>
              <w:rPr>
                <w:rFonts w:hint="default"/>
                <w:lang w:val="en-US" w:eastAsia="zh-CN"/>
              </w:rPr>
              <w:t xml:space="preserve">  废水类别、污染物及污染治理设施信息表</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72"/>
              <w:gridCol w:w="750"/>
              <w:gridCol w:w="655"/>
              <w:gridCol w:w="982"/>
              <w:gridCol w:w="1020"/>
              <w:gridCol w:w="862"/>
              <w:gridCol w:w="718"/>
              <w:gridCol w:w="932"/>
              <w:gridCol w:w="648"/>
            </w:tblGrid>
            <w:tr w14:paraId="2B3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restart"/>
                  <w:vAlign w:val="center"/>
                </w:tcPr>
                <w:p w14:paraId="78311038">
                  <w:pPr>
                    <w:pStyle w:val="15"/>
                    <w:bidi w:val="0"/>
                    <w:jc w:val="center"/>
                    <w:rPr>
                      <w:rFonts w:hint="default"/>
                      <w:vertAlign w:val="baseline"/>
                      <w:lang w:val="en-US" w:eastAsia="zh-CN"/>
                    </w:rPr>
                  </w:pPr>
                  <w:r>
                    <w:rPr>
                      <w:rFonts w:hint="eastAsia"/>
                      <w:vertAlign w:val="baseline"/>
                      <w:lang w:val="en-US" w:eastAsia="zh-CN"/>
                    </w:rPr>
                    <w:t>序号</w:t>
                  </w:r>
                </w:p>
              </w:tc>
              <w:tc>
                <w:tcPr>
                  <w:tcW w:w="872" w:type="dxa"/>
                  <w:vMerge w:val="restart"/>
                  <w:vAlign w:val="center"/>
                </w:tcPr>
                <w:p w14:paraId="60669359">
                  <w:pPr>
                    <w:pStyle w:val="15"/>
                    <w:bidi w:val="0"/>
                    <w:jc w:val="center"/>
                    <w:rPr>
                      <w:rFonts w:hint="default"/>
                      <w:vertAlign w:val="baseline"/>
                      <w:lang w:val="en-US" w:eastAsia="zh-CN"/>
                    </w:rPr>
                  </w:pPr>
                  <w:r>
                    <w:rPr>
                      <w:rFonts w:hint="eastAsia"/>
                      <w:vertAlign w:val="baseline"/>
                      <w:lang w:val="en-US" w:eastAsia="zh-CN"/>
                    </w:rPr>
                    <w:t>废水类别</w:t>
                  </w:r>
                </w:p>
              </w:tc>
              <w:tc>
                <w:tcPr>
                  <w:tcW w:w="750" w:type="dxa"/>
                  <w:vMerge w:val="restart"/>
                  <w:vAlign w:val="center"/>
                </w:tcPr>
                <w:p w14:paraId="511DC4EB">
                  <w:pPr>
                    <w:pStyle w:val="15"/>
                    <w:bidi w:val="0"/>
                    <w:jc w:val="center"/>
                    <w:rPr>
                      <w:rFonts w:hint="default"/>
                      <w:vertAlign w:val="baseline"/>
                      <w:lang w:val="en-US" w:eastAsia="zh-CN"/>
                    </w:rPr>
                  </w:pPr>
                  <w:r>
                    <w:rPr>
                      <w:rFonts w:hint="eastAsia"/>
                      <w:vertAlign w:val="baseline"/>
                      <w:lang w:val="en-US" w:eastAsia="zh-CN"/>
                    </w:rPr>
                    <w:t>排放去向</w:t>
                  </w:r>
                </w:p>
              </w:tc>
              <w:tc>
                <w:tcPr>
                  <w:tcW w:w="655" w:type="dxa"/>
                  <w:vMerge w:val="restart"/>
                  <w:vAlign w:val="center"/>
                </w:tcPr>
                <w:p w14:paraId="3E1C8DB0">
                  <w:pPr>
                    <w:pStyle w:val="15"/>
                    <w:bidi w:val="0"/>
                    <w:jc w:val="center"/>
                    <w:rPr>
                      <w:rFonts w:hint="default"/>
                      <w:vertAlign w:val="baseline"/>
                      <w:lang w:val="en-US" w:eastAsia="zh-CN"/>
                    </w:rPr>
                  </w:pPr>
                  <w:r>
                    <w:rPr>
                      <w:rFonts w:hint="eastAsia"/>
                      <w:vertAlign w:val="baseline"/>
                      <w:lang w:val="en-US" w:eastAsia="zh-CN"/>
                    </w:rPr>
                    <w:t>排放规律</w:t>
                  </w:r>
                </w:p>
              </w:tc>
              <w:tc>
                <w:tcPr>
                  <w:tcW w:w="2864" w:type="dxa"/>
                  <w:gridSpan w:val="3"/>
                  <w:vAlign w:val="center"/>
                </w:tcPr>
                <w:p w14:paraId="2A26FBCF">
                  <w:pPr>
                    <w:pStyle w:val="15"/>
                    <w:bidi w:val="0"/>
                    <w:jc w:val="center"/>
                    <w:rPr>
                      <w:rFonts w:hint="default"/>
                      <w:vertAlign w:val="baseline"/>
                      <w:lang w:val="en-US" w:eastAsia="zh-CN"/>
                    </w:rPr>
                  </w:pPr>
                  <w:r>
                    <w:rPr>
                      <w:rFonts w:hint="eastAsia"/>
                      <w:vertAlign w:val="baseline"/>
                      <w:lang w:val="en-US" w:eastAsia="zh-CN"/>
                    </w:rPr>
                    <w:t>污染物治理设施</w:t>
                  </w:r>
                </w:p>
              </w:tc>
              <w:tc>
                <w:tcPr>
                  <w:tcW w:w="718" w:type="dxa"/>
                  <w:vMerge w:val="restart"/>
                  <w:vAlign w:val="center"/>
                </w:tcPr>
                <w:p w14:paraId="55566C58">
                  <w:pPr>
                    <w:pStyle w:val="15"/>
                    <w:bidi w:val="0"/>
                    <w:jc w:val="center"/>
                    <w:rPr>
                      <w:rFonts w:hint="default"/>
                      <w:vertAlign w:val="baseline"/>
                      <w:lang w:val="en-US" w:eastAsia="zh-CN"/>
                    </w:rPr>
                  </w:pPr>
                  <w:r>
                    <w:rPr>
                      <w:rFonts w:hint="default"/>
                      <w:vertAlign w:val="baseline"/>
                      <w:lang w:val="en-US" w:eastAsia="zh-CN"/>
                    </w:rPr>
                    <w:t>排放口编号</w:t>
                  </w:r>
                </w:p>
              </w:tc>
              <w:tc>
                <w:tcPr>
                  <w:tcW w:w="932" w:type="dxa"/>
                  <w:vMerge w:val="restart"/>
                  <w:vAlign w:val="center"/>
                </w:tcPr>
                <w:p w14:paraId="74928199">
                  <w:pPr>
                    <w:pStyle w:val="15"/>
                    <w:bidi w:val="0"/>
                    <w:jc w:val="center"/>
                    <w:rPr>
                      <w:rFonts w:hint="default"/>
                      <w:vertAlign w:val="baseline"/>
                      <w:lang w:val="en-US" w:eastAsia="zh-CN"/>
                    </w:rPr>
                  </w:pPr>
                  <w:r>
                    <w:rPr>
                      <w:rFonts w:hint="default"/>
                      <w:vertAlign w:val="baseline"/>
                      <w:lang w:val="en-US" w:eastAsia="zh-CN"/>
                    </w:rPr>
                    <w:t>排放口设置是否符合要</w:t>
                  </w:r>
                </w:p>
              </w:tc>
              <w:tc>
                <w:tcPr>
                  <w:tcW w:w="648" w:type="dxa"/>
                  <w:vMerge w:val="restart"/>
                  <w:vAlign w:val="center"/>
                </w:tcPr>
                <w:p w14:paraId="3C863F43">
                  <w:pPr>
                    <w:pStyle w:val="15"/>
                    <w:bidi w:val="0"/>
                    <w:jc w:val="center"/>
                    <w:rPr>
                      <w:rFonts w:hint="default"/>
                      <w:vertAlign w:val="baseline"/>
                      <w:lang w:val="en-US" w:eastAsia="zh-CN"/>
                    </w:rPr>
                  </w:pPr>
                  <w:r>
                    <w:rPr>
                      <w:rFonts w:hint="default"/>
                      <w:vertAlign w:val="baseline"/>
                      <w:lang w:val="en-US" w:eastAsia="zh-CN"/>
                    </w:rPr>
                    <w:t>排放口类型</w:t>
                  </w:r>
                </w:p>
              </w:tc>
            </w:tr>
            <w:tr w14:paraId="5A8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continue"/>
                  <w:vAlign w:val="center"/>
                </w:tcPr>
                <w:p w14:paraId="15216223">
                  <w:pPr>
                    <w:pStyle w:val="15"/>
                    <w:bidi w:val="0"/>
                    <w:jc w:val="center"/>
                    <w:rPr>
                      <w:rFonts w:hint="default"/>
                      <w:vertAlign w:val="baseline"/>
                      <w:lang w:val="en-US" w:eastAsia="zh-CN"/>
                    </w:rPr>
                  </w:pPr>
                </w:p>
              </w:tc>
              <w:tc>
                <w:tcPr>
                  <w:tcW w:w="872" w:type="dxa"/>
                  <w:vMerge w:val="continue"/>
                  <w:vAlign w:val="center"/>
                </w:tcPr>
                <w:p w14:paraId="52BD2EB2">
                  <w:pPr>
                    <w:pStyle w:val="15"/>
                    <w:bidi w:val="0"/>
                    <w:jc w:val="center"/>
                    <w:rPr>
                      <w:rFonts w:hint="default"/>
                      <w:vertAlign w:val="baseline"/>
                      <w:lang w:val="en-US" w:eastAsia="zh-CN"/>
                    </w:rPr>
                  </w:pPr>
                </w:p>
              </w:tc>
              <w:tc>
                <w:tcPr>
                  <w:tcW w:w="750" w:type="dxa"/>
                  <w:vMerge w:val="continue"/>
                  <w:vAlign w:val="center"/>
                </w:tcPr>
                <w:p w14:paraId="1504A21B">
                  <w:pPr>
                    <w:pStyle w:val="15"/>
                    <w:bidi w:val="0"/>
                    <w:jc w:val="center"/>
                    <w:rPr>
                      <w:rFonts w:hint="default"/>
                      <w:vertAlign w:val="baseline"/>
                      <w:lang w:val="en-US" w:eastAsia="zh-CN"/>
                    </w:rPr>
                  </w:pPr>
                </w:p>
              </w:tc>
              <w:tc>
                <w:tcPr>
                  <w:tcW w:w="655" w:type="dxa"/>
                  <w:vMerge w:val="continue"/>
                  <w:vAlign w:val="center"/>
                </w:tcPr>
                <w:p w14:paraId="16BFCDED">
                  <w:pPr>
                    <w:pStyle w:val="15"/>
                    <w:bidi w:val="0"/>
                    <w:jc w:val="center"/>
                    <w:rPr>
                      <w:rFonts w:hint="default"/>
                      <w:vertAlign w:val="baseline"/>
                      <w:lang w:val="en-US" w:eastAsia="zh-CN"/>
                    </w:rPr>
                  </w:pPr>
                </w:p>
              </w:tc>
              <w:tc>
                <w:tcPr>
                  <w:tcW w:w="982" w:type="dxa"/>
                  <w:vAlign w:val="center"/>
                </w:tcPr>
                <w:p w14:paraId="0F848BBC">
                  <w:pPr>
                    <w:pStyle w:val="15"/>
                    <w:bidi w:val="0"/>
                    <w:jc w:val="center"/>
                    <w:rPr>
                      <w:rFonts w:hint="default"/>
                      <w:vertAlign w:val="baseline"/>
                      <w:lang w:val="en-US" w:eastAsia="zh-CN"/>
                    </w:rPr>
                  </w:pPr>
                  <w:r>
                    <w:rPr>
                      <w:rFonts w:hint="eastAsia"/>
                      <w:vertAlign w:val="baseline"/>
                      <w:lang w:val="en-US" w:eastAsia="zh-CN"/>
                    </w:rPr>
                    <w:t>污染物治理设施编号</w:t>
                  </w:r>
                </w:p>
              </w:tc>
              <w:tc>
                <w:tcPr>
                  <w:tcW w:w="1020" w:type="dxa"/>
                  <w:vAlign w:val="center"/>
                </w:tcPr>
                <w:p w14:paraId="4991BBCD">
                  <w:pPr>
                    <w:pStyle w:val="15"/>
                    <w:bidi w:val="0"/>
                    <w:jc w:val="center"/>
                    <w:rPr>
                      <w:rFonts w:hint="default"/>
                      <w:vertAlign w:val="baseline"/>
                      <w:lang w:val="en-US" w:eastAsia="zh-CN"/>
                    </w:rPr>
                  </w:pPr>
                  <w:r>
                    <w:rPr>
                      <w:rFonts w:hint="eastAsia"/>
                      <w:vertAlign w:val="baseline"/>
                      <w:lang w:val="en-US" w:eastAsia="zh-CN"/>
                    </w:rPr>
                    <w:t>污染物治理设施名称</w:t>
                  </w:r>
                </w:p>
              </w:tc>
              <w:tc>
                <w:tcPr>
                  <w:tcW w:w="862" w:type="dxa"/>
                  <w:vAlign w:val="center"/>
                </w:tcPr>
                <w:p w14:paraId="7ADEA6D9">
                  <w:pPr>
                    <w:pStyle w:val="15"/>
                    <w:bidi w:val="0"/>
                    <w:jc w:val="center"/>
                    <w:rPr>
                      <w:rFonts w:hint="default"/>
                      <w:vertAlign w:val="baseline"/>
                      <w:lang w:val="en-US" w:eastAsia="zh-CN"/>
                    </w:rPr>
                  </w:pPr>
                  <w:r>
                    <w:rPr>
                      <w:rFonts w:hint="default"/>
                      <w:vertAlign w:val="baseline"/>
                      <w:lang w:val="en-US" w:eastAsia="zh-CN"/>
                    </w:rPr>
                    <w:t>污染治理设施工艺</w:t>
                  </w:r>
                </w:p>
              </w:tc>
              <w:tc>
                <w:tcPr>
                  <w:tcW w:w="718" w:type="dxa"/>
                  <w:vMerge w:val="continue"/>
                  <w:vAlign w:val="center"/>
                </w:tcPr>
                <w:p w14:paraId="3F976CC3">
                  <w:pPr>
                    <w:pStyle w:val="15"/>
                    <w:bidi w:val="0"/>
                    <w:jc w:val="center"/>
                    <w:rPr>
                      <w:rFonts w:hint="default"/>
                      <w:vertAlign w:val="baseline"/>
                      <w:lang w:val="en-US" w:eastAsia="zh-CN"/>
                    </w:rPr>
                  </w:pPr>
                </w:p>
              </w:tc>
              <w:tc>
                <w:tcPr>
                  <w:tcW w:w="932" w:type="dxa"/>
                  <w:vMerge w:val="continue"/>
                  <w:vAlign w:val="center"/>
                </w:tcPr>
                <w:p w14:paraId="71EC9A52">
                  <w:pPr>
                    <w:pStyle w:val="15"/>
                    <w:bidi w:val="0"/>
                    <w:jc w:val="center"/>
                    <w:rPr>
                      <w:rFonts w:hint="default"/>
                      <w:vertAlign w:val="baseline"/>
                      <w:lang w:val="en-US" w:eastAsia="zh-CN"/>
                    </w:rPr>
                  </w:pPr>
                </w:p>
              </w:tc>
              <w:tc>
                <w:tcPr>
                  <w:tcW w:w="648" w:type="dxa"/>
                  <w:vMerge w:val="continue"/>
                  <w:vAlign w:val="center"/>
                </w:tcPr>
                <w:p w14:paraId="41B90D1E">
                  <w:pPr>
                    <w:pStyle w:val="15"/>
                    <w:bidi w:val="0"/>
                    <w:jc w:val="center"/>
                    <w:rPr>
                      <w:rFonts w:hint="default"/>
                      <w:vertAlign w:val="baseline"/>
                      <w:lang w:val="en-US" w:eastAsia="zh-CN"/>
                    </w:rPr>
                  </w:pPr>
                </w:p>
              </w:tc>
            </w:tr>
            <w:tr w14:paraId="5D8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56643CDD">
                  <w:pPr>
                    <w:pStyle w:val="15"/>
                    <w:bidi w:val="0"/>
                    <w:jc w:val="center"/>
                    <w:rPr>
                      <w:rFonts w:hint="default"/>
                      <w:vertAlign w:val="baseline"/>
                      <w:lang w:val="en-US" w:eastAsia="zh-CN"/>
                    </w:rPr>
                  </w:pPr>
                  <w:r>
                    <w:rPr>
                      <w:rFonts w:hint="eastAsia"/>
                      <w:vertAlign w:val="baseline"/>
                      <w:lang w:val="en-US" w:eastAsia="zh-CN"/>
                    </w:rPr>
                    <w:t>1</w:t>
                  </w:r>
                </w:p>
              </w:tc>
              <w:tc>
                <w:tcPr>
                  <w:tcW w:w="872" w:type="dxa"/>
                  <w:vAlign w:val="center"/>
                </w:tcPr>
                <w:p w14:paraId="4DECE309">
                  <w:pPr>
                    <w:pStyle w:val="15"/>
                    <w:bidi w:val="0"/>
                    <w:jc w:val="center"/>
                    <w:rPr>
                      <w:rFonts w:hint="default"/>
                      <w:vertAlign w:val="baseline"/>
                      <w:lang w:val="en-US" w:eastAsia="zh-CN"/>
                    </w:rPr>
                  </w:pPr>
                  <w:r>
                    <w:rPr>
                      <w:rFonts w:hint="default"/>
                      <w:vertAlign w:val="baseline"/>
                      <w:lang w:val="en-US" w:eastAsia="zh-CN"/>
                    </w:rPr>
                    <w:t>生活污水</w:t>
                  </w:r>
                </w:p>
              </w:tc>
              <w:tc>
                <w:tcPr>
                  <w:tcW w:w="750" w:type="dxa"/>
                  <w:vAlign w:val="center"/>
                </w:tcPr>
                <w:p w14:paraId="3DEAE131">
                  <w:pPr>
                    <w:pStyle w:val="15"/>
                    <w:bidi w:val="0"/>
                    <w:jc w:val="center"/>
                    <w:rPr>
                      <w:rFonts w:hint="default"/>
                      <w:vertAlign w:val="baseline"/>
                      <w:lang w:val="en-US" w:eastAsia="zh-CN"/>
                    </w:rPr>
                  </w:pPr>
                  <w:r>
                    <w:rPr>
                      <w:rFonts w:hint="eastAsia"/>
                      <w:vertAlign w:val="baseline"/>
                      <w:lang w:val="en-US" w:eastAsia="zh-CN"/>
                    </w:rPr>
                    <w:t>用作农肥</w:t>
                  </w:r>
                </w:p>
              </w:tc>
              <w:tc>
                <w:tcPr>
                  <w:tcW w:w="655" w:type="dxa"/>
                  <w:vAlign w:val="center"/>
                </w:tcPr>
                <w:p w14:paraId="7C4548A0">
                  <w:pPr>
                    <w:pStyle w:val="15"/>
                    <w:bidi w:val="0"/>
                    <w:jc w:val="center"/>
                    <w:rPr>
                      <w:rFonts w:hint="default"/>
                      <w:vertAlign w:val="baseline"/>
                      <w:lang w:val="en-US" w:eastAsia="zh-CN"/>
                    </w:rPr>
                  </w:pPr>
                  <w:r>
                    <w:rPr>
                      <w:rFonts w:hint="eastAsia"/>
                      <w:vertAlign w:val="baseline"/>
                      <w:lang w:val="en-US" w:eastAsia="zh-CN"/>
                    </w:rPr>
                    <w:t>连续排放</w:t>
                  </w:r>
                </w:p>
              </w:tc>
              <w:tc>
                <w:tcPr>
                  <w:tcW w:w="982" w:type="dxa"/>
                  <w:vAlign w:val="center"/>
                </w:tcPr>
                <w:p w14:paraId="690854DE">
                  <w:pPr>
                    <w:pStyle w:val="15"/>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TW001</w:t>
                  </w:r>
                </w:p>
              </w:tc>
              <w:tc>
                <w:tcPr>
                  <w:tcW w:w="1020" w:type="dxa"/>
                  <w:vAlign w:val="center"/>
                </w:tcPr>
                <w:p w14:paraId="31D680B7">
                  <w:pPr>
                    <w:pStyle w:val="15"/>
                    <w:bidi w:val="0"/>
                    <w:jc w:val="center"/>
                    <w:rPr>
                      <w:rFonts w:hint="default"/>
                      <w:vertAlign w:val="baseline"/>
                      <w:lang w:val="en-US" w:eastAsia="zh-CN"/>
                    </w:rPr>
                  </w:pPr>
                  <w:r>
                    <w:rPr>
                      <w:rFonts w:hint="default"/>
                      <w:vertAlign w:val="baseline"/>
                      <w:lang w:val="en-US" w:eastAsia="zh-CN"/>
                    </w:rPr>
                    <w:t>生活污水处理设施</w:t>
                  </w:r>
                </w:p>
              </w:tc>
              <w:tc>
                <w:tcPr>
                  <w:tcW w:w="862" w:type="dxa"/>
                  <w:vAlign w:val="center"/>
                </w:tcPr>
                <w:p w14:paraId="0ADB22DD">
                  <w:pPr>
                    <w:pStyle w:val="15"/>
                    <w:bidi w:val="0"/>
                    <w:jc w:val="center"/>
                    <w:rPr>
                      <w:rFonts w:hint="default"/>
                      <w:vertAlign w:val="baseline"/>
                      <w:lang w:val="en-US" w:eastAsia="zh-CN"/>
                    </w:rPr>
                  </w:pPr>
                  <w:r>
                    <w:rPr>
                      <w:rFonts w:hint="eastAsia"/>
                      <w:vertAlign w:val="baseline"/>
                      <w:lang w:val="en-US" w:eastAsia="zh-CN"/>
                    </w:rPr>
                    <w:t>化粪池</w:t>
                  </w:r>
                </w:p>
              </w:tc>
              <w:tc>
                <w:tcPr>
                  <w:tcW w:w="718" w:type="dxa"/>
                  <w:vAlign w:val="center"/>
                </w:tcPr>
                <w:p w14:paraId="662BB5AA">
                  <w:pPr>
                    <w:pStyle w:val="15"/>
                    <w:bidi w:val="0"/>
                    <w:jc w:val="center"/>
                    <w:rPr>
                      <w:rFonts w:hint="default"/>
                      <w:vertAlign w:val="baseline"/>
                      <w:lang w:val="en-US" w:eastAsia="zh-CN"/>
                    </w:rPr>
                  </w:pPr>
                  <w:r>
                    <w:rPr>
                      <w:rFonts w:hint="eastAsia"/>
                      <w:vertAlign w:val="baseline"/>
                      <w:lang w:val="en-US" w:eastAsia="zh-CN"/>
                    </w:rPr>
                    <w:t>/</w:t>
                  </w:r>
                </w:p>
              </w:tc>
              <w:tc>
                <w:tcPr>
                  <w:tcW w:w="932" w:type="dxa"/>
                  <w:vAlign w:val="center"/>
                </w:tcPr>
                <w:p w14:paraId="5F415119">
                  <w:pPr>
                    <w:pStyle w:val="15"/>
                    <w:bidi w:val="0"/>
                    <w:jc w:val="center"/>
                    <w:rPr>
                      <w:rFonts w:hint="default"/>
                      <w:vertAlign w:val="baseline"/>
                      <w:lang w:val="en-US" w:eastAsia="zh-CN"/>
                    </w:rPr>
                  </w:pPr>
                  <w:r>
                    <w:rPr>
                      <w:rFonts w:hint="eastAsia"/>
                      <w:vertAlign w:val="baseline"/>
                      <w:lang w:val="en-US" w:eastAsia="zh-CN"/>
                    </w:rPr>
                    <w:t>/</w:t>
                  </w:r>
                </w:p>
              </w:tc>
              <w:tc>
                <w:tcPr>
                  <w:tcW w:w="648" w:type="dxa"/>
                  <w:vAlign w:val="center"/>
                </w:tcPr>
                <w:p w14:paraId="0CC0B0BF">
                  <w:pPr>
                    <w:pStyle w:val="15"/>
                    <w:bidi w:val="0"/>
                    <w:jc w:val="center"/>
                    <w:rPr>
                      <w:rFonts w:hint="default"/>
                      <w:vertAlign w:val="baseline"/>
                      <w:lang w:val="en-US" w:eastAsia="zh-CN"/>
                    </w:rPr>
                  </w:pPr>
                  <w:r>
                    <w:rPr>
                      <w:rFonts w:hint="eastAsia"/>
                      <w:vertAlign w:val="baseline"/>
                      <w:lang w:val="en-US" w:eastAsia="zh-CN"/>
                    </w:rPr>
                    <w:t>/</w:t>
                  </w:r>
                </w:p>
              </w:tc>
            </w:tr>
          </w:tbl>
          <w:p w14:paraId="789B9E93">
            <w:pPr>
              <w:pStyle w:val="22"/>
              <w:bidi w:val="0"/>
              <w:rPr>
                <w:rFonts w:hint="default"/>
                <w:lang w:val="en-US" w:eastAsia="zh-CN"/>
              </w:rPr>
            </w:pP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 xml:space="preserve"> 废</w:t>
            </w:r>
            <w:r>
              <w:rPr>
                <w:rFonts w:hint="eastAsia"/>
                <w:lang w:val="en-US" w:eastAsia="zh-CN"/>
              </w:rPr>
              <w:t>水</w:t>
            </w:r>
            <w:r>
              <w:rPr>
                <w:rFonts w:hint="default"/>
                <w:lang w:val="en-US" w:eastAsia="zh-CN"/>
              </w:rPr>
              <w:t>处理措施可行性分析</w:t>
            </w:r>
          </w:p>
          <w:p w14:paraId="7F23DFB0">
            <w:pPr>
              <w:rPr>
                <w:rFonts w:hint="default"/>
                <w:lang w:val="en-US" w:eastAsia="zh-CN"/>
              </w:rPr>
            </w:pPr>
            <w:r>
              <w:rPr>
                <w:rFonts w:hint="default"/>
                <w:lang w:val="en-US" w:eastAsia="zh-CN"/>
              </w:rPr>
              <w:t>生活污水处理措施可行性分析：</w:t>
            </w:r>
            <w:r>
              <w:rPr>
                <w:rFonts w:hint="default"/>
                <w:u w:val="none"/>
                <w:lang w:val="en-US" w:eastAsia="zh-CN"/>
              </w:rPr>
              <w:t>生活污水</w:t>
            </w:r>
            <w:r>
              <w:rPr>
                <w:rFonts w:hint="eastAsia"/>
                <w:u w:val="none"/>
                <w:lang w:val="en-US" w:eastAsia="zh-CN"/>
              </w:rPr>
              <w:t>经化粪池</w:t>
            </w:r>
            <w:r>
              <w:rPr>
                <w:rFonts w:hint="default"/>
                <w:u w:val="none"/>
                <w:lang w:val="en-US" w:eastAsia="zh-CN"/>
              </w:rPr>
              <w:t>处理后</w:t>
            </w:r>
            <w:r>
              <w:rPr>
                <w:rFonts w:hint="eastAsia"/>
                <w:u w:val="none"/>
                <w:lang w:val="en-US" w:eastAsia="zh-CN"/>
              </w:rPr>
              <w:t>用作农肥，</w:t>
            </w:r>
            <w:r>
              <w:rPr>
                <w:rFonts w:hint="default"/>
                <w:lang w:val="en-US" w:eastAsia="zh-CN"/>
              </w:rPr>
              <w:t>生活污水不会影响区域地表水环境。</w:t>
            </w:r>
          </w:p>
          <w:p w14:paraId="00CEEA84">
            <w:pPr>
              <w:ind w:firstLine="482"/>
              <w:rPr>
                <w:b/>
                <w:bCs/>
              </w:rPr>
            </w:pPr>
            <w:r>
              <w:rPr>
                <w:b/>
                <w:bCs/>
              </w:rPr>
              <w:t>2.4 废水监测要求</w:t>
            </w:r>
          </w:p>
          <w:p w14:paraId="46C091DE">
            <w:pPr>
              <w:ind w:left="0" w:leftChars="0" w:firstLine="480" w:firstLineChars="200"/>
              <w:rPr>
                <w:rFonts w:hint="default"/>
                <w:lang w:val="en-US" w:eastAsia="zh-CN"/>
              </w:rPr>
            </w:pPr>
            <w:r>
              <w:rPr>
                <w:rFonts w:hint="default"/>
                <w:lang w:val="en-US" w:eastAsia="zh-CN"/>
              </w:rPr>
              <w:t>根据《排污单位自行监测技术指南 总则》（HJ819-2017）相关规定，本项目</w:t>
            </w:r>
            <w:r>
              <w:rPr>
                <w:rFonts w:hint="eastAsia"/>
                <w:lang w:val="en-US" w:eastAsia="zh-CN"/>
              </w:rPr>
              <w:t>无废水</w:t>
            </w:r>
            <w:r>
              <w:rPr>
                <w:rFonts w:hint="default"/>
                <w:lang w:val="en-US" w:eastAsia="zh-CN"/>
              </w:rPr>
              <w:t>外排，不设置废水排放口，无需制定废水监测计划。</w:t>
            </w:r>
          </w:p>
          <w:p w14:paraId="6E27C78C">
            <w:pPr>
              <w:ind w:left="0" w:leftChars="0" w:firstLine="482" w:firstLineChars="200"/>
              <w:rPr>
                <w:b/>
                <w:bCs/>
              </w:rPr>
            </w:pPr>
            <w:r>
              <w:rPr>
                <w:rFonts w:hint="eastAsia"/>
                <w:b/>
                <w:bCs/>
              </w:rPr>
              <w:t>3、噪声环境影响和保护措施</w:t>
            </w:r>
          </w:p>
          <w:p w14:paraId="5A05B9D3">
            <w:pPr>
              <w:ind w:firstLine="482"/>
              <w:rPr>
                <w:b/>
                <w:bCs/>
              </w:rPr>
            </w:pPr>
            <w:r>
              <w:rPr>
                <w:b/>
                <w:bCs/>
              </w:rPr>
              <w:t>3.1</w:t>
            </w:r>
            <w:r>
              <w:rPr>
                <w:rFonts w:hint="eastAsia"/>
                <w:b/>
                <w:bCs/>
              </w:rPr>
              <w:t xml:space="preserve"> </w:t>
            </w:r>
            <w:r>
              <w:rPr>
                <w:b/>
                <w:bCs/>
              </w:rPr>
              <w:t>噪声源强及降噪措施</w:t>
            </w:r>
          </w:p>
          <w:p w14:paraId="5E2D0027">
            <w:pPr>
              <w:ind w:firstLine="480"/>
            </w:pPr>
            <w:r>
              <w:t>本项目产生噪声主要为设备</w:t>
            </w:r>
            <w:r>
              <w:rPr>
                <w:rFonts w:hint="eastAsia"/>
              </w:rPr>
              <w:t>运行</w:t>
            </w:r>
            <w:r>
              <w:t>产生的噪声，参考《环境保护实用数据手册》（胡名操主编）、《机械加工行业环境影响评价中常见污染源强估算及污染治理》（湖北大学学报第32卷第3期）等相关文件及类比调查分析，主要生产设备运行的声级范围在</w:t>
            </w:r>
            <w:r>
              <w:rPr>
                <w:rFonts w:hint="eastAsia"/>
                <w:lang w:val="en-US" w:eastAsia="zh-CN"/>
              </w:rPr>
              <w:t>80</w:t>
            </w:r>
            <w:r>
              <w:t>dB(A)~</w:t>
            </w:r>
            <w:r>
              <w:rPr>
                <w:rFonts w:hint="eastAsia"/>
              </w:rPr>
              <w:t>8</w:t>
            </w:r>
            <w:r>
              <w:rPr>
                <w:rFonts w:hint="eastAsia"/>
                <w:lang w:val="en-US" w:eastAsia="zh-CN"/>
              </w:rPr>
              <w:t>5</w:t>
            </w:r>
            <w:r>
              <w:t>dB(A)之间</w:t>
            </w:r>
            <w:r>
              <w:rPr>
                <w:rFonts w:hint="eastAsia"/>
              </w:rPr>
              <w:t>，</w:t>
            </w:r>
            <w:r>
              <w:t>其中主要噪声源及设备</w:t>
            </w:r>
            <w:r>
              <w:rPr>
                <w:rFonts w:hint="eastAsia"/>
              </w:rPr>
              <w:t>详见</w:t>
            </w:r>
            <w:r>
              <w:t>下表。</w:t>
            </w:r>
          </w:p>
          <w:p w14:paraId="541E5395">
            <w:pPr>
              <w:pStyle w:val="17"/>
              <w:jc w:val="center"/>
            </w:pPr>
            <w:r>
              <w:t>表4-</w:t>
            </w:r>
            <w:r>
              <w:rPr>
                <w:rFonts w:hint="eastAsia"/>
                <w:lang w:val="en-US" w:eastAsia="zh-CN"/>
              </w:rPr>
              <w:t>6</w:t>
            </w:r>
            <w:r>
              <w:rPr>
                <w:rFonts w:hint="eastAsia"/>
              </w:rPr>
              <w:t xml:space="preserve">  </w:t>
            </w:r>
            <w:r>
              <w:t>工业企业噪声源强调查清单</w:t>
            </w:r>
            <w:r>
              <w:rPr>
                <w:rFonts w:hint="eastAsia"/>
              </w:rPr>
              <w:t>（室内）</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00"/>
              <w:gridCol w:w="933"/>
              <w:gridCol w:w="789"/>
              <w:gridCol w:w="503"/>
              <w:gridCol w:w="657"/>
              <w:gridCol w:w="1024"/>
              <w:gridCol w:w="510"/>
              <w:gridCol w:w="955"/>
              <w:gridCol w:w="1025"/>
            </w:tblGrid>
            <w:tr w14:paraId="5DF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4" w:type="pct"/>
                  <w:vMerge w:val="restart"/>
                  <w:vAlign w:val="center"/>
                </w:tcPr>
                <w:p w14:paraId="7D2C3359">
                  <w:pPr>
                    <w:pStyle w:val="15"/>
                  </w:pPr>
                  <w:r>
                    <w:rPr>
                      <w:rFonts w:hint="eastAsia"/>
                    </w:rPr>
                    <w:t>位置</w:t>
                  </w:r>
                </w:p>
              </w:tc>
              <w:tc>
                <w:tcPr>
                  <w:tcW w:w="574" w:type="pct"/>
                  <w:vMerge w:val="restart"/>
                  <w:vAlign w:val="center"/>
                </w:tcPr>
                <w:p w14:paraId="5B737682">
                  <w:pPr>
                    <w:pStyle w:val="15"/>
                  </w:pPr>
                  <w:r>
                    <w:rPr>
                      <w:rFonts w:hint="eastAsia"/>
                    </w:rPr>
                    <w:t>设备</w:t>
                  </w:r>
                </w:p>
              </w:tc>
              <w:tc>
                <w:tcPr>
                  <w:tcW w:w="595" w:type="pct"/>
                  <w:vMerge w:val="restart"/>
                  <w:vAlign w:val="center"/>
                </w:tcPr>
                <w:p w14:paraId="2DDCA53C">
                  <w:pPr>
                    <w:pStyle w:val="15"/>
                  </w:pPr>
                  <w:r>
                    <w:rPr>
                      <w:rFonts w:hint="eastAsia"/>
                      <w:lang w:val="en-US" w:eastAsia="zh-CN"/>
                    </w:rPr>
                    <w:t>声功率级</w:t>
                  </w:r>
                  <w:r>
                    <w:t>/dB（A）</w:t>
                  </w:r>
                </w:p>
              </w:tc>
              <w:tc>
                <w:tcPr>
                  <w:tcW w:w="503" w:type="pct"/>
                  <w:vMerge w:val="restart"/>
                  <w:vAlign w:val="center"/>
                </w:tcPr>
                <w:p w14:paraId="3BDA1A35">
                  <w:pPr>
                    <w:pStyle w:val="15"/>
                  </w:pPr>
                  <w:r>
                    <w:t>声源控制措施</w:t>
                  </w:r>
                </w:p>
              </w:tc>
              <w:tc>
                <w:tcPr>
                  <w:tcW w:w="740" w:type="pct"/>
                  <w:gridSpan w:val="2"/>
                  <w:vMerge w:val="restart"/>
                  <w:vAlign w:val="center"/>
                </w:tcPr>
                <w:p w14:paraId="09C853B1">
                  <w:pPr>
                    <w:pStyle w:val="15"/>
                  </w:pPr>
                  <w:r>
                    <w:t>距室内边界距离/m</w:t>
                  </w:r>
                </w:p>
              </w:tc>
              <w:tc>
                <w:tcPr>
                  <w:tcW w:w="653" w:type="pct"/>
                  <w:vMerge w:val="restart"/>
                  <w:vAlign w:val="center"/>
                </w:tcPr>
                <w:p w14:paraId="7C915C88">
                  <w:pPr>
                    <w:pStyle w:val="15"/>
                  </w:pPr>
                  <w:r>
                    <w:t>室内边界噪声/dB（A）</w:t>
                  </w:r>
                </w:p>
              </w:tc>
              <w:tc>
                <w:tcPr>
                  <w:tcW w:w="325" w:type="pct"/>
                  <w:vMerge w:val="restart"/>
                  <w:vAlign w:val="center"/>
                </w:tcPr>
                <w:p w14:paraId="0D223AE0">
                  <w:pPr>
                    <w:pStyle w:val="15"/>
                  </w:pPr>
                  <w:r>
                    <w:t>运行时段</w:t>
                  </w:r>
                </w:p>
              </w:tc>
              <w:tc>
                <w:tcPr>
                  <w:tcW w:w="609" w:type="pct"/>
                  <w:vMerge w:val="restart"/>
                  <w:vAlign w:val="center"/>
                </w:tcPr>
                <w:p w14:paraId="71AC6A07">
                  <w:pPr>
                    <w:pStyle w:val="15"/>
                  </w:pPr>
                  <w:r>
                    <w:t>建筑物插入损失/dB（A）</w:t>
                  </w:r>
                </w:p>
              </w:tc>
              <w:tc>
                <w:tcPr>
                  <w:tcW w:w="653" w:type="pct"/>
                  <w:vMerge w:val="restart"/>
                  <w:vAlign w:val="center"/>
                </w:tcPr>
                <w:p w14:paraId="5E621C8B">
                  <w:pPr>
                    <w:pStyle w:val="15"/>
                  </w:pPr>
                  <w:r>
                    <w:t>建筑物外噪声</w:t>
                  </w:r>
                </w:p>
                <w:p w14:paraId="7490DA63">
                  <w:pPr>
                    <w:pStyle w:val="15"/>
                  </w:pPr>
                  <w:r>
                    <w:t>/dB（A）</w:t>
                  </w:r>
                </w:p>
              </w:tc>
            </w:tr>
            <w:tr w14:paraId="57B5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4" w:type="pct"/>
                  <w:vMerge w:val="continue"/>
                  <w:vAlign w:val="center"/>
                </w:tcPr>
                <w:p w14:paraId="27BC8AF1">
                  <w:pPr>
                    <w:pStyle w:val="15"/>
                  </w:pPr>
                </w:p>
              </w:tc>
              <w:tc>
                <w:tcPr>
                  <w:tcW w:w="574" w:type="pct"/>
                  <w:vMerge w:val="continue"/>
                  <w:vAlign w:val="center"/>
                </w:tcPr>
                <w:p w14:paraId="639F8F67">
                  <w:pPr>
                    <w:pStyle w:val="15"/>
                  </w:pPr>
                </w:p>
              </w:tc>
              <w:tc>
                <w:tcPr>
                  <w:tcW w:w="595" w:type="pct"/>
                  <w:vMerge w:val="continue"/>
                  <w:vAlign w:val="center"/>
                </w:tcPr>
                <w:p w14:paraId="1E40253B">
                  <w:pPr>
                    <w:pStyle w:val="15"/>
                  </w:pPr>
                </w:p>
              </w:tc>
              <w:tc>
                <w:tcPr>
                  <w:tcW w:w="503" w:type="pct"/>
                  <w:vMerge w:val="continue"/>
                  <w:vAlign w:val="center"/>
                </w:tcPr>
                <w:p w14:paraId="27524BC6">
                  <w:pPr>
                    <w:pStyle w:val="15"/>
                  </w:pPr>
                </w:p>
              </w:tc>
              <w:tc>
                <w:tcPr>
                  <w:tcW w:w="740" w:type="pct"/>
                  <w:gridSpan w:val="2"/>
                  <w:vMerge w:val="continue"/>
                  <w:vAlign w:val="center"/>
                </w:tcPr>
                <w:p w14:paraId="3AE81EBB">
                  <w:pPr>
                    <w:pStyle w:val="15"/>
                  </w:pPr>
                </w:p>
              </w:tc>
              <w:tc>
                <w:tcPr>
                  <w:tcW w:w="653" w:type="pct"/>
                  <w:vMerge w:val="continue"/>
                  <w:vAlign w:val="center"/>
                </w:tcPr>
                <w:p w14:paraId="5015EE91">
                  <w:pPr>
                    <w:pStyle w:val="15"/>
                  </w:pPr>
                </w:p>
              </w:tc>
              <w:tc>
                <w:tcPr>
                  <w:tcW w:w="325" w:type="pct"/>
                  <w:vMerge w:val="continue"/>
                  <w:vAlign w:val="center"/>
                </w:tcPr>
                <w:p w14:paraId="06090847">
                  <w:pPr>
                    <w:pStyle w:val="15"/>
                  </w:pPr>
                </w:p>
              </w:tc>
              <w:tc>
                <w:tcPr>
                  <w:tcW w:w="609" w:type="pct"/>
                  <w:vMerge w:val="continue"/>
                  <w:vAlign w:val="center"/>
                </w:tcPr>
                <w:p w14:paraId="49326FE8">
                  <w:pPr>
                    <w:pStyle w:val="15"/>
                  </w:pPr>
                </w:p>
              </w:tc>
              <w:tc>
                <w:tcPr>
                  <w:tcW w:w="653" w:type="pct"/>
                  <w:vMerge w:val="continue"/>
                  <w:vAlign w:val="center"/>
                </w:tcPr>
                <w:p w14:paraId="5359D18F">
                  <w:pPr>
                    <w:pStyle w:val="15"/>
                  </w:pPr>
                </w:p>
              </w:tc>
            </w:tr>
            <w:tr w14:paraId="7D8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restart"/>
                  <w:vAlign w:val="center"/>
                </w:tcPr>
                <w:p w14:paraId="2AFE06E2">
                  <w:pPr>
                    <w:pStyle w:val="15"/>
                    <w:rPr>
                      <w:rFonts w:hint="default" w:eastAsia="宋体"/>
                      <w:lang w:val="en-US" w:eastAsia="zh-CN"/>
                    </w:rPr>
                  </w:pPr>
                  <w:r>
                    <w:rPr>
                      <w:rFonts w:hint="eastAsia"/>
                      <w:lang w:val="en-US" w:eastAsia="zh-CN"/>
                    </w:rPr>
                    <w:t>生产车间</w:t>
                  </w:r>
                </w:p>
              </w:tc>
              <w:tc>
                <w:tcPr>
                  <w:tcW w:w="574" w:type="pct"/>
                  <w:vMerge w:val="restart"/>
                  <w:vAlign w:val="center"/>
                </w:tcPr>
                <w:p w14:paraId="52ABA5DE">
                  <w:pPr>
                    <w:pStyle w:val="15"/>
                  </w:pPr>
                  <w:r>
                    <w:rPr>
                      <w:rFonts w:hint="eastAsia"/>
                    </w:rPr>
                    <w:t>锥螺旋粉碎挤出机</w:t>
                  </w:r>
                </w:p>
              </w:tc>
              <w:tc>
                <w:tcPr>
                  <w:tcW w:w="595" w:type="pct"/>
                  <w:vMerge w:val="restart"/>
                  <w:vAlign w:val="center"/>
                </w:tcPr>
                <w:p w14:paraId="2200EF6F">
                  <w:pPr>
                    <w:pStyle w:val="15"/>
                    <w:rPr>
                      <w:rFonts w:hint="default" w:eastAsia="宋体"/>
                      <w:lang w:val="en-US" w:eastAsia="zh-CN"/>
                    </w:rPr>
                  </w:pPr>
                  <w:r>
                    <w:rPr>
                      <w:rFonts w:hint="eastAsia"/>
                      <w:lang w:val="en-US" w:eastAsia="zh-CN"/>
                    </w:rPr>
                    <w:t>85</w:t>
                  </w:r>
                </w:p>
              </w:tc>
              <w:tc>
                <w:tcPr>
                  <w:tcW w:w="503" w:type="pct"/>
                  <w:vMerge w:val="restart"/>
                  <w:vAlign w:val="center"/>
                </w:tcPr>
                <w:p w14:paraId="70DFA7E5">
                  <w:pPr>
                    <w:pStyle w:val="15"/>
                  </w:pPr>
                  <w:r>
                    <w:t>基础减振、厂房隔声等</w:t>
                  </w:r>
                </w:p>
              </w:tc>
              <w:tc>
                <w:tcPr>
                  <w:tcW w:w="321" w:type="pct"/>
                  <w:vAlign w:val="center"/>
                </w:tcPr>
                <w:p w14:paraId="6648078C">
                  <w:pPr>
                    <w:pStyle w:val="15"/>
                  </w:pPr>
                  <w:r>
                    <w:rPr>
                      <w:rFonts w:hint="eastAsia"/>
                    </w:rPr>
                    <w:t>东</w:t>
                  </w:r>
                </w:p>
              </w:tc>
              <w:tc>
                <w:tcPr>
                  <w:tcW w:w="419" w:type="pct"/>
                  <w:vAlign w:val="center"/>
                </w:tcPr>
                <w:p w14:paraId="1774E8C5">
                  <w:pPr>
                    <w:pStyle w:val="15"/>
                    <w:rPr>
                      <w:rFonts w:hint="default" w:eastAsia="宋体"/>
                      <w:lang w:val="en-US" w:eastAsia="zh-CN"/>
                    </w:rPr>
                  </w:pPr>
                  <w:r>
                    <w:rPr>
                      <w:rFonts w:hint="eastAsia"/>
                      <w:lang w:val="en-US" w:eastAsia="zh-CN"/>
                    </w:rPr>
                    <w:t>40</w:t>
                  </w:r>
                </w:p>
              </w:tc>
              <w:tc>
                <w:tcPr>
                  <w:tcW w:w="653" w:type="pct"/>
                  <w:vAlign w:val="center"/>
                </w:tcPr>
                <w:p w14:paraId="4A41A794">
                  <w:pPr>
                    <w:pStyle w:val="15"/>
                    <w:rPr>
                      <w:rFonts w:hint="default" w:eastAsia="宋体"/>
                      <w:lang w:val="en-US" w:eastAsia="zh-CN"/>
                    </w:rPr>
                  </w:pPr>
                  <w:r>
                    <w:rPr>
                      <w:rFonts w:hint="eastAsia"/>
                      <w:lang w:val="en-US" w:eastAsia="zh-CN"/>
                    </w:rPr>
                    <w:t>52.9</w:t>
                  </w:r>
                </w:p>
              </w:tc>
              <w:tc>
                <w:tcPr>
                  <w:tcW w:w="325" w:type="pct"/>
                  <w:vMerge w:val="restart"/>
                  <w:vAlign w:val="center"/>
                </w:tcPr>
                <w:p w14:paraId="3917B3E1">
                  <w:pPr>
                    <w:pStyle w:val="15"/>
                  </w:pPr>
                  <w:r>
                    <w:rPr>
                      <w:rFonts w:hint="eastAsia"/>
                    </w:rPr>
                    <w:t>昼间</w:t>
                  </w:r>
                </w:p>
              </w:tc>
              <w:tc>
                <w:tcPr>
                  <w:tcW w:w="609" w:type="pct"/>
                  <w:vMerge w:val="restart"/>
                  <w:vAlign w:val="center"/>
                </w:tcPr>
                <w:p w14:paraId="437B5B97">
                  <w:pPr>
                    <w:pStyle w:val="15"/>
                  </w:pPr>
                  <w:r>
                    <w:rPr>
                      <w:rFonts w:hint="eastAsia"/>
                    </w:rPr>
                    <w:t>25</w:t>
                  </w:r>
                </w:p>
              </w:tc>
              <w:tc>
                <w:tcPr>
                  <w:tcW w:w="653" w:type="pct"/>
                  <w:vAlign w:val="center"/>
                </w:tcPr>
                <w:p w14:paraId="7C12B239">
                  <w:pPr>
                    <w:pStyle w:val="15"/>
                    <w:rPr>
                      <w:rFonts w:hint="default" w:eastAsia="宋体"/>
                      <w:lang w:val="en-US" w:eastAsia="zh-CN"/>
                    </w:rPr>
                  </w:pPr>
                  <w:r>
                    <w:rPr>
                      <w:rFonts w:hint="eastAsia"/>
                      <w:lang w:val="en-US" w:eastAsia="zh-CN"/>
                    </w:rPr>
                    <w:t>27.9</w:t>
                  </w:r>
                </w:p>
              </w:tc>
            </w:tr>
            <w:tr w14:paraId="2296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F12D005">
                  <w:pPr>
                    <w:pStyle w:val="15"/>
                  </w:pPr>
                </w:p>
              </w:tc>
              <w:tc>
                <w:tcPr>
                  <w:tcW w:w="574" w:type="pct"/>
                  <w:vMerge w:val="continue"/>
                  <w:vAlign w:val="center"/>
                </w:tcPr>
                <w:p w14:paraId="3008352B">
                  <w:pPr>
                    <w:pStyle w:val="15"/>
                  </w:pPr>
                </w:p>
              </w:tc>
              <w:tc>
                <w:tcPr>
                  <w:tcW w:w="595" w:type="pct"/>
                  <w:vMerge w:val="continue"/>
                  <w:vAlign w:val="center"/>
                </w:tcPr>
                <w:p w14:paraId="513E26E1">
                  <w:pPr>
                    <w:pStyle w:val="15"/>
                  </w:pPr>
                </w:p>
              </w:tc>
              <w:tc>
                <w:tcPr>
                  <w:tcW w:w="503" w:type="pct"/>
                  <w:vMerge w:val="continue"/>
                  <w:vAlign w:val="center"/>
                </w:tcPr>
                <w:p w14:paraId="62CA6275">
                  <w:pPr>
                    <w:pStyle w:val="15"/>
                  </w:pPr>
                </w:p>
              </w:tc>
              <w:tc>
                <w:tcPr>
                  <w:tcW w:w="321" w:type="pct"/>
                  <w:vAlign w:val="center"/>
                </w:tcPr>
                <w:p w14:paraId="20A1BED2">
                  <w:pPr>
                    <w:pStyle w:val="15"/>
                  </w:pPr>
                  <w:r>
                    <w:rPr>
                      <w:rFonts w:hint="eastAsia"/>
                    </w:rPr>
                    <w:t>南</w:t>
                  </w:r>
                </w:p>
              </w:tc>
              <w:tc>
                <w:tcPr>
                  <w:tcW w:w="419" w:type="pct"/>
                  <w:vAlign w:val="center"/>
                </w:tcPr>
                <w:p w14:paraId="24AA28F4">
                  <w:pPr>
                    <w:pStyle w:val="15"/>
                    <w:rPr>
                      <w:rFonts w:hint="default" w:eastAsia="宋体"/>
                      <w:lang w:val="en-US" w:eastAsia="zh-CN"/>
                    </w:rPr>
                  </w:pPr>
                  <w:r>
                    <w:rPr>
                      <w:rFonts w:hint="eastAsia"/>
                      <w:lang w:val="en-US" w:eastAsia="zh-CN"/>
                    </w:rPr>
                    <w:t>20</w:t>
                  </w:r>
                </w:p>
              </w:tc>
              <w:tc>
                <w:tcPr>
                  <w:tcW w:w="653" w:type="pct"/>
                  <w:vAlign w:val="center"/>
                </w:tcPr>
                <w:p w14:paraId="09D8C20D">
                  <w:pPr>
                    <w:pStyle w:val="15"/>
                    <w:rPr>
                      <w:rFonts w:hint="default" w:eastAsia="宋体"/>
                      <w:lang w:val="en-US" w:eastAsia="zh-CN"/>
                    </w:rPr>
                  </w:pPr>
                  <w:r>
                    <w:rPr>
                      <w:rFonts w:hint="eastAsia"/>
                      <w:lang w:val="en-US" w:eastAsia="zh-CN"/>
                    </w:rPr>
                    <w:t>58.9</w:t>
                  </w:r>
                </w:p>
              </w:tc>
              <w:tc>
                <w:tcPr>
                  <w:tcW w:w="325" w:type="pct"/>
                  <w:vMerge w:val="continue"/>
                  <w:vAlign w:val="center"/>
                </w:tcPr>
                <w:p w14:paraId="1F3441A8">
                  <w:pPr>
                    <w:pStyle w:val="15"/>
                  </w:pPr>
                </w:p>
              </w:tc>
              <w:tc>
                <w:tcPr>
                  <w:tcW w:w="609" w:type="pct"/>
                  <w:vMerge w:val="continue"/>
                  <w:vAlign w:val="center"/>
                </w:tcPr>
                <w:p w14:paraId="2E505A95">
                  <w:pPr>
                    <w:pStyle w:val="15"/>
                  </w:pPr>
                </w:p>
              </w:tc>
              <w:tc>
                <w:tcPr>
                  <w:tcW w:w="653" w:type="pct"/>
                  <w:vAlign w:val="center"/>
                </w:tcPr>
                <w:p w14:paraId="04A9902E">
                  <w:pPr>
                    <w:pStyle w:val="15"/>
                    <w:rPr>
                      <w:rFonts w:hint="default" w:eastAsia="宋体"/>
                      <w:lang w:val="en-US" w:eastAsia="zh-CN"/>
                    </w:rPr>
                  </w:pPr>
                  <w:r>
                    <w:rPr>
                      <w:rFonts w:hint="eastAsia"/>
                      <w:lang w:val="en-US" w:eastAsia="zh-CN"/>
                    </w:rPr>
                    <w:t>33.9</w:t>
                  </w:r>
                </w:p>
              </w:tc>
            </w:tr>
            <w:tr w14:paraId="3F6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49611E5C">
                  <w:pPr>
                    <w:pStyle w:val="15"/>
                  </w:pPr>
                </w:p>
              </w:tc>
              <w:tc>
                <w:tcPr>
                  <w:tcW w:w="574" w:type="pct"/>
                  <w:vMerge w:val="continue"/>
                  <w:vAlign w:val="center"/>
                </w:tcPr>
                <w:p w14:paraId="6C9F87F7">
                  <w:pPr>
                    <w:pStyle w:val="15"/>
                  </w:pPr>
                </w:p>
              </w:tc>
              <w:tc>
                <w:tcPr>
                  <w:tcW w:w="595" w:type="pct"/>
                  <w:vMerge w:val="continue"/>
                  <w:vAlign w:val="center"/>
                </w:tcPr>
                <w:p w14:paraId="6F458DCA">
                  <w:pPr>
                    <w:pStyle w:val="15"/>
                  </w:pPr>
                </w:p>
              </w:tc>
              <w:tc>
                <w:tcPr>
                  <w:tcW w:w="503" w:type="pct"/>
                  <w:vMerge w:val="continue"/>
                  <w:vAlign w:val="center"/>
                </w:tcPr>
                <w:p w14:paraId="6A4AA324">
                  <w:pPr>
                    <w:pStyle w:val="15"/>
                  </w:pPr>
                </w:p>
              </w:tc>
              <w:tc>
                <w:tcPr>
                  <w:tcW w:w="321" w:type="pct"/>
                  <w:vAlign w:val="center"/>
                </w:tcPr>
                <w:p w14:paraId="5A66E25E">
                  <w:pPr>
                    <w:pStyle w:val="15"/>
                  </w:pPr>
                  <w:r>
                    <w:rPr>
                      <w:rFonts w:hint="eastAsia"/>
                    </w:rPr>
                    <w:t>西</w:t>
                  </w:r>
                </w:p>
              </w:tc>
              <w:tc>
                <w:tcPr>
                  <w:tcW w:w="419" w:type="pct"/>
                  <w:vAlign w:val="center"/>
                </w:tcPr>
                <w:p w14:paraId="0F5A2D17">
                  <w:pPr>
                    <w:pStyle w:val="15"/>
                    <w:rPr>
                      <w:rFonts w:hint="default" w:eastAsia="宋体"/>
                      <w:lang w:val="en-US" w:eastAsia="zh-CN"/>
                    </w:rPr>
                  </w:pPr>
                  <w:r>
                    <w:rPr>
                      <w:rFonts w:hint="eastAsia"/>
                      <w:lang w:val="en-US" w:eastAsia="zh-CN"/>
                    </w:rPr>
                    <w:t>10</w:t>
                  </w:r>
                </w:p>
              </w:tc>
              <w:tc>
                <w:tcPr>
                  <w:tcW w:w="653" w:type="pct"/>
                  <w:vAlign w:val="center"/>
                </w:tcPr>
                <w:p w14:paraId="344E320E">
                  <w:pPr>
                    <w:pStyle w:val="15"/>
                    <w:rPr>
                      <w:rFonts w:hint="default" w:eastAsia="宋体"/>
                      <w:lang w:val="en-US" w:eastAsia="zh-CN"/>
                    </w:rPr>
                  </w:pPr>
                  <w:r>
                    <w:rPr>
                      <w:rFonts w:hint="eastAsia"/>
                      <w:lang w:val="en-US" w:eastAsia="zh-CN"/>
                    </w:rPr>
                    <w:t>65.0</w:t>
                  </w:r>
                </w:p>
              </w:tc>
              <w:tc>
                <w:tcPr>
                  <w:tcW w:w="325" w:type="pct"/>
                  <w:vMerge w:val="continue"/>
                  <w:vAlign w:val="center"/>
                </w:tcPr>
                <w:p w14:paraId="3141CCE7">
                  <w:pPr>
                    <w:pStyle w:val="15"/>
                  </w:pPr>
                </w:p>
              </w:tc>
              <w:tc>
                <w:tcPr>
                  <w:tcW w:w="609" w:type="pct"/>
                  <w:vMerge w:val="continue"/>
                  <w:vAlign w:val="center"/>
                </w:tcPr>
                <w:p w14:paraId="423B21CE">
                  <w:pPr>
                    <w:pStyle w:val="15"/>
                  </w:pPr>
                </w:p>
              </w:tc>
              <w:tc>
                <w:tcPr>
                  <w:tcW w:w="653" w:type="pct"/>
                  <w:vAlign w:val="center"/>
                </w:tcPr>
                <w:p w14:paraId="1ECCC260">
                  <w:pPr>
                    <w:pStyle w:val="15"/>
                    <w:rPr>
                      <w:rFonts w:hint="default" w:eastAsia="宋体"/>
                      <w:lang w:val="en-US" w:eastAsia="zh-CN"/>
                    </w:rPr>
                  </w:pPr>
                  <w:r>
                    <w:rPr>
                      <w:rFonts w:hint="eastAsia"/>
                      <w:lang w:val="en-US" w:eastAsia="zh-CN"/>
                    </w:rPr>
                    <w:t>40.0</w:t>
                  </w:r>
                </w:p>
              </w:tc>
            </w:tr>
            <w:tr w14:paraId="4BB5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5A05FD68">
                  <w:pPr>
                    <w:pStyle w:val="15"/>
                  </w:pPr>
                </w:p>
              </w:tc>
              <w:tc>
                <w:tcPr>
                  <w:tcW w:w="574" w:type="pct"/>
                  <w:vMerge w:val="continue"/>
                  <w:vAlign w:val="center"/>
                </w:tcPr>
                <w:p w14:paraId="6C79816B">
                  <w:pPr>
                    <w:pStyle w:val="15"/>
                  </w:pPr>
                </w:p>
              </w:tc>
              <w:tc>
                <w:tcPr>
                  <w:tcW w:w="595" w:type="pct"/>
                  <w:vMerge w:val="continue"/>
                  <w:vAlign w:val="center"/>
                </w:tcPr>
                <w:p w14:paraId="244E7E33">
                  <w:pPr>
                    <w:pStyle w:val="15"/>
                  </w:pPr>
                </w:p>
              </w:tc>
              <w:tc>
                <w:tcPr>
                  <w:tcW w:w="503" w:type="pct"/>
                  <w:vMerge w:val="continue"/>
                  <w:vAlign w:val="center"/>
                </w:tcPr>
                <w:p w14:paraId="480FF8FD">
                  <w:pPr>
                    <w:pStyle w:val="15"/>
                  </w:pPr>
                </w:p>
              </w:tc>
              <w:tc>
                <w:tcPr>
                  <w:tcW w:w="321" w:type="pct"/>
                  <w:vAlign w:val="center"/>
                </w:tcPr>
                <w:p w14:paraId="70884104">
                  <w:pPr>
                    <w:pStyle w:val="15"/>
                  </w:pPr>
                  <w:r>
                    <w:rPr>
                      <w:rFonts w:hint="eastAsia"/>
                    </w:rPr>
                    <w:t>北</w:t>
                  </w:r>
                </w:p>
              </w:tc>
              <w:tc>
                <w:tcPr>
                  <w:tcW w:w="419" w:type="pct"/>
                  <w:vAlign w:val="center"/>
                </w:tcPr>
                <w:p w14:paraId="74ADE768">
                  <w:pPr>
                    <w:pStyle w:val="15"/>
                    <w:rPr>
                      <w:rFonts w:hint="eastAsia" w:eastAsia="宋体"/>
                      <w:lang w:val="en-US" w:eastAsia="zh-CN"/>
                    </w:rPr>
                  </w:pPr>
                  <w:r>
                    <w:rPr>
                      <w:rFonts w:hint="eastAsia"/>
                      <w:lang w:val="en-US" w:eastAsia="zh-CN"/>
                    </w:rPr>
                    <w:t>8</w:t>
                  </w:r>
                </w:p>
              </w:tc>
              <w:tc>
                <w:tcPr>
                  <w:tcW w:w="653" w:type="pct"/>
                  <w:vAlign w:val="center"/>
                </w:tcPr>
                <w:p w14:paraId="7AE95ADB">
                  <w:pPr>
                    <w:pStyle w:val="15"/>
                    <w:rPr>
                      <w:rFonts w:hint="default" w:eastAsia="宋体"/>
                      <w:lang w:val="en-US" w:eastAsia="zh-CN"/>
                    </w:rPr>
                  </w:pPr>
                  <w:r>
                    <w:rPr>
                      <w:rFonts w:hint="eastAsia"/>
                      <w:lang w:val="en-US" w:eastAsia="zh-CN"/>
                    </w:rPr>
                    <w:t>66.9</w:t>
                  </w:r>
                </w:p>
              </w:tc>
              <w:tc>
                <w:tcPr>
                  <w:tcW w:w="325" w:type="pct"/>
                  <w:vMerge w:val="continue"/>
                  <w:vAlign w:val="center"/>
                </w:tcPr>
                <w:p w14:paraId="69088D2C">
                  <w:pPr>
                    <w:pStyle w:val="15"/>
                  </w:pPr>
                </w:p>
              </w:tc>
              <w:tc>
                <w:tcPr>
                  <w:tcW w:w="609" w:type="pct"/>
                  <w:vMerge w:val="continue"/>
                  <w:vAlign w:val="center"/>
                </w:tcPr>
                <w:p w14:paraId="3BB57FA7">
                  <w:pPr>
                    <w:pStyle w:val="15"/>
                  </w:pPr>
                </w:p>
              </w:tc>
              <w:tc>
                <w:tcPr>
                  <w:tcW w:w="653" w:type="pct"/>
                  <w:vAlign w:val="center"/>
                </w:tcPr>
                <w:p w14:paraId="5D1FE49F">
                  <w:pPr>
                    <w:pStyle w:val="15"/>
                    <w:rPr>
                      <w:rFonts w:hint="default" w:eastAsia="宋体"/>
                      <w:lang w:val="en-US" w:eastAsia="zh-CN"/>
                    </w:rPr>
                  </w:pPr>
                  <w:r>
                    <w:rPr>
                      <w:rFonts w:hint="eastAsia"/>
                      <w:lang w:val="en-US" w:eastAsia="zh-CN"/>
                    </w:rPr>
                    <w:t>41.9</w:t>
                  </w:r>
                </w:p>
              </w:tc>
            </w:tr>
            <w:tr w14:paraId="2F83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396D037">
                  <w:pPr>
                    <w:pStyle w:val="15"/>
                  </w:pPr>
                </w:p>
              </w:tc>
              <w:tc>
                <w:tcPr>
                  <w:tcW w:w="574" w:type="pct"/>
                  <w:vMerge w:val="restart"/>
                  <w:vAlign w:val="center"/>
                </w:tcPr>
                <w:p w14:paraId="71A2210E">
                  <w:pPr>
                    <w:pStyle w:val="15"/>
                  </w:pPr>
                  <w:r>
                    <w:rPr>
                      <w:rFonts w:hint="eastAsia"/>
                      <w:lang w:val="en-US" w:eastAsia="zh-CN"/>
                    </w:rPr>
                    <w:t>热风炉</w:t>
                  </w:r>
                </w:p>
              </w:tc>
              <w:tc>
                <w:tcPr>
                  <w:tcW w:w="595" w:type="pct"/>
                  <w:vMerge w:val="restart"/>
                  <w:vAlign w:val="center"/>
                </w:tcPr>
                <w:p w14:paraId="48624BF0">
                  <w:pPr>
                    <w:pStyle w:val="15"/>
                    <w:rPr>
                      <w:rFonts w:hint="default" w:eastAsia="宋体"/>
                      <w:lang w:val="en-US" w:eastAsia="zh-CN"/>
                    </w:rPr>
                  </w:pPr>
                  <w:r>
                    <w:rPr>
                      <w:rFonts w:hint="eastAsia"/>
                      <w:lang w:val="en-US" w:eastAsia="zh-CN"/>
                    </w:rPr>
                    <w:t>80</w:t>
                  </w:r>
                </w:p>
              </w:tc>
              <w:tc>
                <w:tcPr>
                  <w:tcW w:w="503" w:type="pct"/>
                  <w:vMerge w:val="continue"/>
                  <w:vAlign w:val="center"/>
                </w:tcPr>
                <w:p w14:paraId="398FB216">
                  <w:pPr>
                    <w:pStyle w:val="15"/>
                  </w:pPr>
                </w:p>
              </w:tc>
              <w:tc>
                <w:tcPr>
                  <w:tcW w:w="321" w:type="pct"/>
                  <w:vAlign w:val="center"/>
                </w:tcPr>
                <w:p w14:paraId="630519C1">
                  <w:pPr>
                    <w:pStyle w:val="15"/>
                  </w:pPr>
                  <w:r>
                    <w:rPr>
                      <w:rFonts w:hint="eastAsia"/>
                    </w:rPr>
                    <w:t>东</w:t>
                  </w:r>
                </w:p>
              </w:tc>
              <w:tc>
                <w:tcPr>
                  <w:tcW w:w="419" w:type="pct"/>
                  <w:vAlign w:val="center"/>
                </w:tcPr>
                <w:p w14:paraId="2336337E">
                  <w:pPr>
                    <w:pStyle w:val="15"/>
                    <w:rPr>
                      <w:rFonts w:hint="default" w:eastAsia="宋体"/>
                      <w:lang w:val="en-US" w:eastAsia="zh-CN"/>
                    </w:rPr>
                  </w:pPr>
                  <w:r>
                    <w:rPr>
                      <w:rFonts w:hint="eastAsia"/>
                      <w:lang w:val="en-US" w:eastAsia="zh-CN"/>
                    </w:rPr>
                    <w:t>41</w:t>
                  </w:r>
                </w:p>
              </w:tc>
              <w:tc>
                <w:tcPr>
                  <w:tcW w:w="653" w:type="pct"/>
                  <w:vAlign w:val="center"/>
                </w:tcPr>
                <w:p w14:paraId="3BAAD6B4">
                  <w:pPr>
                    <w:pStyle w:val="15"/>
                    <w:rPr>
                      <w:rFonts w:hint="default" w:eastAsia="宋体"/>
                      <w:lang w:val="en-US" w:eastAsia="zh-CN"/>
                    </w:rPr>
                  </w:pPr>
                  <w:r>
                    <w:rPr>
                      <w:rFonts w:hint="eastAsia"/>
                      <w:lang w:val="en-US" w:eastAsia="zh-CN"/>
                    </w:rPr>
                    <w:t>47.4</w:t>
                  </w:r>
                </w:p>
              </w:tc>
              <w:tc>
                <w:tcPr>
                  <w:tcW w:w="325" w:type="pct"/>
                  <w:vMerge w:val="continue"/>
                  <w:vAlign w:val="center"/>
                </w:tcPr>
                <w:p w14:paraId="4014A92F">
                  <w:pPr>
                    <w:pStyle w:val="15"/>
                  </w:pPr>
                </w:p>
              </w:tc>
              <w:tc>
                <w:tcPr>
                  <w:tcW w:w="609" w:type="pct"/>
                  <w:vMerge w:val="continue"/>
                  <w:vAlign w:val="center"/>
                </w:tcPr>
                <w:p w14:paraId="4377CCF2">
                  <w:pPr>
                    <w:pStyle w:val="15"/>
                  </w:pPr>
                </w:p>
              </w:tc>
              <w:tc>
                <w:tcPr>
                  <w:tcW w:w="653" w:type="pct"/>
                  <w:vAlign w:val="center"/>
                </w:tcPr>
                <w:p w14:paraId="2AE22463">
                  <w:pPr>
                    <w:pStyle w:val="15"/>
                    <w:rPr>
                      <w:rFonts w:hint="default" w:eastAsia="宋体"/>
                      <w:lang w:val="en-US" w:eastAsia="zh-CN"/>
                    </w:rPr>
                  </w:pPr>
                  <w:r>
                    <w:rPr>
                      <w:rFonts w:hint="eastAsia"/>
                      <w:lang w:val="en-US" w:eastAsia="zh-CN"/>
                    </w:rPr>
                    <w:t>22.4</w:t>
                  </w:r>
                </w:p>
              </w:tc>
            </w:tr>
            <w:tr w14:paraId="272E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8964CF6">
                  <w:pPr>
                    <w:pStyle w:val="15"/>
                  </w:pPr>
                </w:p>
              </w:tc>
              <w:tc>
                <w:tcPr>
                  <w:tcW w:w="574" w:type="pct"/>
                  <w:vMerge w:val="continue"/>
                  <w:vAlign w:val="center"/>
                </w:tcPr>
                <w:p w14:paraId="59B8EF56">
                  <w:pPr>
                    <w:pStyle w:val="15"/>
                  </w:pPr>
                </w:p>
              </w:tc>
              <w:tc>
                <w:tcPr>
                  <w:tcW w:w="595" w:type="pct"/>
                  <w:vMerge w:val="continue"/>
                  <w:vAlign w:val="center"/>
                </w:tcPr>
                <w:p w14:paraId="273EE854">
                  <w:pPr>
                    <w:pStyle w:val="15"/>
                  </w:pPr>
                </w:p>
              </w:tc>
              <w:tc>
                <w:tcPr>
                  <w:tcW w:w="503" w:type="pct"/>
                  <w:vMerge w:val="continue"/>
                  <w:vAlign w:val="center"/>
                </w:tcPr>
                <w:p w14:paraId="3C851443">
                  <w:pPr>
                    <w:pStyle w:val="15"/>
                  </w:pPr>
                </w:p>
              </w:tc>
              <w:tc>
                <w:tcPr>
                  <w:tcW w:w="321" w:type="pct"/>
                  <w:vAlign w:val="center"/>
                </w:tcPr>
                <w:p w14:paraId="153DB9C5">
                  <w:pPr>
                    <w:pStyle w:val="15"/>
                  </w:pPr>
                  <w:r>
                    <w:rPr>
                      <w:rFonts w:hint="eastAsia"/>
                    </w:rPr>
                    <w:t>南</w:t>
                  </w:r>
                </w:p>
              </w:tc>
              <w:tc>
                <w:tcPr>
                  <w:tcW w:w="419" w:type="pct"/>
                  <w:vAlign w:val="center"/>
                </w:tcPr>
                <w:p w14:paraId="6D987B1D">
                  <w:pPr>
                    <w:pStyle w:val="15"/>
                    <w:rPr>
                      <w:rFonts w:hint="default" w:eastAsia="宋体"/>
                      <w:lang w:val="en-US" w:eastAsia="zh-CN"/>
                    </w:rPr>
                  </w:pPr>
                  <w:r>
                    <w:rPr>
                      <w:rFonts w:hint="eastAsia"/>
                      <w:lang w:val="en-US" w:eastAsia="zh-CN"/>
                    </w:rPr>
                    <w:t>20</w:t>
                  </w:r>
                </w:p>
              </w:tc>
              <w:tc>
                <w:tcPr>
                  <w:tcW w:w="653" w:type="pct"/>
                  <w:vAlign w:val="center"/>
                </w:tcPr>
                <w:p w14:paraId="4FDD7F75">
                  <w:pPr>
                    <w:pStyle w:val="15"/>
                    <w:rPr>
                      <w:rFonts w:hint="default" w:eastAsia="宋体"/>
                      <w:lang w:val="en-US" w:eastAsia="zh-CN"/>
                    </w:rPr>
                  </w:pPr>
                  <w:r>
                    <w:rPr>
                      <w:rFonts w:hint="eastAsia"/>
                      <w:lang w:val="en-US" w:eastAsia="zh-CN"/>
                    </w:rPr>
                    <w:t>53.9</w:t>
                  </w:r>
                </w:p>
              </w:tc>
              <w:tc>
                <w:tcPr>
                  <w:tcW w:w="325" w:type="pct"/>
                  <w:vMerge w:val="continue"/>
                  <w:vAlign w:val="center"/>
                </w:tcPr>
                <w:p w14:paraId="47820392">
                  <w:pPr>
                    <w:pStyle w:val="15"/>
                  </w:pPr>
                </w:p>
              </w:tc>
              <w:tc>
                <w:tcPr>
                  <w:tcW w:w="609" w:type="pct"/>
                  <w:vMerge w:val="continue"/>
                  <w:vAlign w:val="center"/>
                </w:tcPr>
                <w:p w14:paraId="700927B2">
                  <w:pPr>
                    <w:pStyle w:val="15"/>
                  </w:pPr>
                </w:p>
              </w:tc>
              <w:tc>
                <w:tcPr>
                  <w:tcW w:w="653" w:type="pct"/>
                  <w:vAlign w:val="center"/>
                </w:tcPr>
                <w:p w14:paraId="2B42E5D2">
                  <w:pPr>
                    <w:pStyle w:val="15"/>
                    <w:rPr>
                      <w:rFonts w:hint="default" w:eastAsia="宋体"/>
                      <w:lang w:val="en-US" w:eastAsia="zh-CN"/>
                    </w:rPr>
                  </w:pPr>
                  <w:r>
                    <w:rPr>
                      <w:rFonts w:hint="eastAsia"/>
                      <w:lang w:val="en-US" w:eastAsia="zh-CN"/>
                    </w:rPr>
                    <w:t>28.0</w:t>
                  </w:r>
                </w:p>
              </w:tc>
            </w:tr>
            <w:tr w14:paraId="37E0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091178F1">
                  <w:pPr>
                    <w:pStyle w:val="15"/>
                  </w:pPr>
                </w:p>
              </w:tc>
              <w:tc>
                <w:tcPr>
                  <w:tcW w:w="574" w:type="pct"/>
                  <w:vMerge w:val="continue"/>
                  <w:vAlign w:val="center"/>
                </w:tcPr>
                <w:p w14:paraId="01F7D4BD">
                  <w:pPr>
                    <w:pStyle w:val="15"/>
                  </w:pPr>
                </w:p>
              </w:tc>
              <w:tc>
                <w:tcPr>
                  <w:tcW w:w="595" w:type="pct"/>
                  <w:vMerge w:val="continue"/>
                  <w:vAlign w:val="center"/>
                </w:tcPr>
                <w:p w14:paraId="1279149F">
                  <w:pPr>
                    <w:pStyle w:val="15"/>
                  </w:pPr>
                </w:p>
              </w:tc>
              <w:tc>
                <w:tcPr>
                  <w:tcW w:w="503" w:type="pct"/>
                  <w:vMerge w:val="continue"/>
                  <w:vAlign w:val="center"/>
                </w:tcPr>
                <w:p w14:paraId="53246906">
                  <w:pPr>
                    <w:pStyle w:val="15"/>
                  </w:pPr>
                </w:p>
              </w:tc>
              <w:tc>
                <w:tcPr>
                  <w:tcW w:w="321" w:type="pct"/>
                  <w:vAlign w:val="center"/>
                </w:tcPr>
                <w:p w14:paraId="6BF4F2B5">
                  <w:pPr>
                    <w:pStyle w:val="15"/>
                  </w:pPr>
                  <w:r>
                    <w:rPr>
                      <w:rFonts w:hint="eastAsia"/>
                    </w:rPr>
                    <w:t>西</w:t>
                  </w:r>
                </w:p>
              </w:tc>
              <w:tc>
                <w:tcPr>
                  <w:tcW w:w="419" w:type="pct"/>
                  <w:vAlign w:val="center"/>
                </w:tcPr>
                <w:p w14:paraId="3DFA1D68">
                  <w:pPr>
                    <w:pStyle w:val="15"/>
                    <w:rPr>
                      <w:rFonts w:hint="default" w:eastAsia="宋体"/>
                      <w:lang w:val="en-US" w:eastAsia="zh-CN"/>
                    </w:rPr>
                  </w:pPr>
                  <w:r>
                    <w:rPr>
                      <w:rFonts w:hint="eastAsia"/>
                      <w:lang w:val="en-US" w:eastAsia="zh-CN"/>
                    </w:rPr>
                    <w:t>9</w:t>
                  </w:r>
                </w:p>
              </w:tc>
              <w:tc>
                <w:tcPr>
                  <w:tcW w:w="653" w:type="pct"/>
                  <w:vAlign w:val="center"/>
                </w:tcPr>
                <w:p w14:paraId="2B12283B">
                  <w:pPr>
                    <w:pStyle w:val="15"/>
                    <w:rPr>
                      <w:rFonts w:hint="default" w:eastAsia="宋体"/>
                      <w:lang w:val="en-US" w:eastAsia="zh-CN"/>
                    </w:rPr>
                  </w:pPr>
                  <w:r>
                    <w:rPr>
                      <w:rFonts w:hint="eastAsia"/>
                      <w:lang w:val="en-US" w:eastAsia="zh-CN"/>
                    </w:rPr>
                    <w:t>60.9</w:t>
                  </w:r>
                </w:p>
              </w:tc>
              <w:tc>
                <w:tcPr>
                  <w:tcW w:w="325" w:type="pct"/>
                  <w:vMerge w:val="continue"/>
                  <w:vAlign w:val="center"/>
                </w:tcPr>
                <w:p w14:paraId="2E92B137">
                  <w:pPr>
                    <w:pStyle w:val="15"/>
                  </w:pPr>
                </w:p>
              </w:tc>
              <w:tc>
                <w:tcPr>
                  <w:tcW w:w="609" w:type="pct"/>
                  <w:vMerge w:val="continue"/>
                  <w:vAlign w:val="center"/>
                </w:tcPr>
                <w:p w14:paraId="43F90585">
                  <w:pPr>
                    <w:pStyle w:val="15"/>
                  </w:pPr>
                </w:p>
              </w:tc>
              <w:tc>
                <w:tcPr>
                  <w:tcW w:w="653" w:type="pct"/>
                  <w:vAlign w:val="center"/>
                </w:tcPr>
                <w:p w14:paraId="698190A4">
                  <w:pPr>
                    <w:pStyle w:val="15"/>
                    <w:rPr>
                      <w:rFonts w:hint="default" w:eastAsia="宋体"/>
                      <w:lang w:val="en-US" w:eastAsia="zh-CN"/>
                    </w:rPr>
                  </w:pPr>
                  <w:r>
                    <w:rPr>
                      <w:rFonts w:hint="eastAsia"/>
                      <w:lang w:val="en-US" w:eastAsia="zh-CN"/>
                    </w:rPr>
                    <w:t>35.9</w:t>
                  </w:r>
                </w:p>
              </w:tc>
            </w:tr>
            <w:tr w14:paraId="73CC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7CD83028">
                  <w:pPr>
                    <w:pStyle w:val="15"/>
                  </w:pPr>
                </w:p>
              </w:tc>
              <w:tc>
                <w:tcPr>
                  <w:tcW w:w="574" w:type="pct"/>
                  <w:vMerge w:val="continue"/>
                  <w:vAlign w:val="center"/>
                </w:tcPr>
                <w:p w14:paraId="5F49A8E5">
                  <w:pPr>
                    <w:pStyle w:val="15"/>
                  </w:pPr>
                </w:p>
              </w:tc>
              <w:tc>
                <w:tcPr>
                  <w:tcW w:w="595" w:type="pct"/>
                  <w:vMerge w:val="continue"/>
                  <w:vAlign w:val="center"/>
                </w:tcPr>
                <w:p w14:paraId="24D9160C">
                  <w:pPr>
                    <w:pStyle w:val="15"/>
                  </w:pPr>
                </w:p>
              </w:tc>
              <w:tc>
                <w:tcPr>
                  <w:tcW w:w="503" w:type="pct"/>
                  <w:vMerge w:val="continue"/>
                  <w:vAlign w:val="center"/>
                </w:tcPr>
                <w:p w14:paraId="623A3795">
                  <w:pPr>
                    <w:pStyle w:val="15"/>
                  </w:pPr>
                </w:p>
              </w:tc>
              <w:tc>
                <w:tcPr>
                  <w:tcW w:w="321" w:type="pct"/>
                  <w:vAlign w:val="center"/>
                </w:tcPr>
                <w:p w14:paraId="3B9F1504">
                  <w:pPr>
                    <w:pStyle w:val="15"/>
                  </w:pPr>
                  <w:r>
                    <w:rPr>
                      <w:rFonts w:hint="eastAsia"/>
                    </w:rPr>
                    <w:t>北</w:t>
                  </w:r>
                </w:p>
              </w:tc>
              <w:tc>
                <w:tcPr>
                  <w:tcW w:w="419" w:type="pct"/>
                  <w:vAlign w:val="center"/>
                </w:tcPr>
                <w:p w14:paraId="4680E413">
                  <w:pPr>
                    <w:pStyle w:val="15"/>
                    <w:rPr>
                      <w:rFonts w:hint="default" w:eastAsia="宋体"/>
                      <w:lang w:val="en-US" w:eastAsia="zh-CN"/>
                    </w:rPr>
                  </w:pPr>
                  <w:r>
                    <w:rPr>
                      <w:rFonts w:hint="eastAsia"/>
                      <w:lang w:val="en-US" w:eastAsia="zh-CN"/>
                    </w:rPr>
                    <w:t>8</w:t>
                  </w:r>
                </w:p>
              </w:tc>
              <w:tc>
                <w:tcPr>
                  <w:tcW w:w="653" w:type="pct"/>
                  <w:vAlign w:val="center"/>
                </w:tcPr>
                <w:p w14:paraId="043558EE">
                  <w:pPr>
                    <w:pStyle w:val="15"/>
                    <w:rPr>
                      <w:rFonts w:hint="default" w:eastAsia="宋体"/>
                      <w:lang w:val="en-US" w:eastAsia="zh-CN"/>
                    </w:rPr>
                  </w:pPr>
                  <w:r>
                    <w:rPr>
                      <w:rFonts w:hint="eastAsia"/>
                      <w:lang w:val="en-US" w:eastAsia="zh-CN"/>
                    </w:rPr>
                    <w:t>61.9</w:t>
                  </w:r>
                </w:p>
              </w:tc>
              <w:tc>
                <w:tcPr>
                  <w:tcW w:w="325" w:type="pct"/>
                  <w:vMerge w:val="continue"/>
                  <w:vAlign w:val="center"/>
                </w:tcPr>
                <w:p w14:paraId="53722232">
                  <w:pPr>
                    <w:pStyle w:val="15"/>
                  </w:pPr>
                </w:p>
              </w:tc>
              <w:tc>
                <w:tcPr>
                  <w:tcW w:w="609" w:type="pct"/>
                  <w:vMerge w:val="continue"/>
                  <w:vAlign w:val="center"/>
                </w:tcPr>
                <w:p w14:paraId="0C9A29CD">
                  <w:pPr>
                    <w:pStyle w:val="15"/>
                  </w:pPr>
                </w:p>
              </w:tc>
              <w:tc>
                <w:tcPr>
                  <w:tcW w:w="653" w:type="pct"/>
                  <w:vAlign w:val="center"/>
                </w:tcPr>
                <w:p w14:paraId="061AD6F2">
                  <w:pPr>
                    <w:pStyle w:val="15"/>
                    <w:rPr>
                      <w:rFonts w:hint="default" w:eastAsia="宋体"/>
                      <w:lang w:val="en-US" w:eastAsia="zh-CN"/>
                    </w:rPr>
                  </w:pPr>
                  <w:r>
                    <w:rPr>
                      <w:rFonts w:hint="eastAsia"/>
                      <w:lang w:val="en-US" w:eastAsia="zh-CN"/>
                    </w:rPr>
                    <w:t>36.9</w:t>
                  </w:r>
                </w:p>
              </w:tc>
            </w:tr>
            <w:tr w14:paraId="3137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4" w:type="pct"/>
                  <w:vMerge w:val="continue"/>
                  <w:vAlign w:val="center"/>
                </w:tcPr>
                <w:p w14:paraId="57F54692">
                  <w:pPr>
                    <w:pStyle w:val="15"/>
                  </w:pPr>
                </w:p>
              </w:tc>
              <w:tc>
                <w:tcPr>
                  <w:tcW w:w="574" w:type="pct"/>
                  <w:vMerge w:val="restart"/>
                  <w:vAlign w:val="center"/>
                </w:tcPr>
                <w:p w14:paraId="107790C6">
                  <w:pPr>
                    <w:pStyle w:val="15"/>
                  </w:pPr>
                  <w:r>
                    <w:rPr>
                      <w:rFonts w:hint="eastAsia"/>
                      <w:lang w:val="en-US" w:eastAsia="zh-CN"/>
                    </w:rPr>
                    <w:t>振动流化床</w:t>
                  </w:r>
                </w:p>
              </w:tc>
              <w:tc>
                <w:tcPr>
                  <w:tcW w:w="595" w:type="pct"/>
                  <w:vMerge w:val="restart"/>
                  <w:vAlign w:val="center"/>
                </w:tcPr>
                <w:p w14:paraId="463FF63F">
                  <w:pPr>
                    <w:pStyle w:val="15"/>
                    <w:rPr>
                      <w:rFonts w:hint="default" w:eastAsia="宋体"/>
                      <w:lang w:val="en-US" w:eastAsia="zh-CN"/>
                    </w:rPr>
                  </w:pPr>
                  <w:r>
                    <w:rPr>
                      <w:rFonts w:hint="eastAsia"/>
                      <w:lang w:val="en-US" w:eastAsia="zh-CN"/>
                    </w:rPr>
                    <w:t>80</w:t>
                  </w:r>
                </w:p>
              </w:tc>
              <w:tc>
                <w:tcPr>
                  <w:tcW w:w="503" w:type="pct"/>
                  <w:vMerge w:val="continue"/>
                  <w:vAlign w:val="center"/>
                </w:tcPr>
                <w:p w14:paraId="0AF4A103">
                  <w:pPr>
                    <w:pStyle w:val="15"/>
                  </w:pPr>
                </w:p>
              </w:tc>
              <w:tc>
                <w:tcPr>
                  <w:tcW w:w="321" w:type="pct"/>
                  <w:shd w:val="clear" w:color="auto" w:fill="auto"/>
                  <w:vAlign w:val="center"/>
                </w:tcPr>
                <w:p w14:paraId="27986640">
                  <w:pPr>
                    <w:pStyle w:val="15"/>
                  </w:pPr>
                  <w:r>
                    <w:rPr>
                      <w:rFonts w:hint="eastAsia"/>
                    </w:rPr>
                    <w:t>东</w:t>
                  </w:r>
                </w:p>
              </w:tc>
              <w:tc>
                <w:tcPr>
                  <w:tcW w:w="419" w:type="pct"/>
                  <w:shd w:val="clear" w:color="auto" w:fill="auto"/>
                  <w:vAlign w:val="center"/>
                </w:tcPr>
                <w:p w14:paraId="59E73F10">
                  <w:pPr>
                    <w:pStyle w:val="15"/>
                    <w:rPr>
                      <w:rFonts w:hint="default" w:eastAsia="宋体"/>
                      <w:lang w:val="en-US" w:eastAsia="zh-CN"/>
                    </w:rPr>
                  </w:pPr>
                  <w:r>
                    <w:rPr>
                      <w:rFonts w:hint="eastAsia"/>
                      <w:lang w:val="en-US" w:eastAsia="zh-CN"/>
                    </w:rPr>
                    <w:t>42</w:t>
                  </w:r>
                </w:p>
              </w:tc>
              <w:tc>
                <w:tcPr>
                  <w:tcW w:w="653" w:type="pct"/>
                  <w:shd w:val="clear" w:color="auto" w:fill="auto"/>
                  <w:vAlign w:val="center"/>
                </w:tcPr>
                <w:p w14:paraId="5E740845">
                  <w:pPr>
                    <w:pStyle w:val="15"/>
                    <w:rPr>
                      <w:rFonts w:hint="default" w:eastAsia="宋体"/>
                      <w:lang w:val="en-US" w:eastAsia="zh-CN"/>
                    </w:rPr>
                  </w:pPr>
                  <w:r>
                    <w:rPr>
                      <w:rFonts w:hint="eastAsia"/>
                      <w:lang w:val="en-US" w:eastAsia="zh-CN"/>
                    </w:rPr>
                    <w:t>47.5</w:t>
                  </w:r>
                </w:p>
              </w:tc>
              <w:tc>
                <w:tcPr>
                  <w:tcW w:w="325" w:type="pct"/>
                  <w:vMerge w:val="continue"/>
                  <w:vAlign w:val="center"/>
                </w:tcPr>
                <w:p w14:paraId="2D2B72DF">
                  <w:pPr>
                    <w:pStyle w:val="15"/>
                  </w:pPr>
                </w:p>
              </w:tc>
              <w:tc>
                <w:tcPr>
                  <w:tcW w:w="609" w:type="pct"/>
                  <w:vMerge w:val="continue"/>
                  <w:vAlign w:val="center"/>
                </w:tcPr>
                <w:p w14:paraId="737D1AF4">
                  <w:pPr>
                    <w:pStyle w:val="15"/>
                  </w:pPr>
                </w:p>
              </w:tc>
              <w:tc>
                <w:tcPr>
                  <w:tcW w:w="653" w:type="pct"/>
                  <w:shd w:val="clear" w:color="auto" w:fill="auto"/>
                  <w:vAlign w:val="center"/>
                </w:tcPr>
                <w:p w14:paraId="7EDCF580">
                  <w:pPr>
                    <w:pStyle w:val="15"/>
                    <w:rPr>
                      <w:rFonts w:hint="default" w:eastAsia="宋体"/>
                      <w:lang w:val="en-US" w:eastAsia="zh-CN"/>
                    </w:rPr>
                  </w:pPr>
                  <w:r>
                    <w:rPr>
                      <w:rFonts w:hint="eastAsia"/>
                      <w:lang w:val="en-US" w:eastAsia="zh-CN"/>
                    </w:rPr>
                    <w:t>22.5</w:t>
                  </w:r>
                </w:p>
              </w:tc>
            </w:tr>
            <w:tr w14:paraId="01F7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601DA501">
                  <w:pPr>
                    <w:pStyle w:val="15"/>
                  </w:pPr>
                </w:p>
              </w:tc>
              <w:tc>
                <w:tcPr>
                  <w:tcW w:w="574" w:type="pct"/>
                  <w:vMerge w:val="continue"/>
                  <w:vAlign w:val="center"/>
                </w:tcPr>
                <w:p w14:paraId="7E71654D">
                  <w:pPr>
                    <w:pStyle w:val="15"/>
                  </w:pPr>
                </w:p>
              </w:tc>
              <w:tc>
                <w:tcPr>
                  <w:tcW w:w="595" w:type="pct"/>
                  <w:vMerge w:val="continue"/>
                  <w:vAlign w:val="center"/>
                </w:tcPr>
                <w:p w14:paraId="44BBBA19">
                  <w:pPr>
                    <w:pStyle w:val="15"/>
                  </w:pPr>
                </w:p>
              </w:tc>
              <w:tc>
                <w:tcPr>
                  <w:tcW w:w="503" w:type="pct"/>
                  <w:vMerge w:val="continue"/>
                  <w:vAlign w:val="center"/>
                </w:tcPr>
                <w:p w14:paraId="6CC3D967">
                  <w:pPr>
                    <w:pStyle w:val="15"/>
                  </w:pPr>
                </w:p>
              </w:tc>
              <w:tc>
                <w:tcPr>
                  <w:tcW w:w="321" w:type="pct"/>
                  <w:vAlign w:val="center"/>
                </w:tcPr>
                <w:p w14:paraId="5E483CDE">
                  <w:pPr>
                    <w:pStyle w:val="15"/>
                  </w:pPr>
                  <w:r>
                    <w:rPr>
                      <w:rFonts w:hint="eastAsia"/>
                    </w:rPr>
                    <w:t>南</w:t>
                  </w:r>
                </w:p>
              </w:tc>
              <w:tc>
                <w:tcPr>
                  <w:tcW w:w="419" w:type="pct"/>
                  <w:vAlign w:val="center"/>
                </w:tcPr>
                <w:p w14:paraId="0472C0C9">
                  <w:pPr>
                    <w:pStyle w:val="15"/>
                    <w:rPr>
                      <w:rFonts w:hint="default" w:eastAsia="宋体"/>
                      <w:lang w:val="en-US" w:eastAsia="zh-CN"/>
                    </w:rPr>
                  </w:pPr>
                  <w:r>
                    <w:rPr>
                      <w:rFonts w:hint="eastAsia"/>
                      <w:lang w:val="en-US" w:eastAsia="zh-CN"/>
                    </w:rPr>
                    <w:t>20</w:t>
                  </w:r>
                </w:p>
              </w:tc>
              <w:tc>
                <w:tcPr>
                  <w:tcW w:w="653" w:type="pct"/>
                  <w:vAlign w:val="center"/>
                </w:tcPr>
                <w:p w14:paraId="2CF97AF5">
                  <w:pPr>
                    <w:pStyle w:val="15"/>
                    <w:rPr>
                      <w:rFonts w:hint="default" w:eastAsia="宋体"/>
                      <w:lang w:val="en-US" w:eastAsia="zh-CN"/>
                    </w:rPr>
                  </w:pPr>
                  <w:r>
                    <w:rPr>
                      <w:rFonts w:hint="eastAsia"/>
                      <w:lang w:val="en-US" w:eastAsia="zh-CN"/>
                    </w:rPr>
                    <w:t>53.9</w:t>
                  </w:r>
                </w:p>
              </w:tc>
              <w:tc>
                <w:tcPr>
                  <w:tcW w:w="325" w:type="pct"/>
                  <w:vMerge w:val="continue"/>
                  <w:vAlign w:val="center"/>
                </w:tcPr>
                <w:p w14:paraId="7E01C0A8">
                  <w:pPr>
                    <w:pStyle w:val="15"/>
                  </w:pPr>
                </w:p>
              </w:tc>
              <w:tc>
                <w:tcPr>
                  <w:tcW w:w="609" w:type="pct"/>
                  <w:vMerge w:val="continue"/>
                  <w:vAlign w:val="center"/>
                </w:tcPr>
                <w:p w14:paraId="5761BE8E">
                  <w:pPr>
                    <w:pStyle w:val="15"/>
                  </w:pPr>
                </w:p>
              </w:tc>
              <w:tc>
                <w:tcPr>
                  <w:tcW w:w="653" w:type="pct"/>
                  <w:vAlign w:val="center"/>
                </w:tcPr>
                <w:p w14:paraId="0A39C5FE">
                  <w:pPr>
                    <w:pStyle w:val="15"/>
                    <w:rPr>
                      <w:rFonts w:hint="default" w:eastAsia="宋体"/>
                      <w:lang w:val="en-US" w:eastAsia="zh-CN"/>
                    </w:rPr>
                  </w:pPr>
                  <w:r>
                    <w:rPr>
                      <w:rFonts w:hint="eastAsia"/>
                      <w:lang w:val="en-US" w:eastAsia="zh-CN"/>
                    </w:rPr>
                    <w:t>28.9</w:t>
                  </w:r>
                </w:p>
              </w:tc>
            </w:tr>
            <w:tr w14:paraId="15D5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9F8CB3F">
                  <w:pPr>
                    <w:pStyle w:val="15"/>
                  </w:pPr>
                </w:p>
              </w:tc>
              <w:tc>
                <w:tcPr>
                  <w:tcW w:w="574" w:type="pct"/>
                  <w:vMerge w:val="continue"/>
                  <w:vAlign w:val="center"/>
                </w:tcPr>
                <w:p w14:paraId="305A64E2">
                  <w:pPr>
                    <w:pStyle w:val="15"/>
                  </w:pPr>
                </w:p>
              </w:tc>
              <w:tc>
                <w:tcPr>
                  <w:tcW w:w="595" w:type="pct"/>
                  <w:vMerge w:val="continue"/>
                  <w:vAlign w:val="center"/>
                </w:tcPr>
                <w:p w14:paraId="3E01A6F8">
                  <w:pPr>
                    <w:pStyle w:val="15"/>
                  </w:pPr>
                </w:p>
              </w:tc>
              <w:tc>
                <w:tcPr>
                  <w:tcW w:w="503" w:type="pct"/>
                  <w:vMerge w:val="continue"/>
                  <w:vAlign w:val="center"/>
                </w:tcPr>
                <w:p w14:paraId="204F74A2">
                  <w:pPr>
                    <w:pStyle w:val="15"/>
                  </w:pPr>
                </w:p>
              </w:tc>
              <w:tc>
                <w:tcPr>
                  <w:tcW w:w="321" w:type="pct"/>
                  <w:vAlign w:val="center"/>
                </w:tcPr>
                <w:p w14:paraId="470F7720">
                  <w:pPr>
                    <w:pStyle w:val="15"/>
                  </w:pPr>
                  <w:r>
                    <w:rPr>
                      <w:rFonts w:hint="eastAsia"/>
                    </w:rPr>
                    <w:t>西</w:t>
                  </w:r>
                </w:p>
              </w:tc>
              <w:tc>
                <w:tcPr>
                  <w:tcW w:w="419" w:type="pct"/>
                  <w:vAlign w:val="center"/>
                </w:tcPr>
                <w:p w14:paraId="2B2344F2">
                  <w:pPr>
                    <w:pStyle w:val="15"/>
                    <w:rPr>
                      <w:rFonts w:hint="default" w:eastAsia="宋体"/>
                      <w:lang w:val="en-US" w:eastAsia="zh-CN"/>
                    </w:rPr>
                  </w:pPr>
                  <w:r>
                    <w:rPr>
                      <w:rFonts w:hint="eastAsia"/>
                      <w:lang w:val="en-US" w:eastAsia="zh-CN"/>
                    </w:rPr>
                    <w:t>8</w:t>
                  </w:r>
                </w:p>
              </w:tc>
              <w:tc>
                <w:tcPr>
                  <w:tcW w:w="653" w:type="pct"/>
                  <w:vAlign w:val="center"/>
                </w:tcPr>
                <w:p w14:paraId="22F54389">
                  <w:pPr>
                    <w:pStyle w:val="15"/>
                    <w:rPr>
                      <w:rFonts w:hint="default" w:eastAsia="宋体"/>
                      <w:lang w:val="en-US" w:eastAsia="zh-CN"/>
                    </w:rPr>
                  </w:pPr>
                  <w:r>
                    <w:rPr>
                      <w:rFonts w:hint="eastAsia"/>
                      <w:lang w:val="en-US" w:eastAsia="zh-CN"/>
                    </w:rPr>
                    <w:t>61.9</w:t>
                  </w:r>
                </w:p>
              </w:tc>
              <w:tc>
                <w:tcPr>
                  <w:tcW w:w="325" w:type="pct"/>
                  <w:vMerge w:val="continue"/>
                  <w:vAlign w:val="center"/>
                </w:tcPr>
                <w:p w14:paraId="56FBD596">
                  <w:pPr>
                    <w:pStyle w:val="15"/>
                  </w:pPr>
                </w:p>
              </w:tc>
              <w:tc>
                <w:tcPr>
                  <w:tcW w:w="609" w:type="pct"/>
                  <w:vMerge w:val="continue"/>
                  <w:vAlign w:val="center"/>
                </w:tcPr>
                <w:p w14:paraId="7061E8C0">
                  <w:pPr>
                    <w:pStyle w:val="15"/>
                  </w:pPr>
                </w:p>
              </w:tc>
              <w:tc>
                <w:tcPr>
                  <w:tcW w:w="653" w:type="pct"/>
                  <w:vAlign w:val="center"/>
                </w:tcPr>
                <w:p w14:paraId="27FFA0A5">
                  <w:pPr>
                    <w:pStyle w:val="15"/>
                    <w:rPr>
                      <w:rFonts w:hint="default" w:eastAsia="宋体"/>
                      <w:lang w:val="en-US" w:eastAsia="zh-CN"/>
                    </w:rPr>
                  </w:pPr>
                  <w:r>
                    <w:rPr>
                      <w:rFonts w:hint="eastAsia"/>
                      <w:lang w:val="en-US" w:eastAsia="zh-CN"/>
                    </w:rPr>
                    <w:t>36.9</w:t>
                  </w:r>
                </w:p>
              </w:tc>
            </w:tr>
            <w:tr w14:paraId="3DA2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49BE5E28">
                  <w:pPr>
                    <w:pStyle w:val="15"/>
                  </w:pPr>
                </w:p>
              </w:tc>
              <w:tc>
                <w:tcPr>
                  <w:tcW w:w="574" w:type="pct"/>
                  <w:vMerge w:val="continue"/>
                  <w:vAlign w:val="center"/>
                </w:tcPr>
                <w:p w14:paraId="12A3D3AB">
                  <w:pPr>
                    <w:pStyle w:val="15"/>
                  </w:pPr>
                </w:p>
              </w:tc>
              <w:tc>
                <w:tcPr>
                  <w:tcW w:w="595" w:type="pct"/>
                  <w:vMerge w:val="continue"/>
                  <w:vAlign w:val="center"/>
                </w:tcPr>
                <w:p w14:paraId="76A844EE">
                  <w:pPr>
                    <w:pStyle w:val="15"/>
                  </w:pPr>
                </w:p>
              </w:tc>
              <w:tc>
                <w:tcPr>
                  <w:tcW w:w="503" w:type="pct"/>
                  <w:vMerge w:val="continue"/>
                  <w:vAlign w:val="center"/>
                </w:tcPr>
                <w:p w14:paraId="35114A22">
                  <w:pPr>
                    <w:pStyle w:val="15"/>
                  </w:pPr>
                </w:p>
              </w:tc>
              <w:tc>
                <w:tcPr>
                  <w:tcW w:w="321" w:type="pct"/>
                  <w:vAlign w:val="center"/>
                </w:tcPr>
                <w:p w14:paraId="61598710">
                  <w:pPr>
                    <w:pStyle w:val="15"/>
                  </w:pPr>
                  <w:r>
                    <w:rPr>
                      <w:rFonts w:hint="eastAsia"/>
                    </w:rPr>
                    <w:t>北</w:t>
                  </w:r>
                </w:p>
              </w:tc>
              <w:tc>
                <w:tcPr>
                  <w:tcW w:w="419" w:type="pct"/>
                  <w:vAlign w:val="center"/>
                </w:tcPr>
                <w:p w14:paraId="2599845A">
                  <w:pPr>
                    <w:pStyle w:val="15"/>
                    <w:rPr>
                      <w:rFonts w:hint="default" w:eastAsia="宋体"/>
                      <w:lang w:val="en-US" w:eastAsia="zh-CN"/>
                    </w:rPr>
                  </w:pPr>
                  <w:r>
                    <w:rPr>
                      <w:rFonts w:hint="eastAsia"/>
                      <w:lang w:val="en-US" w:eastAsia="zh-CN"/>
                    </w:rPr>
                    <w:t>8</w:t>
                  </w:r>
                </w:p>
              </w:tc>
              <w:tc>
                <w:tcPr>
                  <w:tcW w:w="653" w:type="pct"/>
                  <w:vAlign w:val="center"/>
                </w:tcPr>
                <w:p w14:paraId="7D7C00A5">
                  <w:pPr>
                    <w:pStyle w:val="15"/>
                    <w:rPr>
                      <w:rFonts w:hint="default" w:eastAsia="宋体"/>
                      <w:lang w:val="en-US" w:eastAsia="zh-CN"/>
                    </w:rPr>
                  </w:pPr>
                  <w:r>
                    <w:rPr>
                      <w:rFonts w:hint="eastAsia"/>
                      <w:lang w:val="en-US" w:eastAsia="zh-CN"/>
                    </w:rPr>
                    <w:t>61.9</w:t>
                  </w:r>
                </w:p>
              </w:tc>
              <w:tc>
                <w:tcPr>
                  <w:tcW w:w="325" w:type="pct"/>
                  <w:vMerge w:val="continue"/>
                  <w:vAlign w:val="center"/>
                </w:tcPr>
                <w:p w14:paraId="15DD333C">
                  <w:pPr>
                    <w:pStyle w:val="15"/>
                  </w:pPr>
                </w:p>
              </w:tc>
              <w:tc>
                <w:tcPr>
                  <w:tcW w:w="609" w:type="pct"/>
                  <w:vMerge w:val="continue"/>
                  <w:vAlign w:val="center"/>
                </w:tcPr>
                <w:p w14:paraId="1AA7F880">
                  <w:pPr>
                    <w:pStyle w:val="15"/>
                  </w:pPr>
                </w:p>
              </w:tc>
              <w:tc>
                <w:tcPr>
                  <w:tcW w:w="653" w:type="pct"/>
                  <w:vAlign w:val="center"/>
                </w:tcPr>
                <w:p w14:paraId="1F96285A">
                  <w:pPr>
                    <w:pStyle w:val="15"/>
                    <w:rPr>
                      <w:rFonts w:hint="default" w:eastAsia="宋体"/>
                      <w:lang w:val="en-US" w:eastAsia="zh-CN"/>
                    </w:rPr>
                  </w:pPr>
                  <w:r>
                    <w:rPr>
                      <w:rFonts w:hint="eastAsia"/>
                      <w:lang w:val="en-US" w:eastAsia="zh-CN"/>
                    </w:rPr>
                    <w:t>36.9</w:t>
                  </w:r>
                </w:p>
              </w:tc>
            </w:tr>
            <w:tr w14:paraId="2536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621D938">
                  <w:pPr>
                    <w:pStyle w:val="15"/>
                  </w:pPr>
                </w:p>
              </w:tc>
              <w:tc>
                <w:tcPr>
                  <w:tcW w:w="906" w:type="dxa"/>
                  <w:vMerge w:val="restart"/>
                  <w:vAlign w:val="center"/>
                </w:tcPr>
                <w:p w14:paraId="2FE38D58">
                  <w:pPr>
                    <w:pStyle w:val="15"/>
                    <w:ind w:firstLine="0" w:firstLineChars="0"/>
                  </w:pPr>
                  <w:r>
                    <w:rPr>
                      <w:rFonts w:hint="eastAsia"/>
                    </w:rPr>
                    <w:t>冷风机</w:t>
                  </w:r>
                </w:p>
              </w:tc>
              <w:tc>
                <w:tcPr>
                  <w:tcW w:w="595" w:type="pct"/>
                  <w:vMerge w:val="restart"/>
                  <w:vAlign w:val="center"/>
                </w:tcPr>
                <w:p w14:paraId="03CCAFD9">
                  <w:pPr>
                    <w:pStyle w:val="15"/>
                    <w:rPr>
                      <w:rFonts w:hint="default" w:eastAsia="宋体"/>
                      <w:lang w:val="en-US" w:eastAsia="zh-CN"/>
                    </w:rPr>
                  </w:pPr>
                  <w:r>
                    <w:rPr>
                      <w:rFonts w:hint="eastAsia"/>
                      <w:lang w:val="en-US" w:eastAsia="zh-CN"/>
                    </w:rPr>
                    <w:t>85</w:t>
                  </w:r>
                </w:p>
              </w:tc>
              <w:tc>
                <w:tcPr>
                  <w:tcW w:w="503" w:type="pct"/>
                  <w:vMerge w:val="continue"/>
                  <w:vAlign w:val="center"/>
                </w:tcPr>
                <w:p w14:paraId="36A14B17">
                  <w:pPr>
                    <w:pStyle w:val="15"/>
                  </w:pPr>
                </w:p>
              </w:tc>
              <w:tc>
                <w:tcPr>
                  <w:tcW w:w="321" w:type="pct"/>
                  <w:vAlign w:val="center"/>
                </w:tcPr>
                <w:p w14:paraId="5A852C30">
                  <w:pPr>
                    <w:pStyle w:val="15"/>
                  </w:pPr>
                  <w:r>
                    <w:rPr>
                      <w:rFonts w:hint="eastAsia"/>
                    </w:rPr>
                    <w:t>东</w:t>
                  </w:r>
                </w:p>
              </w:tc>
              <w:tc>
                <w:tcPr>
                  <w:tcW w:w="661" w:type="dxa"/>
                  <w:vAlign w:val="center"/>
                </w:tcPr>
                <w:p w14:paraId="6EE2BE89">
                  <w:pPr>
                    <w:pStyle w:val="15"/>
                    <w:ind w:firstLine="0" w:firstLineChars="0"/>
                    <w:rPr>
                      <w:rFonts w:hint="default" w:eastAsia="宋体"/>
                      <w:lang w:val="en-US" w:eastAsia="zh-CN"/>
                    </w:rPr>
                  </w:pPr>
                  <w:r>
                    <w:rPr>
                      <w:rFonts w:hint="eastAsia"/>
                      <w:lang w:val="en-US" w:eastAsia="zh-CN"/>
                    </w:rPr>
                    <w:t>42</w:t>
                  </w:r>
                </w:p>
              </w:tc>
              <w:tc>
                <w:tcPr>
                  <w:tcW w:w="653" w:type="pct"/>
                  <w:vAlign w:val="center"/>
                </w:tcPr>
                <w:p w14:paraId="7CF936EA">
                  <w:pPr>
                    <w:pStyle w:val="15"/>
                    <w:rPr>
                      <w:rFonts w:hint="default" w:eastAsia="宋体"/>
                      <w:lang w:val="en-US" w:eastAsia="zh-CN"/>
                    </w:rPr>
                  </w:pPr>
                  <w:r>
                    <w:rPr>
                      <w:rFonts w:hint="eastAsia"/>
                      <w:lang w:val="en-US" w:eastAsia="zh-CN"/>
                    </w:rPr>
                    <w:t>52.5</w:t>
                  </w:r>
                </w:p>
              </w:tc>
              <w:tc>
                <w:tcPr>
                  <w:tcW w:w="325" w:type="pct"/>
                  <w:vMerge w:val="continue"/>
                  <w:vAlign w:val="center"/>
                </w:tcPr>
                <w:p w14:paraId="20407090">
                  <w:pPr>
                    <w:pStyle w:val="15"/>
                  </w:pPr>
                </w:p>
              </w:tc>
              <w:tc>
                <w:tcPr>
                  <w:tcW w:w="609" w:type="pct"/>
                  <w:vMerge w:val="continue"/>
                  <w:vAlign w:val="center"/>
                </w:tcPr>
                <w:p w14:paraId="7F92D0F6">
                  <w:pPr>
                    <w:pStyle w:val="15"/>
                  </w:pPr>
                </w:p>
              </w:tc>
              <w:tc>
                <w:tcPr>
                  <w:tcW w:w="653" w:type="pct"/>
                  <w:vAlign w:val="center"/>
                </w:tcPr>
                <w:p w14:paraId="015442BC">
                  <w:pPr>
                    <w:pStyle w:val="15"/>
                    <w:rPr>
                      <w:rFonts w:hint="default" w:eastAsia="宋体"/>
                      <w:lang w:val="en-US" w:eastAsia="zh-CN"/>
                    </w:rPr>
                  </w:pPr>
                  <w:r>
                    <w:rPr>
                      <w:rFonts w:hint="eastAsia"/>
                      <w:lang w:val="en-US" w:eastAsia="zh-CN"/>
                    </w:rPr>
                    <w:t>27.5</w:t>
                  </w:r>
                </w:p>
              </w:tc>
            </w:tr>
            <w:tr w14:paraId="6447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2E9A1845">
                  <w:pPr>
                    <w:pStyle w:val="15"/>
                  </w:pPr>
                </w:p>
              </w:tc>
              <w:tc>
                <w:tcPr>
                  <w:tcW w:w="574" w:type="pct"/>
                  <w:vMerge w:val="continue"/>
                  <w:vAlign w:val="center"/>
                </w:tcPr>
                <w:p w14:paraId="30687E99">
                  <w:pPr>
                    <w:pStyle w:val="15"/>
                  </w:pPr>
                </w:p>
              </w:tc>
              <w:tc>
                <w:tcPr>
                  <w:tcW w:w="595" w:type="pct"/>
                  <w:vMerge w:val="continue"/>
                  <w:vAlign w:val="center"/>
                </w:tcPr>
                <w:p w14:paraId="6F5E5772">
                  <w:pPr>
                    <w:pStyle w:val="15"/>
                  </w:pPr>
                </w:p>
              </w:tc>
              <w:tc>
                <w:tcPr>
                  <w:tcW w:w="503" w:type="pct"/>
                  <w:vMerge w:val="continue"/>
                  <w:vAlign w:val="center"/>
                </w:tcPr>
                <w:p w14:paraId="6D748C50">
                  <w:pPr>
                    <w:pStyle w:val="15"/>
                  </w:pPr>
                </w:p>
              </w:tc>
              <w:tc>
                <w:tcPr>
                  <w:tcW w:w="321" w:type="pct"/>
                  <w:vAlign w:val="center"/>
                </w:tcPr>
                <w:p w14:paraId="758056D9">
                  <w:pPr>
                    <w:pStyle w:val="15"/>
                  </w:pPr>
                  <w:r>
                    <w:rPr>
                      <w:rFonts w:hint="eastAsia"/>
                    </w:rPr>
                    <w:t>南</w:t>
                  </w:r>
                </w:p>
              </w:tc>
              <w:tc>
                <w:tcPr>
                  <w:tcW w:w="661" w:type="dxa"/>
                  <w:vAlign w:val="center"/>
                </w:tcPr>
                <w:p w14:paraId="3F05518C">
                  <w:pPr>
                    <w:pStyle w:val="15"/>
                    <w:ind w:firstLine="0" w:firstLineChars="0"/>
                    <w:rPr>
                      <w:rFonts w:hint="default" w:eastAsia="宋体"/>
                      <w:lang w:val="en-US" w:eastAsia="zh-CN"/>
                    </w:rPr>
                  </w:pPr>
                  <w:r>
                    <w:rPr>
                      <w:rFonts w:hint="eastAsia"/>
                      <w:lang w:val="en-US" w:eastAsia="zh-CN"/>
                    </w:rPr>
                    <w:t>20</w:t>
                  </w:r>
                </w:p>
              </w:tc>
              <w:tc>
                <w:tcPr>
                  <w:tcW w:w="653" w:type="pct"/>
                  <w:vAlign w:val="center"/>
                </w:tcPr>
                <w:p w14:paraId="5B2DCBE0">
                  <w:pPr>
                    <w:pStyle w:val="15"/>
                    <w:rPr>
                      <w:rFonts w:hint="default" w:eastAsia="宋体"/>
                      <w:lang w:val="en-US" w:eastAsia="zh-CN"/>
                    </w:rPr>
                  </w:pPr>
                  <w:r>
                    <w:rPr>
                      <w:rFonts w:hint="eastAsia"/>
                      <w:lang w:val="en-US" w:eastAsia="zh-CN"/>
                    </w:rPr>
                    <w:t>58.9</w:t>
                  </w:r>
                </w:p>
              </w:tc>
              <w:tc>
                <w:tcPr>
                  <w:tcW w:w="325" w:type="pct"/>
                  <w:vMerge w:val="continue"/>
                  <w:vAlign w:val="center"/>
                </w:tcPr>
                <w:p w14:paraId="5ABF23C7">
                  <w:pPr>
                    <w:pStyle w:val="15"/>
                  </w:pPr>
                </w:p>
              </w:tc>
              <w:tc>
                <w:tcPr>
                  <w:tcW w:w="609" w:type="pct"/>
                  <w:vMerge w:val="continue"/>
                  <w:vAlign w:val="center"/>
                </w:tcPr>
                <w:p w14:paraId="5353F64D">
                  <w:pPr>
                    <w:pStyle w:val="15"/>
                  </w:pPr>
                </w:p>
              </w:tc>
              <w:tc>
                <w:tcPr>
                  <w:tcW w:w="653" w:type="pct"/>
                  <w:vAlign w:val="center"/>
                </w:tcPr>
                <w:p w14:paraId="15F03AC0">
                  <w:pPr>
                    <w:pStyle w:val="15"/>
                    <w:rPr>
                      <w:rFonts w:hint="default" w:eastAsia="宋体"/>
                      <w:lang w:val="en-US" w:eastAsia="zh-CN"/>
                    </w:rPr>
                  </w:pPr>
                  <w:r>
                    <w:rPr>
                      <w:rFonts w:hint="eastAsia"/>
                      <w:lang w:val="en-US" w:eastAsia="zh-CN"/>
                    </w:rPr>
                    <w:t>33.9</w:t>
                  </w:r>
                </w:p>
              </w:tc>
            </w:tr>
            <w:tr w14:paraId="0B1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413D8CC1">
                  <w:pPr>
                    <w:pStyle w:val="15"/>
                  </w:pPr>
                </w:p>
              </w:tc>
              <w:tc>
                <w:tcPr>
                  <w:tcW w:w="574" w:type="pct"/>
                  <w:vMerge w:val="continue"/>
                  <w:vAlign w:val="center"/>
                </w:tcPr>
                <w:p w14:paraId="0C190AF4">
                  <w:pPr>
                    <w:pStyle w:val="15"/>
                  </w:pPr>
                </w:p>
              </w:tc>
              <w:tc>
                <w:tcPr>
                  <w:tcW w:w="595" w:type="pct"/>
                  <w:vMerge w:val="continue"/>
                  <w:vAlign w:val="center"/>
                </w:tcPr>
                <w:p w14:paraId="6B7E34FA">
                  <w:pPr>
                    <w:pStyle w:val="15"/>
                  </w:pPr>
                </w:p>
              </w:tc>
              <w:tc>
                <w:tcPr>
                  <w:tcW w:w="503" w:type="pct"/>
                  <w:vMerge w:val="continue"/>
                  <w:vAlign w:val="center"/>
                </w:tcPr>
                <w:p w14:paraId="02425C8E">
                  <w:pPr>
                    <w:pStyle w:val="15"/>
                  </w:pPr>
                </w:p>
              </w:tc>
              <w:tc>
                <w:tcPr>
                  <w:tcW w:w="321" w:type="pct"/>
                  <w:vAlign w:val="center"/>
                </w:tcPr>
                <w:p w14:paraId="049F09A5">
                  <w:pPr>
                    <w:pStyle w:val="15"/>
                  </w:pPr>
                  <w:r>
                    <w:rPr>
                      <w:rFonts w:hint="eastAsia"/>
                    </w:rPr>
                    <w:t>西</w:t>
                  </w:r>
                </w:p>
              </w:tc>
              <w:tc>
                <w:tcPr>
                  <w:tcW w:w="661" w:type="dxa"/>
                  <w:vAlign w:val="center"/>
                </w:tcPr>
                <w:p w14:paraId="4480E63F">
                  <w:pPr>
                    <w:pStyle w:val="15"/>
                    <w:ind w:firstLine="0" w:firstLineChars="0"/>
                    <w:rPr>
                      <w:rFonts w:hint="eastAsia" w:eastAsia="宋体"/>
                      <w:lang w:val="en-US" w:eastAsia="zh-CN"/>
                    </w:rPr>
                  </w:pPr>
                  <w:r>
                    <w:rPr>
                      <w:rFonts w:hint="eastAsia"/>
                      <w:lang w:val="en-US" w:eastAsia="zh-CN"/>
                    </w:rPr>
                    <w:t>8</w:t>
                  </w:r>
                </w:p>
              </w:tc>
              <w:tc>
                <w:tcPr>
                  <w:tcW w:w="653" w:type="pct"/>
                  <w:vAlign w:val="center"/>
                </w:tcPr>
                <w:p w14:paraId="0F88AB14">
                  <w:pPr>
                    <w:pStyle w:val="15"/>
                    <w:rPr>
                      <w:rFonts w:hint="default" w:eastAsia="宋体"/>
                      <w:lang w:val="en-US" w:eastAsia="zh-CN"/>
                    </w:rPr>
                  </w:pPr>
                  <w:r>
                    <w:rPr>
                      <w:rFonts w:hint="eastAsia"/>
                      <w:lang w:val="en-US" w:eastAsia="zh-CN"/>
                    </w:rPr>
                    <w:t>66.9</w:t>
                  </w:r>
                </w:p>
              </w:tc>
              <w:tc>
                <w:tcPr>
                  <w:tcW w:w="325" w:type="pct"/>
                  <w:vMerge w:val="continue"/>
                  <w:vAlign w:val="center"/>
                </w:tcPr>
                <w:p w14:paraId="7951AAF2">
                  <w:pPr>
                    <w:pStyle w:val="15"/>
                  </w:pPr>
                </w:p>
              </w:tc>
              <w:tc>
                <w:tcPr>
                  <w:tcW w:w="609" w:type="pct"/>
                  <w:vMerge w:val="continue"/>
                  <w:vAlign w:val="center"/>
                </w:tcPr>
                <w:p w14:paraId="47D8C5CC">
                  <w:pPr>
                    <w:pStyle w:val="15"/>
                  </w:pPr>
                </w:p>
              </w:tc>
              <w:tc>
                <w:tcPr>
                  <w:tcW w:w="653" w:type="pct"/>
                  <w:vAlign w:val="center"/>
                </w:tcPr>
                <w:p w14:paraId="51CCDA78">
                  <w:pPr>
                    <w:pStyle w:val="15"/>
                    <w:rPr>
                      <w:rFonts w:hint="default" w:eastAsia="宋体"/>
                      <w:lang w:val="en-US" w:eastAsia="zh-CN"/>
                    </w:rPr>
                  </w:pPr>
                  <w:r>
                    <w:rPr>
                      <w:rFonts w:hint="eastAsia"/>
                      <w:lang w:val="en-US" w:eastAsia="zh-CN"/>
                    </w:rPr>
                    <w:t>41.9</w:t>
                  </w:r>
                </w:p>
              </w:tc>
            </w:tr>
            <w:tr w14:paraId="7EC4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7478DDD">
                  <w:pPr>
                    <w:pStyle w:val="15"/>
                  </w:pPr>
                </w:p>
              </w:tc>
              <w:tc>
                <w:tcPr>
                  <w:tcW w:w="574" w:type="pct"/>
                  <w:vMerge w:val="continue"/>
                  <w:vAlign w:val="center"/>
                </w:tcPr>
                <w:p w14:paraId="433BA8C8">
                  <w:pPr>
                    <w:pStyle w:val="15"/>
                  </w:pPr>
                </w:p>
              </w:tc>
              <w:tc>
                <w:tcPr>
                  <w:tcW w:w="595" w:type="pct"/>
                  <w:vMerge w:val="continue"/>
                  <w:vAlign w:val="center"/>
                </w:tcPr>
                <w:p w14:paraId="20498058">
                  <w:pPr>
                    <w:pStyle w:val="15"/>
                  </w:pPr>
                </w:p>
              </w:tc>
              <w:tc>
                <w:tcPr>
                  <w:tcW w:w="503" w:type="pct"/>
                  <w:vMerge w:val="continue"/>
                  <w:vAlign w:val="center"/>
                </w:tcPr>
                <w:p w14:paraId="3191DBBE">
                  <w:pPr>
                    <w:pStyle w:val="15"/>
                  </w:pPr>
                </w:p>
              </w:tc>
              <w:tc>
                <w:tcPr>
                  <w:tcW w:w="321" w:type="pct"/>
                  <w:vAlign w:val="center"/>
                </w:tcPr>
                <w:p w14:paraId="335C80F9">
                  <w:pPr>
                    <w:pStyle w:val="15"/>
                  </w:pPr>
                  <w:r>
                    <w:rPr>
                      <w:rFonts w:hint="eastAsia"/>
                    </w:rPr>
                    <w:t>北</w:t>
                  </w:r>
                </w:p>
              </w:tc>
              <w:tc>
                <w:tcPr>
                  <w:tcW w:w="661" w:type="dxa"/>
                  <w:vAlign w:val="center"/>
                </w:tcPr>
                <w:p w14:paraId="6A7ACDBB">
                  <w:pPr>
                    <w:pStyle w:val="15"/>
                    <w:ind w:firstLine="0" w:firstLineChars="0"/>
                    <w:rPr>
                      <w:rFonts w:hint="default" w:eastAsia="宋体"/>
                      <w:lang w:val="en-US" w:eastAsia="zh-CN"/>
                    </w:rPr>
                  </w:pPr>
                  <w:r>
                    <w:rPr>
                      <w:rFonts w:hint="eastAsia"/>
                      <w:lang w:val="en-US" w:eastAsia="zh-CN"/>
                    </w:rPr>
                    <w:t>8</w:t>
                  </w:r>
                </w:p>
              </w:tc>
              <w:tc>
                <w:tcPr>
                  <w:tcW w:w="653" w:type="pct"/>
                  <w:vAlign w:val="center"/>
                </w:tcPr>
                <w:p w14:paraId="42CFF25C">
                  <w:pPr>
                    <w:pStyle w:val="15"/>
                    <w:rPr>
                      <w:rFonts w:hint="default" w:eastAsia="宋体"/>
                      <w:lang w:val="en-US" w:eastAsia="zh-CN"/>
                    </w:rPr>
                  </w:pPr>
                  <w:r>
                    <w:rPr>
                      <w:rFonts w:hint="eastAsia"/>
                      <w:lang w:val="en-US" w:eastAsia="zh-CN"/>
                    </w:rPr>
                    <w:t>66.9</w:t>
                  </w:r>
                </w:p>
              </w:tc>
              <w:tc>
                <w:tcPr>
                  <w:tcW w:w="325" w:type="pct"/>
                  <w:vMerge w:val="continue"/>
                  <w:vAlign w:val="center"/>
                </w:tcPr>
                <w:p w14:paraId="5D828E1C">
                  <w:pPr>
                    <w:pStyle w:val="15"/>
                  </w:pPr>
                </w:p>
              </w:tc>
              <w:tc>
                <w:tcPr>
                  <w:tcW w:w="609" w:type="pct"/>
                  <w:vMerge w:val="continue"/>
                  <w:vAlign w:val="center"/>
                </w:tcPr>
                <w:p w14:paraId="0B40FFC6">
                  <w:pPr>
                    <w:pStyle w:val="15"/>
                  </w:pPr>
                </w:p>
              </w:tc>
              <w:tc>
                <w:tcPr>
                  <w:tcW w:w="653" w:type="pct"/>
                  <w:vAlign w:val="center"/>
                </w:tcPr>
                <w:p w14:paraId="3E7344E5">
                  <w:pPr>
                    <w:pStyle w:val="15"/>
                    <w:rPr>
                      <w:rFonts w:hint="default" w:eastAsia="宋体"/>
                      <w:lang w:val="en-US" w:eastAsia="zh-CN"/>
                    </w:rPr>
                  </w:pPr>
                  <w:r>
                    <w:rPr>
                      <w:rFonts w:hint="eastAsia"/>
                      <w:lang w:val="en-US" w:eastAsia="zh-CN"/>
                    </w:rPr>
                    <w:t>41.9</w:t>
                  </w:r>
                </w:p>
              </w:tc>
            </w:tr>
            <w:tr w14:paraId="7A47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0F9C7353">
                  <w:pPr>
                    <w:pStyle w:val="15"/>
                  </w:pPr>
                </w:p>
              </w:tc>
              <w:tc>
                <w:tcPr>
                  <w:tcW w:w="906" w:type="dxa"/>
                  <w:vMerge w:val="restart"/>
                  <w:vAlign w:val="center"/>
                </w:tcPr>
                <w:p w14:paraId="4E2CDA4B">
                  <w:pPr>
                    <w:pStyle w:val="15"/>
                    <w:ind w:firstLine="0" w:firstLineChars="0"/>
                  </w:pPr>
                  <w:r>
                    <w:rPr>
                      <w:rFonts w:hint="eastAsia"/>
                    </w:rPr>
                    <w:t>送风机</w:t>
                  </w:r>
                </w:p>
              </w:tc>
              <w:tc>
                <w:tcPr>
                  <w:tcW w:w="595" w:type="pct"/>
                  <w:vMerge w:val="restart"/>
                  <w:vAlign w:val="center"/>
                </w:tcPr>
                <w:p w14:paraId="4BB36298">
                  <w:pPr>
                    <w:pStyle w:val="15"/>
                    <w:rPr>
                      <w:rFonts w:hint="default" w:eastAsia="宋体"/>
                      <w:lang w:val="en-US" w:eastAsia="zh-CN"/>
                    </w:rPr>
                  </w:pPr>
                  <w:r>
                    <w:rPr>
                      <w:rFonts w:hint="eastAsia"/>
                      <w:lang w:val="en-US" w:eastAsia="zh-CN"/>
                    </w:rPr>
                    <w:t>85</w:t>
                  </w:r>
                </w:p>
              </w:tc>
              <w:tc>
                <w:tcPr>
                  <w:tcW w:w="503" w:type="pct"/>
                  <w:vMerge w:val="continue"/>
                  <w:vAlign w:val="center"/>
                </w:tcPr>
                <w:p w14:paraId="14C87E94">
                  <w:pPr>
                    <w:pStyle w:val="15"/>
                  </w:pPr>
                </w:p>
              </w:tc>
              <w:tc>
                <w:tcPr>
                  <w:tcW w:w="321" w:type="pct"/>
                  <w:vAlign w:val="center"/>
                </w:tcPr>
                <w:p w14:paraId="50D651C8">
                  <w:pPr>
                    <w:pStyle w:val="15"/>
                  </w:pPr>
                  <w:r>
                    <w:rPr>
                      <w:rFonts w:hint="eastAsia"/>
                    </w:rPr>
                    <w:t>东</w:t>
                  </w:r>
                </w:p>
              </w:tc>
              <w:tc>
                <w:tcPr>
                  <w:tcW w:w="661" w:type="dxa"/>
                  <w:vAlign w:val="center"/>
                </w:tcPr>
                <w:p w14:paraId="194C28ED">
                  <w:pPr>
                    <w:pStyle w:val="15"/>
                    <w:ind w:firstLine="0" w:firstLineChars="0"/>
                    <w:rPr>
                      <w:rFonts w:hint="eastAsia" w:eastAsia="宋体"/>
                      <w:lang w:val="en-US" w:eastAsia="zh-CN"/>
                    </w:rPr>
                  </w:pPr>
                  <w:r>
                    <w:rPr>
                      <w:rFonts w:hint="eastAsia"/>
                      <w:lang w:val="en-US" w:eastAsia="zh-CN"/>
                    </w:rPr>
                    <w:t>42</w:t>
                  </w:r>
                </w:p>
              </w:tc>
              <w:tc>
                <w:tcPr>
                  <w:tcW w:w="1030" w:type="dxa"/>
                  <w:vAlign w:val="center"/>
                </w:tcPr>
                <w:p w14:paraId="7F30DED3">
                  <w:pPr>
                    <w:pStyle w:val="15"/>
                    <w:ind w:firstLine="0" w:firstLineChars="0"/>
                    <w:rPr>
                      <w:rFonts w:hint="default" w:eastAsia="宋体"/>
                      <w:lang w:val="en-US" w:eastAsia="zh-CN"/>
                    </w:rPr>
                  </w:pPr>
                  <w:r>
                    <w:rPr>
                      <w:rFonts w:hint="eastAsia"/>
                      <w:lang w:val="en-US" w:eastAsia="zh-CN"/>
                    </w:rPr>
                    <w:t>52.5</w:t>
                  </w:r>
                </w:p>
              </w:tc>
              <w:tc>
                <w:tcPr>
                  <w:tcW w:w="325" w:type="pct"/>
                  <w:vMerge w:val="continue"/>
                  <w:vAlign w:val="center"/>
                </w:tcPr>
                <w:p w14:paraId="2C97F275">
                  <w:pPr>
                    <w:pStyle w:val="15"/>
                  </w:pPr>
                </w:p>
              </w:tc>
              <w:tc>
                <w:tcPr>
                  <w:tcW w:w="609" w:type="pct"/>
                  <w:vMerge w:val="continue"/>
                  <w:vAlign w:val="center"/>
                </w:tcPr>
                <w:p w14:paraId="199F9CC9">
                  <w:pPr>
                    <w:pStyle w:val="15"/>
                  </w:pPr>
                </w:p>
              </w:tc>
              <w:tc>
                <w:tcPr>
                  <w:tcW w:w="1030" w:type="dxa"/>
                  <w:vAlign w:val="center"/>
                </w:tcPr>
                <w:p w14:paraId="565981F1">
                  <w:pPr>
                    <w:pStyle w:val="15"/>
                    <w:ind w:firstLine="0" w:firstLineChars="0"/>
                    <w:rPr>
                      <w:rFonts w:hint="default" w:eastAsia="宋体"/>
                      <w:lang w:val="en-US" w:eastAsia="zh-CN"/>
                    </w:rPr>
                  </w:pPr>
                  <w:r>
                    <w:rPr>
                      <w:rFonts w:hint="eastAsia"/>
                      <w:lang w:val="en-US" w:eastAsia="zh-CN"/>
                    </w:rPr>
                    <w:t>27.5</w:t>
                  </w:r>
                </w:p>
              </w:tc>
            </w:tr>
            <w:tr w14:paraId="7F43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6B56DF20">
                  <w:pPr>
                    <w:pStyle w:val="15"/>
                  </w:pPr>
                </w:p>
              </w:tc>
              <w:tc>
                <w:tcPr>
                  <w:tcW w:w="574" w:type="pct"/>
                  <w:vMerge w:val="continue"/>
                  <w:vAlign w:val="center"/>
                </w:tcPr>
                <w:p w14:paraId="5785DE5F">
                  <w:pPr>
                    <w:pStyle w:val="15"/>
                  </w:pPr>
                </w:p>
              </w:tc>
              <w:tc>
                <w:tcPr>
                  <w:tcW w:w="595" w:type="pct"/>
                  <w:vMerge w:val="continue"/>
                  <w:vAlign w:val="center"/>
                </w:tcPr>
                <w:p w14:paraId="62DF7FF3">
                  <w:pPr>
                    <w:pStyle w:val="15"/>
                  </w:pPr>
                </w:p>
              </w:tc>
              <w:tc>
                <w:tcPr>
                  <w:tcW w:w="503" w:type="pct"/>
                  <w:vMerge w:val="continue"/>
                  <w:vAlign w:val="center"/>
                </w:tcPr>
                <w:p w14:paraId="2F7B4865">
                  <w:pPr>
                    <w:pStyle w:val="15"/>
                  </w:pPr>
                </w:p>
              </w:tc>
              <w:tc>
                <w:tcPr>
                  <w:tcW w:w="321" w:type="pct"/>
                  <w:vAlign w:val="center"/>
                </w:tcPr>
                <w:p w14:paraId="25CE9D78">
                  <w:pPr>
                    <w:pStyle w:val="15"/>
                  </w:pPr>
                  <w:r>
                    <w:rPr>
                      <w:rFonts w:hint="eastAsia"/>
                    </w:rPr>
                    <w:t>南</w:t>
                  </w:r>
                </w:p>
              </w:tc>
              <w:tc>
                <w:tcPr>
                  <w:tcW w:w="661" w:type="dxa"/>
                  <w:vAlign w:val="center"/>
                </w:tcPr>
                <w:p w14:paraId="05D9050F">
                  <w:pPr>
                    <w:pStyle w:val="15"/>
                    <w:ind w:firstLine="0" w:firstLineChars="0"/>
                    <w:rPr>
                      <w:rFonts w:hint="default" w:eastAsia="宋体"/>
                      <w:lang w:val="en-US" w:eastAsia="zh-CN"/>
                    </w:rPr>
                  </w:pPr>
                  <w:r>
                    <w:rPr>
                      <w:rFonts w:hint="eastAsia"/>
                      <w:lang w:val="en-US" w:eastAsia="zh-CN"/>
                    </w:rPr>
                    <w:t>20</w:t>
                  </w:r>
                </w:p>
              </w:tc>
              <w:tc>
                <w:tcPr>
                  <w:tcW w:w="1030" w:type="dxa"/>
                  <w:vAlign w:val="center"/>
                </w:tcPr>
                <w:p w14:paraId="319FC5F8">
                  <w:pPr>
                    <w:pStyle w:val="15"/>
                    <w:ind w:firstLine="0" w:firstLineChars="0"/>
                    <w:rPr>
                      <w:rFonts w:hint="default" w:eastAsia="宋体"/>
                      <w:lang w:val="en-US" w:eastAsia="zh-CN"/>
                    </w:rPr>
                  </w:pPr>
                  <w:r>
                    <w:rPr>
                      <w:rFonts w:hint="eastAsia"/>
                      <w:lang w:val="en-US" w:eastAsia="zh-CN"/>
                    </w:rPr>
                    <w:t>58.9</w:t>
                  </w:r>
                </w:p>
              </w:tc>
              <w:tc>
                <w:tcPr>
                  <w:tcW w:w="325" w:type="pct"/>
                  <w:vMerge w:val="continue"/>
                  <w:vAlign w:val="center"/>
                </w:tcPr>
                <w:p w14:paraId="4DB73C01">
                  <w:pPr>
                    <w:pStyle w:val="15"/>
                  </w:pPr>
                </w:p>
              </w:tc>
              <w:tc>
                <w:tcPr>
                  <w:tcW w:w="609" w:type="pct"/>
                  <w:vMerge w:val="continue"/>
                  <w:vAlign w:val="center"/>
                </w:tcPr>
                <w:p w14:paraId="6AE33F95">
                  <w:pPr>
                    <w:pStyle w:val="15"/>
                  </w:pPr>
                </w:p>
              </w:tc>
              <w:tc>
                <w:tcPr>
                  <w:tcW w:w="1030" w:type="dxa"/>
                  <w:vAlign w:val="center"/>
                </w:tcPr>
                <w:p w14:paraId="579CF998">
                  <w:pPr>
                    <w:pStyle w:val="15"/>
                    <w:ind w:firstLine="0" w:firstLineChars="0"/>
                    <w:rPr>
                      <w:rFonts w:hint="default" w:eastAsia="宋体"/>
                      <w:lang w:val="en-US" w:eastAsia="zh-CN"/>
                    </w:rPr>
                  </w:pPr>
                  <w:r>
                    <w:rPr>
                      <w:rFonts w:hint="eastAsia"/>
                      <w:lang w:val="en-US" w:eastAsia="zh-CN"/>
                    </w:rPr>
                    <w:t>33.9</w:t>
                  </w:r>
                </w:p>
              </w:tc>
            </w:tr>
            <w:tr w14:paraId="161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4" w:type="pct"/>
                  <w:vMerge w:val="continue"/>
                  <w:vAlign w:val="center"/>
                </w:tcPr>
                <w:p w14:paraId="21809DC2">
                  <w:pPr>
                    <w:pStyle w:val="15"/>
                  </w:pPr>
                </w:p>
              </w:tc>
              <w:tc>
                <w:tcPr>
                  <w:tcW w:w="574" w:type="pct"/>
                  <w:vMerge w:val="continue"/>
                  <w:vAlign w:val="center"/>
                </w:tcPr>
                <w:p w14:paraId="02ADB8FF">
                  <w:pPr>
                    <w:pStyle w:val="15"/>
                  </w:pPr>
                </w:p>
              </w:tc>
              <w:tc>
                <w:tcPr>
                  <w:tcW w:w="595" w:type="pct"/>
                  <w:vMerge w:val="continue"/>
                  <w:vAlign w:val="center"/>
                </w:tcPr>
                <w:p w14:paraId="739351D8">
                  <w:pPr>
                    <w:pStyle w:val="15"/>
                  </w:pPr>
                </w:p>
              </w:tc>
              <w:tc>
                <w:tcPr>
                  <w:tcW w:w="503" w:type="pct"/>
                  <w:vMerge w:val="continue"/>
                  <w:vAlign w:val="center"/>
                </w:tcPr>
                <w:p w14:paraId="58006B1C">
                  <w:pPr>
                    <w:pStyle w:val="15"/>
                  </w:pPr>
                </w:p>
              </w:tc>
              <w:tc>
                <w:tcPr>
                  <w:tcW w:w="321" w:type="pct"/>
                  <w:vAlign w:val="center"/>
                </w:tcPr>
                <w:p w14:paraId="00805B7B">
                  <w:pPr>
                    <w:pStyle w:val="15"/>
                  </w:pPr>
                  <w:r>
                    <w:rPr>
                      <w:rFonts w:hint="eastAsia"/>
                    </w:rPr>
                    <w:t>西</w:t>
                  </w:r>
                </w:p>
              </w:tc>
              <w:tc>
                <w:tcPr>
                  <w:tcW w:w="661" w:type="dxa"/>
                  <w:vAlign w:val="center"/>
                </w:tcPr>
                <w:p w14:paraId="517107F2">
                  <w:pPr>
                    <w:pStyle w:val="15"/>
                    <w:ind w:firstLine="0" w:firstLineChars="0"/>
                    <w:rPr>
                      <w:rFonts w:hint="default" w:eastAsia="宋体"/>
                      <w:lang w:val="en-US" w:eastAsia="zh-CN"/>
                    </w:rPr>
                  </w:pPr>
                  <w:r>
                    <w:rPr>
                      <w:rFonts w:hint="eastAsia"/>
                      <w:lang w:val="en-US" w:eastAsia="zh-CN"/>
                    </w:rPr>
                    <w:t>8</w:t>
                  </w:r>
                </w:p>
              </w:tc>
              <w:tc>
                <w:tcPr>
                  <w:tcW w:w="1030" w:type="dxa"/>
                  <w:vAlign w:val="center"/>
                </w:tcPr>
                <w:p w14:paraId="60CDFF50">
                  <w:pPr>
                    <w:pStyle w:val="15"/>
                    <w:ind w:firstLine="0" w:firstLineChars="0"/>
                    <w:rPr>
                      <w:rFonts w:hint="default" w:eastAsia="宋体"/>
                      <w:lang w:val="en-US" w:eastAsia="zh-CN"/>
                    </w:rPr>
                  </w:pPr>
                  <w:r>
                    <w:rPr>
                      <w:rFonts w:hint="eastAsia"/>
                      <w:lang w:val="en-US" w:eastAsia="zh-CN"/>
                    </w:rPr>
                    <w:t>66.9</w:t>
                  </w:r>
                </w:p>
              </w:tc>
              <w:tc>
                <w:tcPr>
                  <w:tcW w:w="325" w:type="pct"/>
                  <w:vMerge w:val="continue"/>
                  <w:vAlign w:val="center"/>
                </w:tcPr>
                <w:p w14:paraId="484EB06B">
                  <w:pPr>
                    <w:pStyle w:val="15"/>
                  </w:pPr>
                </w:p>
              </w:tc>
              <w:tc>
                <w:tcPr>
                  <w:tcW w:w="609" w:type="pct"/>
                  <w:vMerge w:val="continue"/>
                  <w:vAlign w:val="center"/>
                </w:tcPr>
                <w:p w14:paraId="2D6C7133">
                  <w:pPr>
                    <w:pStyle w:val="15"/>
                  </w:pPr>
                </w:p>
              </w:tc>
              <w:tc>
                <w:tcPr>
                  <w:tcW w:w="1030" w:type="dxa"/>
                  <w:vAlign w:val="center"/>
                </w:tcPr>
                <w:p w14:paraId="2C913CFD">
                  <w:pPr>
                    <w:pStyle w:val="15"/>
                    <w:ind w:firstLine="0" w:firstLineChars="0"/>
                    <w:rPr>
                      <w:rFonts w:hint="default" w:eastAsia="宋体"/>
                      <w:lang w:val="en-US" w:eastAsia="zh-CN"/>
                    </w:rPr>
                  </w:pPr>
                  <w:r>
                    <w:rPr>
                      <w:rFonts w:hint="eastAsia"/>
                      <w:lang w:val="en-US" w:eastAsia="zh-CN"/>
                    </w:rPr>
                    <w:t>41.9</w:t>
                  </w:r>
                </w:p>
              </w:tc>
            </w:tr>
            <w:tr w14:paraId="5079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1A0963FF">
                  <w:pPr>
                    <w:pStyle w:val="15"/>
                  </w:pPr>
                </w:p>
              </w:tc>
              <w:tc>
                <w:tcPr>
                  <w:tcW w:w="574" w:type="pct"/>
                  <w:vMerge w:val="continue"/>
                  <w:vAlign w:val="center"/>
                </w:tcPr>
                <w:p w14:paraId="637CC4EF">
                  <w:pPr>
                    <w:pStyle w:val="15"/>
                  </w:pPr>
                </w:p>
              </w:tc>
              <w:tc>
                <w:tcPr>
                  <w:tcW w:w="595" w:type="pct"/>
                  <w:vMerge w:val="continue"/>
                  <w:vAlign w:val="center"/>
                </w:tcPr>
                <w:p w14:paraId="121ADC03">
                  <w:pPr>
                    <w:pStyle w:val="15"/>
                  </w:pPr>
                </w:p>
              </w:tc>
              <w:tc>
                <w:tcPr>
                  <w:tcW w:w="503" w:type="pct"/>
                  <w:vMerge w:val="continue"/>
                  <w:vAlign w:val="center"/>
                </w:tcPr>
                <w:p w14:paraId="4F5828DF">
                  <w:pPr>
                    <w:pStyle w:val="15"/>
                  </w:pPr>
                </w:p>
              </w:tc>
              <w:tc>
                <w:tcPr>
                  <w:tcW w:w="321" w:type="pct"/>
                  <w:vAlign w:val="center"/>
                </w:tcPr>
                <w:p w14:paraId="21CB50F1">
                  <w:pPr>
                    <w:pStyle w:val="15"/>
                  </w:pPr>
                  <w:r>
                    <w:rPr>
                      <w:rFonts w:hint="eastAsia"/>
                    </w:rPr>
                    <w:t>北</w:t>
                  </w:r>
                </w:p>
              </w:tc>
              <w:tc>
                <w:tcPr>
                  <w:tcW w:w="661" w:type="dxa"/>
                  <w:vAlign w:val="center"/>
                </w:tcPr>
                <w:p w14:paraId="06B58456">
                  <w:pPr>
                    <w:pStyle w:val="15"/>
                    <w:ind w:firstLine="0" w:firstLineChars="0"/>
                    <w:rPr>
                      <w:rFonts w:hint="default" w:eastAsia="宋体"/>
                      <w:lang w:val="en-US" w:eastAsia="zh-CN"/>
                    </w:rPr>
                  </w:pPr>
                  <w:r>
                    <w:rPr>
                      <w:rFonts w:hint="eastAsia"/>
                      <w:lang w:val="en-US" w:eastAsia="zh-CN"/>
                    </w:rPr>
                    <w:t>8</w:t>
                  </w:r>
                </w:p>
              </w:tc>
              <w:tc>
                <w:tcPr>
                  <w:tcW w:w="1030" w:type="dxa"/>
                  <w:vAlign w:val="center"/>
                </w:tcPr>
                <w:p w14:paraId="08B5B961">
                  <w:pPr>
                    <w:pStyle w:val="15"/>
                    <w:ind w:firstLine="0" w:firstLineChars="0"/>
                    <w:rPr>
                      <w:rFonts w:hint="default" w:eastAsia="宋体"/>
                      <w:lang w:val="en-US" w:eastAsia="zh-CN"/>
                    </w:rPr>
                  </w:pPr>
                  <w:r>
                    <w:rPr>
                      <w:rFonts w:hint="eastAsia"/>
                      <w:lang w:val="en-US" w:eastAsia="zh-CN"/>
                    </w:rPr>
                    <w:t>66.9</w:t>
                  </w:r>
                </w:p>
              </w:tc>
              <w:tc>
                <w:tcPr>
                  <w:tcW w:w="325" w:type="pct"/>
                  <w:vMerge w:val="continue"/>
                  <w:vAlign w:val="center"/>
                </w:tcPr>
                <w:p w14:paraId="75286DF6">
                  <w:pPr>
                    <w:pStyle w:val="15"/>
                  </w:pPr>
                </w:p>
              </w:tc>
              <w:tc>
                <w:tcPr>
                  <w:tcW w:w="609" w:type="pct"/>
                  <w:vMerge w:val="continue"/>
                  <w:vAlign w:val="center"/>
                </w:tcPr>
                <w:p w14:paraId="72F06FD4">
                  <w:pPr>
                    <w:pStyle w:val="15"/>
                  </w:pPr>
                </w:p>
              </w:tc>
              <w:tc>
                <w:tcPr>
                  <w:tcW w:w="1030" w:type="dxa"/>
                  <w:vAlign w:val="center"/>
                </w:tcPr>
                <w:p w14:paraId="28A3C12F">
                  <w:pPr>
                    <w:pStyle w:val="15"/>
                    <w:ind w:firstLine="0" w:firstLineChars="0"/>
                    <w:rPr>
                      <w:rFonts w:hint="default" w:eastAsia="宋体"/>
                      <w:lang w:val="en-US" w:eastAsia="zh-CN"/>
                    </w:rPr>
                  </w:pPr>
                  <w:r>
                    <w:rPr>
                      <w:rFonts w:hint="eastAsia"/>
                      <w:lang w:val="en-US" w:eastAsia="zh-CN"/>
                    </w:rPr>
                    <w:t>41.9</w:t>
                  </w:r>
                </w:p>
              </w:tc>
            </w:tr>
            <w:tr w14:paraId="6F4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1875125F">
                  <w:pPr>
                    <w:pStyle w:val="15"/>
                  </w:pPr>
                </w:p>
              </w:tc>
              <w:tc>
                <w:tcPr>
                  <w:tcW w:w="906" w:type="dxa"/>
                  <w:vMerge w:val="restart"/>
                  <w:vAlign w:val="center"/>
                </w:tcPr>
                <w:p w14:paraId="5FC3CB29">
                  <w:pPr>
                    <w:pStyle w:val="15"/>
                    <w:ind w:firstLine="0" w:firstLineChars="0"/>
                  </w:pPr>
                  <w:r>
                    <w:rPr>
                      <w:rFonts w:hint="eastAsia"/>
                    </w:rPr>
                    <w:t>引风机</w:t>
                  </w:r>
                </w:p>
              </w:tc>
              <w:tc>
                <w:tcPr>
                  <w:tcW w:w="595" w:type="pct"/>
                  <w:vMerge w:val="restart"/>
                  <w:vAlign w:val="center"/>
                </w:tcPr>
                <w:p w14:paraId="120C7318">
                  <w:pPr>
                    <w:pStyle w:val="15"/>
                    <w:rPr>
                      <w:rFonts w:hint="default" w:eastAsia="宋体"/>
                      <w:lang w:val="en-US" w:eastAsia="zh-CN"/>
                    </w:rPr>
                  </w:pPr>
                  <w:r>
                    <w:rPr>
                      <w:rFonts w:hint="eastAsia"/>
                      <w:lang w:val="en-US" w:eastAsia="zh-CN"/>
                    </w:rPr>
                    <w:t>85</w:t>
                  </w:r>
                </w:p>
              </w:tc>
              <w:tc>
                <w:tcPr>
                  <w:tcW w:w="503" w:type="pct"/>
                  <w:vMerge w:val="continue"/>
                  <w:vAlign w:val="center"/>
                </w:tcPr>
                <w:p w14:paraId="1B27FD92">
                  <w:pPr>
                    <w:pStyle w:val="15"/>
                  </w:pPr>
                </w:p>
              </w:tc>
              <w:tc>
                <w:tcPr>
                  <w:tcW w:w="321" w:type="pct"/>
                  <w:vAlign w:val="center"/>
                </w:tcPr>
                <w:p w14:paraId="74058C31">
                  <w:pPr>
                    <w:pStyle w:val="15"/>
                  </w:pPr>
                  <w:r>
                    <w:rPr>
                      <w:rFonts w:hint="eastAsia"/>
                    </w:rPr>
                    <w:t>东</w:t>
                  </w:r>
                </w:p>
              </w:tc>
              <w:tc>
                <w:tcPr>
                  <w:tcW w:w="661" w:type="dxa"/>
                  <w:vAlign w:val="center"/>
                </w:tcPr>
                <w:p w14:paraId="42524501">
                  <w:pPr>
                    <w:pStyle w:val="15"/>
                    <w:ind w:firstLine="0" w:firstLineChars="0"/>
                    <w:rPr>
                      <w:rFonts w:hint="eastAsia" w:eastAsia="宋体"/>
                      <w:lang w:val="en-US" w:eastAsia="zh-CN"/>
                    </w:rPr>
                  </w:pPr>
                  <w:r>
                    <w:rPr>
                      <w:rFonts w:hint="eastAsia"/>
                      <w:lang w:val="en-US" w:eastAsia="zh-CN"/>
                    </w:rPr>
                    <w:t>42</w:t>
                  </w:r>
                </w:p>
              </w:tc>
              <w:tc>
                <w:tcPr>
                  <w:tcW w:w="1030" w:type="dxa"/>
                  <w:vAlign w:val="center"/>
                </w:tcPr>
                <w:p w14:paraId="155BDDD1">
                  <w:pPr>
                    <w:pStyle w:val="15"/>
                    <w:ind w:firstLine="0" w:firstLineChars="0"/>
                    <w:rPr>
                      <w:rFonts w:hint="default" w:eastAsia="宋体"/>
                      <w:lang w:val="en-US" w:eastAsia="zh-CN"/>
                    </w:rPr>
                  </w:pPr>
                  <w:r>
                    <w:rPr>
                      <w:rFonts w:hint="eastAsia"/>
                      <w:lang w:val="en-US" w:eastAsia="zh-CN"/>
                    </w:rPr>
                    <w:t>52.5</w:t>
                  </w:r>
                </w:p>
              </w:tc>
              <w:tc>
                <w:tcPr>
                  <w:tcW w:w="325" w:type="pct"/>
                  <w:vMerge w:val="continue"/>
                  <w:vAlign w:val="center"/>
                </w:tcPr>
                <w:p w14:paraId="036801F2">
                  <w:pPr>
                    <w:pStyle w:val="15"/>
                  </w:pPr>
                </w:p>
              </w:tc>
              <w:tc>
                <w:tcPr>
                  <w:tcW w:w="609" w:type="pct"/>
                  <w:vMerge w:val="continue"/>
                  <w:vAlign w:val="center"/>
                </w:tcPr>
                <w:p w14:paraId="4BA82431">
                  <w:pPr>
                    <w:pStyle w:val="15"/>
                  </w:pPr>
                </w:p>
              </w:tc>
              <w:tc>
                <w:tcPr>
                  <w:tcW w:w="1030" w:type="dxa"/>
                  <w:vAlign w:val="center"/>
                </w:tcPr>
                <w:p w14:paraId="46450933">
                  <w:pPr>
                    <w:pStyle w:val="15"/>
                    <w:ind w:firstLine="0" w:firstLineChars="0"/>
                    <w:rPr>
                      <w:rFonts w:hint="default" w:eastAsia="宋体"/>
                      <w:lang w:val="en-US" w:eastAsia="zh-CN"/>
                    </w:rPr>
                  </w:pPr>
                  <w:r>
                    <w:rPr>
                      <w:rFonts w:hint="eastAsia"/>
                      <w:lang w:val="en-US" w:eastAsia="zh-CN"/>
                    </w:rPr>
                    <w:t>27.5</w:t>
                  </w:r>
                </w:p>
              </w:tc>
            </w:tr>
            <w:tr w14:paraId="2AE5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7902BF8E">
                  <w:pPr>
                    <w:pStyle w:val="15"/>
                  </w:pPr>
                </w:p>
              </w:tc>
              <w:tc>
                <w:tcPr>
                  <w:tcW w:w="574" w:type="pct"/>
                  <w:vMerge w:val="continue"/>
                  <w:vAlign w:val="center"/>
                </w:tcPr>
                <w:p w14:paraId="4CE88D6C">
                  <w:pPr>
                    <w:pStyle w:val="15"/>
                  </w:pPr>
                </w:p>
              </w:tc>
              <w:tc>
                <w:tcPr>
                  <w:tcW w:w="595" w:type="pct"/>
                  <w:vMerge w:val="continue"/>
                  <w:vAlign w:val="center"/>
                </w:tcPr>
                <w:p w14:paraId="57137A08">
                  <w:pPr>
                    <w:pStyle w:val="15"/>
                  </w:pPr>
                </w:p>
              </w:tc>
              <w:tc>
                <w:tcPr>
                  <w:tcW w:w="503" w:type="pct"/>
                  <w:vMerge w:val="continue"/>
                  <w:vAlign w:val="center"/>
                </w:tcPr>
                <w:p w14:paraId="6C85B7C8">
                  <w:pPr>
                    <w:pStyle w:val="15"/>
                  </w:pPr>
                </w:p>
              </w:tc>
              <w:tc>
                <w:tcPr>
                  <w:tcW w:w="321" w:type="pct"/>
                  <w:vAlign w:val="center"/>
                </w:tcPr>
                <w:p w14:paraId="3C4D953A">
                  <w:pPr>
                    <w:pStyle w:val="15"/>
                  </w:pPr>
                  <w:r>
                    <w:rPr>
                      <w:rFonts w:hint="eastAsia"/>
                    </w:rPr>
                    <w:t>南</w:t>
                  </w:r>
                </w:p>
              </w:tc>
              <w:tc>
                <w:tcPr>
                  <w:tcW w:w="661" w:type="dxa"/>
                  <w:vAlign w:val="center"/>
                </w:tcPr>
                <w:p w14:paraId="02DA9116">
                  <w:pPr>
                    <w:pStyle w:val="15"/>
                    <w:ind w:firstLine="0" w:firstLineChars="0"/>
                    <w:rPr>
                      <w:rFonts w:hint="default" w:eastAsia="宋体"/>
                      <w:lang w:val="en-US" w:eastAsia="zh-CN"/>
                    </w:rPr>
                  </w:pPr>
                  <w:r>
                    <w:rPr>
                      <w:rFonts w:hint="eastAsia"/>
                      <w:lang w:val="en-US" w:eastAsia="zh-CN"/>
                    </w:rPr>
                    <w:t>20</w:t>
                  </w:r>
                </w:p>
              </w:tc>
              <w:tc>
                <w:tcPr>
                  <w:tcW w:w="1030" w:type="dxa"/>
                  <w:vAlign w:val="center"/>
                </w:tcPr>
                <w:p w14:paraId="0BCBDDEE">
                  <w:pPr>
                    <w:pStyle w:val="15"/>
                    <w:ind w:firstLine="0" w:firstLineChars="0"/>
                    <w:rPr>
                      <w:rFonts w:hint="default" w:eastAsia="宋体"/>
                      <w:lang w:val="en-US" w:eastAsia="zh-CN"/>
                    </w:rPr>
                  </w:pPr>
                  <w:r>
                    <w:rPr>
                      <w:rFonts w:hint="eastAsia"/>
                      <w:lang w:val="en-US" w:eastAsia="zh-CN"/>
                    </w:rPr>
                    <w:t>58.9</w:t>
                  </w:r>
                </w:p>
              </w:tc>
              <w:tc>
                <w:tcPr>
                  <w:tcW w:w="325" w:type="pct"/>
                  <w:vMerge w:val="continue"/>
                  <w:vAlign w:val="center"/>
                </w:tcPr>
                <w:p w14:paraId="1626DAE6">
                  <w:pPr>
                    <w:pStyle w:val="15"/>
                  </w:pPr>
                </w:p>
              </w:tc>
              <w:tc>
                <w:tcPr>
                  <w:tcW w:w="609" w:type="pct"/>
                  <w:vMerge w:val="continue"/>
                  <w:vAlign w:val="center"/>
                </w:tcPr>
                <w:p w14:paraId="430FFEE5">
                  <w:pPr>
                    <w:pStyle w:val="15"/>
                  </w:pPr>
                </w:p>
              </w:tc>
              <w:tc>
                <w:tcPr>
                  <w:tcW w:w="1030" w:type="dxa"/>
                  <w:vAlign w:val="center"/>
                </w:tcPr>
                <w:p w14:paraId="00D3E5B4">
                  <w:pPr>
                    <w:pStyle w:val="15"/>
                    <w:ind w:firstLine="0" w:firstLineChars="0"/>
                    <w:rPr>
                      <w:rFonts w:hint="default" w:eastAsia="宋体"/>
                      <w:lang w:val="en-US" w:eastAsia="zh-CN"/>
                    </w:rPr>
                  </w:pPr>
                  <w:r>
                    <w:rPr>
                      <w:rFonts w:hint="eastAsia"/>
                      <w:lang w:val="en-US" w:eastAsia="zh-CN"/>
                    </w:rPr>
                    <w:t>33.9</w:t>
                  </w:r>
                </w:p>
              </w:tc>
            </w:tr>
            <w:tr w14:paraId="67FD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7CF9988">
                  <w:pPr>
                    <w:pStyle w:val="15"/>
                  </w:pPr>
                </w:p>
              </w:tc>
              <w:tc>
                <w:tcPr>
                  <w:tcW w:w="574" w:type="pct"/>
                  <w:vMerge w:val="continue"/>
                  <w:vAlign w:val="center"/>
                </w:tcPr>
                <w:p w14:paraId="4BD90C86">
                  <w:pPr>
                    <w:pStyle w:val="15"/>
                  </w:pPr>
                </w:p>
              </w:tc>
              <w:tc>
                <w:tcPr>
                  <w:tcW w:w="595" w:type="pct"/>
                  <w:vMerge w:val="continue"/>
                  <w:vAlign w:val="center"/>
                </w:tcPr>
                <w:p w14:paraId="743F51CE">
                  <w:pPr>
                    <w:pStyle w:val="15"/>
                  </w:pPr>
                </w:p>
              </w:tc>
              <w:tc>
                <w:tcPr>
                  <w:tcW w:w="503" w:type="pct"/>
                  <w:vMerge w:val="continue"/>
                  <w:vAlign w:val="center"/>
                </w:tcPr>
                <w:p w14:paraId="277C1D8D">
                  <w:pPr>
                    <w:pStyle w:val="15"/>
                  </w:pPr>
                </w:p>
              </w:tc>
              <w:tc>
                <w:tcPr>
                  <w:tcW w:w="321" w:type="pct"/>
                  <w:vAlign w:val="center"/>
                </w:tcPr>
                <w:p w14:paraId="13A9B8B6">
                  <w:pPr>
                    <w:pStyle w:val="15"/>
                  </w:pPr>
                  <w:r>
                    <w:rPr>
                      <w:rFonts w:hint="eastAsia"/>
                    </w:rPr>
                    <w:t>西</w:t>
                  </w:r>
                </w:p>
              </w:tc>
              <w:tc>
                <w:tcPr>
                  <w:tcW w:w="661" w:type="dxa"/>
                  <w:vAlign w:val="center"/>
                </w:tcPr>
                <w:p w14:paraId="0198E654">
                  <w:pPr>
                    <w:pStyle w:val="15"/>
                    <w:ind w:firstLine="0" w:firstLineChars="0"/>
                    <w:rPr>
                      <w:rFonts w:hint="default" w:eastAsia="宋体"/>
                      <w:lang w:val="en-US" w:eastAsia="zh-CN"/>
                    </w:rPr>
                  </w:pPr>
                  <w:r>
                    <w:rPr>
                      <w:rFonts w:hint="eastAsia"/>
                      <w:lang w:val="en-US" w:eastAsia="zh-CN"/>
                    </w:rPr>
                    <w:t>8</w:t>
                  </w:r>
                </w:p>
              </w:tc>
              <w:tc>
                <w:tcPr>
                  <w:tcW w:w="1030" w:type="dxa"/>
                  <w:vAlign w:val="center"/>
                </w:tcPr>
                <w:p w14:paraId="66DEA0C1">
                  <w:pPr>
                    <w:pStyle w:val="15"/>
                    <w:ind w:firstLine="0" w:firstLineChars="0"/>
                    <w:rPr>
                      <w:rFonts w:hint="default" w:eastAsia="宋体"/>
                      <w:lang w:val="en-US" w:eastAsia="zh-CN"/>
                    </w:rPr>
                  </w:pPr>
                  <w:r>
                    <w:rPr>
                      <w:rFonts w:hint="eastAsia"/>
                      <w:lang w:val="en-US" w:eastAsia="zh-CN"/>
                    </w:rPr>
                    <w:t>66.9</w:t>
                  </w:r>
                </w:p>
              </w:tc>
              <w:tc>
                <w:tcPr>
                  <w:tcW w:w="325" w:type="pct"/>
                  <w:vMerge w:val="continue"/>
                  <w:vAlign w:val="center"/>
                </w:tcPr>
                <w:p w14:paraId="05A16FDC">
                  <w:pPr>
                    <w:pStyle w:val="15"/>
                  </w:pPr>
                </w:p>
              </w:tc>
              <w:tc>
                <w:tcPr>
                  <w:tcW w:w="609" w:type="pct"/>
                  <w:vMerge w:val="continue"/>
                  <w:vAlign w:val="center"/>
                </w:tcPr>
                <w:p w14:paraId="617C9418">
                  <w:pPr>
                    <w:pStyle w:val="15"/>
                  </w:pPr>
                </w:p>
              </w:tc>
              <w:tc>
                <w:tcPr>
                  <w:tcW w:w="1030" w:type="dxa"/>
                  <w:vAlign w:val="center"/>
                </w:tcPr>
                <w:p w14:paraId="6332F74A">
                  <w:pPr>
                    <w:pStyle w:val="15"/>
                    <w:ind w:firstLine="0" w:firstLineChars="0"/>
                    <w:rPr>
                      <w:rFonts w:hint="default" w:eastAsia="宋体"/>
                      <w:lang w:val="en-US" w:eastAsia="zh-CN"/>
                    </w:rPr>
                  </w:pPr>
                  <w:r>
                    <w:rPr>
                      <w:rFonts w:hint="eastAsia"/>
                      <w:lang w:val="en-US" w:eastAsia="zh-CN"/>
                    </w:rPr>
                    <w:t>41.9</w:t>
                  </w:r>
                </w:p>
              </w:tc>
            </w:tr>
            <w:tr w14:paraId="7434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B09C8E3">
                  <w:pPr>
                    <w:pStyle w:val="15"/>
                  </w:pPr>
                </w:p>
              </w:tc>
              <w:tc>
                <w:tcPr>
                  <w:tcW w:w="574" w:type="pct"/>
                  <w:vMerge w:val="continue"/>
                  <w:vAlign w:val="center"/>
                </w:tcPr>
                <w:p w14:paraId="0AFC2053">
                  <w:pPr>
                    <w:pStyle w:val="15"/>
                  </w:pPr>
                </w:p>
              </w:tc>
              <w:tc>
                <w:tcPr>
                  <w:tcW w:w="595" w:type="pct"/>
                  <w:vMerge w:val="continue"/>
                  <w:vAlign w:val="center"/>
                </w:tcPr>
                <w:p w14:paraId="4BDDFB44">
                  <w:pPr>
                    <w:pStyle w:val="15"/>
                  </w:pPr>
                </w:p>
              </w:tc>
              <w:tc>
                <w:tcPr>
                  <w:tcW w:w="503" w:type="pct"/>
                  <w:vMerge w:val="continue"/>
                  <w:vAlign w:val="center"/>
                </w:tcPr>
                <w:p w14:paraId="0BE3E473">
                  <w:pPr>
                    <w:pStyle w:val="15"/>
                  </w:pPr>
                </w:p>
              </w:tc>
              <w:tc>
                <w:tcPr>
                  <w:tcW w:w="321" w:type="pct"/>
                  <w:vAlign w:val="center"/>
                </w:tcPr>
                <w:p w14:paraId="4254C027">
                  <w:pPr>
                    <w:pStyle w:val="15"/>
                  </w:pPr>
                  <w:r>
                    <w:rPr>
                      <w:rFonts w:hint="eastAsia"/>
                    </w:rPr>
                    <w:t>北</w:t>
                  </w:r>
                </w:p>
              </w:tc>
              <w:tc>
                <w:tcPr>
                  <w:tcW w:w="661" w:type="dxa"/>
                  <w:vAlign w:val="center"/>
                </w:tcPr>
                <w:p w14:paraId="5A5BB7EE">
                  <w:pPr>
                    <w:pStyle w:val="15"/>
                    <w:ind w:firstLine="0" w:firstLineChars="0"/>
                    <w:rPr>
                      <w:rFonts w:hint="default" w:eastAsia="宋体"/>
                      <w:lang w:val="en-US" w:eastAsia="zh-CN"/>
                    </w:rPr>
                  </w:pPr>
                  <w:r>
                    <w:rPr>
                      <w:rFonts w:hint="eastAsia"/>
                      <w:lang w:val="en-US" w:eastAsia="zh-CN"/>
                    </w:rPr>
                    <w:t>8</w:t>
                  </w:r>
                </w:p>
              </w:tc>
              <w:tc>
                <w:tcPr>
                  <w:tcW w:w="1030" w:type="dxa"/>
                  <w:vAlign w:val="center"/>
                </w:tcPr>
                <w:p w14:paraId="031B233F">
                  <w:pPr>
                    <w:pStyle w:val="15"/>
                    <w:ind w:firstLine="0" w:firstLineChars="0"/>
                    <w:rPr>
                      <w:rFonts w:hint="default" w:eastAsia="宋体"/>
                      <w:lang w:val="en-US" w:eastAsia="zh-CN"/>
                    </w:rPr>
                  </w:pPr>
                  <w:r>
                    <w:rPr>
                      <w:rFonts w:hint="eastAsia"/>
                      <w:lang w:val="en-US" w:eastAsia="zh-CN"/>
                    </w:rPr>
                    <w:t>66.9</w:t>
                  </w:r>
                </w:p>
              </w:tc>
              <w:tc>
                <w:tcPr>
                  <w:tcW w:w="325" w:type="pct"/>
                  <w:vMerge w:val="continue"/>
                  <w:vAlign w:val="center"/>
                </w:tcPr>
                <w:p w14:paraId="2976ACA6">
                  <w:pPr>
                    <w:pStyle w:val="15"/>
                  </w:pPr>
                </w:p>
              </w:tc>
              <w:tc>
                <w:tcPr>
                  <w:tcW w:w="609" w:type="pct"/>
                  <w:vMerge w:val="continue"/>
                  <w:vAlign w:val="center"/>
                </w:tcPr>
                <w:p w14:paraId="0EE71C5C">
                  <w:pPr>
                    <w:pStyle w:val="15"/>
                  </w:pPr>
                </w:p>
              </w:tc>
              <w:tc>
                <w:tcPr>
                  <w:tcW w:w="1030" w:type="dxa"/>
                  <w:vAlign w:val="center"/>
                </w:tcPr>
                <w:p w14:paraId="4FDDB560">
                  <w:pPr>
                    <w:pStyle w:val="15"/>
                    <w:ind w:firstLine="0" w:firstLineChars="0"/>
                    <w:rPr>
                      <w:rFonts w:hint="default" w:eastAsia="宋体"/>
                      <w:lang w:val="en-US" w:eastAsia="zh-CN"/>
                    </w:rPr>
                  </w:pPr>
                  <w:r>
                    <w:rPr>
                      <w:rFonts w:hint="eastAsia"/>
                      <w:lang w:val="en-US" w:eastAsia="zh-CN"/>
                    </w:rPr>
                    <w:t>41.9</w:t>
                  </w:r>
                </w:p>
              </w:tc>
            </w:tr>
            <w:tr w14:paraId="6618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7092F6C5">
                  <w:pPr>
                    <w:pStyle w:val="15"/>
                  </w:pPr>
                </w:p>
              </w:tc>
              <w:tc>
                <w:tcPr>
                  <w:tcW w:w="574" w:type="pct"/>
                  <w:vMerge w:val="restart"/>
                  <w:vAlign w:val="center"/>
                </w:tcPr>
                <w:p w14:paraId="473AB2CD">
                  <w:pPr>
                    <w:pStyle w:val="15"/>
                  </w:pPr>
                  <w:r>
                    <w:rPr>
                      <w:rFonts w:hint="eastAsia"/>
                    </w:rPr>
                    <w:t>除尘器</w:t>
                  </w:r>
                </w:p>
              </w:tc>
              <w:tc>
                <w:tcPr>
                  <w:tcW w:w="595" w:type="pct"/>
                  <w:vMerge w:val="restart"/>
                  <w:vAlign w:val="center"/>
                </w:tcPr>
                <w:p w14:paraId="26F356EF">
                  <w:pPr>
                    <w:pStyle w:val="15"/>
                    <w:rPr>
                      <w:rFonts w:hint="eastAsia" w:eastAsia="宋体"/>
                      <w:lang w:eastAsia="zh-CN"/>
                    </w:rPr>
                  </w:pPr>
                  <w:r>
                    <w:rPr>
                      <w:rFonts w:hint="eastAsia"/>
                    </w:rPr>
                    <w:t>8</w:t>
                  </w:r>
                  <w:r>
                    <w:rPr>
                      <w:rFonts w:hint="eastAsia"/>
                      <w:lang w:val="en-US" w:eastAsia="zh-CN"/>
                    </w:rPr>
                    <w:t>5</w:t>
                  </w:r>
                </w:p>
              </w:tc>
              <w:tc>
                <w:tcPr>
                  <w:tcW w:w="503" w:type="pct"/>
                  <w:vMerge w:val="continue"/>
                  <w:vAlign w:val="center"/>
                </w:tcPr>
                <w:p w14:paraId="175AFD3B">
                  <w:pPr>
                    <w:pStyle w:val="15"/>
                  </w:pPr>
                </w:p>
              </w:tc>
              <w:tc>
                <w:tcPr>
                  <w:tcW w:w="321" w:type="pct"/>
                  <w:vAlign w:val="center"/>
                </w:tcPr>
                <w:p w14:paraId="7B58DD5A">
                  <w:pPr>
                    <w:pStyle w:val="15"/>
                  </w:pPr>
                  <w:r>
                    <w:rPr>
                      <w:rFonts w:hint="eastAsia"/>
                    </w:rPr>
                    <w:t>东</w:t>
                  </w:r>
                </w:p>
              </w:tc>
              <w:tc>
                <w:tcPr>
                  <w:tcW w:w="661" w:type="dxa"/>
                  <w:vAlign w:val="center"/>
                </w:tcPr>
                <w:p w14:paraId="64C562B9">
                  <w:pPr>
                    <w:pStyle w:val="15"/>
                    <w:ind w:firstLine="0" w:firstLineChars="0"/>
                    <w:rPr>
                      <w:rFonts w:hint="eastAsia" w:eastAsia="宋体"/>
                      <w:lang w:val="en-US" w:eastAsia="zh-CN"/>
                    </w:rPr>
                  </w:pPr>
                  <w:r>
                    <w:rPr>
                      <w:rFonts w:hint="eastAsia"/>
                      <w:lang w:val="en-US" w:eastAsia="zh-CN"/>
                    </w:rPr>
                    <w:t>41</w:t>
                  </w:r>
                </w:p>
              </w:tc>
              <w:tc>
                <w:tcPr>
                  <w:tcW w:w="653" w:type="pct"/>
                  <w:vAlign w:val="center"/>
                </w:tcPr>
                <w:p w14:paraId="7E9386C0">
                  <w:pPr>
                    <w:pStyle w:val="15"/>
                    <w:rPr>
                      <w:rFonts w:hint="default" w:eastAsia="宋体"/>
                      <w:lang w:val="en-US" w:eastAsia="zh-CN"/>
                    </w:rPr>
                  </w:pPr>
                  <w:r>
                    <w:rPr>
                      <w:rFonts w:hint="eastAsia"/>
                      <w:lang w:val="en-US" w:eastAsia="zh-CN"/>
                    </w:rPr>
                    <w:t>52.7</w:t>
                  </w:r>
                </w:p>
              </w:tc>
              <w:tc>
                <w:tcPr>
                  <w:tcW w:w="325" w:type="pct"/>
                  <w:vMerge w:val="continue"/>
                  <w:vAlign w:val="center"/>
                </w:tcPr>
                <w:p w14:paraId="4345C0A7">
                  <w:pPr>
                    <w:pStyle w:val="15"/>
                  </w:pPr>
                </w:p>
              </w:tc>
              <w:tc>
                <w:tcPr>
                  <w:tcW w:w="609" w:type="pct"/>
                  <w:vMerge w:val="continue"/>
                  <w:vAlign w:val="center"/>
                </w:tcPr>
                <w:p w14:paraId="3CDA0D7F">
                  <w:pPr>
                    <w:pStyle w:val="15"/>
                  </w:pPr>
                </w:p>
              </w:tc>
              <w:tc>
                <w:tcPr>
                  <w:tcW w:w="653" w:type="pct"/>
                  <w:vAlign w:val="center"/>
                </w:tcPr>
                <w:p w14:paraId="68DF5749">
                  <w:pPr>
                    <w:pStyle w:val="15"/>
                    <w:rPr>
                      <w:rFonts w:hint="default" w:eastAsia="宋体"/>
                      <w:lang w:val="en-US" w:eastAsia="zh-CN"/>
                    </w:rPr>
                  </w:pPr>
                  <w:r>
                    <w:rPr>
                      <w:rFonts w:hint="eastAsia"/>
                      <w:lang w:val="en-US" w:eastAsia="zh-CN"/>
                    </w:rPr>
                    <w:t>27.7</w:t>
                  </w:r>
                </w:p>
              </w:tc>
            </w:tr>
            <w:tr w14:paraId="7AF4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shd w:val="clear" w:color="auto" w:fill="auto"/>
                  <w:vAlign w:val="center"/>
                </w:tcPr>
                <w:p w14:paraId="5E2E7614">
                  <w:pPr>
                    <w:pStyle w:val="15"/>
                  </w:pPr>
                </w:p>
              </w:tc>
              <w:tc>
                <w:tcPr>
                  <w:tcW w:w="574" w:type="pct"/>
                  <w:vMerge w:val="continue"/>
                  <w:vAlign w:val="center"/>
                </w:tcPr>
                <w:p w14:paraId="4DBD9447">
                  <w:pPr>
                    <w:pStyle w:val="15"/>
                  </w:pPr>
                </w:p>
              </w:tc>
              <w:tc>
                <w:tcPr>
                  <w:tcW w:w="595" w:type="pct"/>
                  <w:vMerge w:val="continue"/>
                  <w:vAlign w:val="center"/>
                </w:tcPr>
                <w:p w14:paraId="6DB0F856">
                  <w:pPr>
                    <w:pStyle w:val="15"/>
                  </w:pPr>
                </w:p>
              </w:tc>
              <w:tc>
                <w:tcPr>
                  <w:tcW w:w="503" w:type="pct"/>
                  <w:vMerge w:val="continue"/>
                  <w:vAlign w:val="center"/>
                </w:tcPr>
                <w:p w14:paraId="62EF956D">
                  <w:pPr>
                    <w:pStyle w:val="15"/>
                  </w:pPr>
                </w:p>
              </w:tc>
              <w:tc>
                <w:tcPr>
                  <w:tcW w:w="321" w:type="pct"/>
                  <w:vAlign w:val="center"/>
                </w:tcPr>
                <w:p w14:paraId="5AA88795">
                  <w:pPr>
                    <w:pStyle w:val="15"/>
                  </w:pPr>
                  <w:r>
                    <w:rPr>
                      <w:rFonts w:hint="eastAsia"/>
                    </w:rPr>
                    <w:t>南</w:t>
                  </w:r>
                </w:p>
              </w:tc>
              <w:tc>
                <w:tcPr>
                  <w:tcW w:w="661" w:type="dxa"/>
                  <w:vAlign w:val="center"/>
                </w:tcPr>
                <w:p w14:paraId="4B940B22">
                  <w:pPr>
                    <w:pStyle w:val="15"/>
                    <w:ind w:firstLine="0" w:firstLineChars="0"/>
                    <w:rPr>
                      <w:rFonts w:hint="default" w:eastAsia="宋体"/>
                      <w:lang w:val="en-US" w:eastAsia="zh-CN"/>
                    </w:rPr>
                  </w:pPr>
                  <w:r>
                    <w:rPr>
                      <w:rFonts w:hint="eastAsia"/>
                      <w:lang w:val="en-US" w:eastAsia="zh-CN"/>
                    </w:rPr>
                    <w:t>20</w:t>
                  </w:r>
                </w:p>
              </w:tc>
              <w:tc>
                <w:tcPr>
                  <w:tcW w:w="653" w:type="pct"/>
                  <w:vAlign w:val="center"/>
                </w:tcPr>
                <w:p w14:paraId="1F41A669">
                  <w:pPr>
                    <w:pStyle w:val="15"/>
                    <w:rPr>
                      <w:rFonts w:hint="default" w:eastAsia="宋体"/>
                      <w:lang w:val="en-US" w:eastAsia="zh-CN"/>
                    </w:rPr>
                  </w:pPr>
                  <w:r>
                    <w:rPr>
                      <w:rFonts w:hint="eastAsia"/>
                      <w:lang w:val="en-US" w:eastAsia="zh-CN"/>
                    </w:rPr>
                    <w:t>58.9</w:t>
                  </w:r>
                </w:p>
              </w:tc>
              <w:tc>
                <w:tcPr>
                  <w:tcW w:w="325" w:type="pct"/>
                  <w:vMerge w:val="continue"/>
                  <w:vAlign w:val="center"/>
                </w:tcPr>
                <w:p w14:paraId="6577B01A">
                  <w:pPr>
                    <w:pStyle w:val="15"/>
                  </w:pPr>
                </w:p>
              </w:tc>
              <w:tc>
                <w:tcPr>
                  <w:tcW w:w="609" w:type="pct"/>
                  <w:vMerge w:val="continue"/>
                  <w:vAlign w:val="center"/>
                </w:tcPr>
                <w:p w14:paraId="73F65EAE">
                  <w:pPr>
                    <w:pStyle w:val="15"/>
                  </w:pPr>
                </w:p>
              </w:tc>
              <w:tc>
                <w:tcPr>
                  <w:tcW w:w="653" w:type="pct"/>
                  <w:vAlign w:val="center"/>
                </w:tcPr>
                <w:p w14:paraId="08F48E91">
                  <w:pPr>
                    <w:pStyle w:val="15"/>
                    <w:rPr>
                      <w:rFonts w:hint="default" w:eastAsia="宋体"/>
                      <w:lang w:val="en-US" w:eastAsia="zh-CN"/>
                    </w:rPr>
                  </w:pPr>
                  <w:r>
                    <w:rPr>
                      <w:rFonts w:hint="eastAsia"/>
                      <w:lang w:val="en-US" w:eastAsia="zh-CN"/>
                    </w:rPr>
                    <w:t>33.9</w:t>
                  </w:r>
                </w:p>
              </w:tc>
            </w:tr>
            <w:tr w14:paraId="22E1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35A121A5">
                  <w:pPr>
                    <w:pStyle w:val="15"/>
                  </w:pPr>
                </w:p>
              </w:tc>
              <w:tc>
                <w:tcPr>
                  <w:tcW w:w="574" w:type="pct"/>
                  <w:vMerge w:val="continue"/>
                  <w:vAlign w:val="center"/>
                </w:tcPr>
                <w:p w14:paraId="2CE4BC4C">
                  <w:pPr>
                    <w:pStyle w:val="15"/>
                  </w:pPr>
                </w:p>
              </w:tc>
              <w:tc>
                <w:tcPr>
                  <w:tcW w:w="595" w:type="pct"/>
                  <w:vMerge w:val="continue"/>
                  <w:vAlign w:val="center"/>
                </w:tcPr>
                <w:p w14:paraId="4684FA97">
                  <w:pPr>
                    <w:pStyle w:val="15"/>
                  </w:pPr>
                </w:p>
              </w:tc>
              <w:tc>
                <w:tcPr>
                  <w:tcW w:w="503" w:type="pct"/>
                  <w:vMerge w:val="continue"/>
                  <w:vAlign w:val="center"/>
                </w:tcPr>
                <w:p w14:paraId="0C651BE3">
                  <w:pPr>
                    <w:pStyle w:val="15"/>
                  </w:pPr>
                </w:p>
              </w:tc>
              <w:tc>
                <w:tcPr>
                  <w:tcW w:w="321" w:type="pct"/>
                  <w:vAlign w:val="center"/>
                </w:tcPr>
                <w:p w14:paraId="2A74456C">
                  <w:pPr>
                    <w:pStyle w:val="15"/>
                  </w:pPr>
                  <w:r>
                    <w:rPr>
                      <w:rFonts w:hint="eastAsia"/>
                    </w:rPr>
                    <w:t>西</w:t>
                  </w:r>
                </w:p>
              </w:tc>
              <w:tc>
                <w:tcPr>
                  <w:tcW w:w="661" w:type="dxa"/>
                  <w:vAlign w:val="center"/>
                </w:tcPr>
                <w:p w14:paraId="54211BF3">
                  <w:pPr>
                    <w:pStyle w:val="15"/>
                    <w:ind w:firstLine="0" w:firstLineChars="0"/>
                    <w:rPr>
                      <w:rFonts w:hint="default" w:eastAsia="宋体"/>
                      <w:lang w:val="en-US" w:eastAsia="zh-CN"/>
                    </w:rPr>
                  </w:pPr>
                  <w:r>
                    <w:rPr>
                      <w:rFonts w:hint="eastAsia"/>
                      <w:lang w:val="en-US" w:eastAsia="zh-CN"/>
                    </w:rPr>
                    <w:t>9</w:t>
                  </w:r>
                </w:p>
              </w:tc>
              <w:tc>
                <w:tcPr>
                  <w:tcW w:w="653" w:type="pct"/>
                  <w:vAlign w:val="center"/>
                </w:tcPr>
                <w:p w14:paraId="36441FE9">
                  <w:pPr>
                    <w:pStyle w:val="15"/>
                    <w:rPr>
                      <w:rFonts w:hint="default" w:eastAsia="宋体"/>
                      <w:lang w:val="en-US" w:eastAsia="zh-CN"/>
                    </w:rPr>
                  </w:pPr>
                  <w:r>
                    <w:rPr>
                      <w:rFonts w:hint="eastAsia"/>
                      <w:lang w:val="en-US" w:eastAsia="zh-CN"/>
                    </w:rPr>
                    <w:t>65.9</w:t>
                  </w:r>
                </w:p>
              </w:tc>
              <w:tc>
                <w:tcPr>
                  <w:tcW w:w="325" w:type="pct"/>
                  <w:vMerge w:val="continue"/>
                  <w:vAlign w:val="center"/>
                </w:tcPr>
                <w:p w14:paraId="7982E0FA">
                  <w:pPr>
                    <w:pStyle w:val="15"/>
                  </w:pPr>
                </w:p>
              </w:tc>
              <w:tc>
                <w:tcPr>
                  <w:tcW w:w="609" w:type="pct"/>
                  <w:vMerge w:val="continue"/>
                  <w:vAlign w:val="center"/>
                </w:tcPr>
                <w:p w14:paraId="478F1A9A">
                  <w:pPr>
                    <w:pStyle w:val="15"/>
                  </w:pPr>
                </w:p>
              </w:tc>
              <w:tc>
                <w:tcPr>
                  <w:tcW w:w="653" w:type="pct"/>
                  <w:vAlign w:val="center"/>
                </w:tcPr>
                <w:p w14:paraId="4A591C89">
                  <w:pPr>
                    <w:pStyle w:val="15"/>
                    <w:rPr>
                      <w:rFonts w:hint="default" w:eastAsia="宋体"/>
                      <w:lang w:val="en-US" w:eastAsia="zh-CN"/>
                    </w:rPr>
                  </w:pPr>
                  <w:r>
                    <w:rPr>
                      <w:rFonts w:hint="eastAsia"/>
                      <w:lang w:val="en-US" w:eastAsia="zh-CN"/>
                    </w:rPr>
                    <w:t>40.9</w:t>
                  </w:r>
                </w:p>
              </w:tc>
            </w:tr>
            <w:tr w14:paraId="5F94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Merge w:val="continue"/>
                  <w:vAlign w:val="center"/>
                </w:tcPr>
                <w:p w14:paraId="6C95CF5A">
                  <w:pPr>
                    <w:pStyle w:val="15"/>
                  </w:pPr>
                </w:p>
              </w:tc>
              <w:tc>
                <w:tcPr>
                  <w:tcW w:w="574" w:type="pct"/>
                  <w:vMerge w:val="continue"/>
                  <w:vAlign w:val="center"/>
                </w:tcPr>
                <w:p w14:paraId="190050B8">
                  <w:pPr>
                    <w:pStyle w:val="15"/>
                  </w:pPr>
                </w:p>
              </w:tc>
              <w:tc>
                <w:tcPr>
                  <w:tcW w:w="595" w:type="pct"/>
                  <w:vMerge w:val="continue"/>
                  <w:vAlign w:val="center"/>
                </w:tcPr>
                <w:p w14:paraId="4C4975F9">
                  <w:pPr>
                    <w:pStyle w:val="15"/>
                  </w:pPr>
                </w:p>
              </w:tc>
              <w:tc>
                <w:tcPr>
                  <w:tcW w:w="503" w:type="pct"/>
                  <w:vMerge w:val="continue"/>
                  <w:vAlign w:val="center"/>
                </w:tcPr>
                <w:p w14:paraId="718BAEC8">
                  <w:pPr>
                    <w:pStyle w:val="15"/>
                  </w:pPr>
                </w:p>
              </w:tc>
              <w:tc>
                <w:tcPr>
                  <w:tcW w:w="321" w:type="pct"/>
                  <w:vAlign w:val="center"/>
                </w:tcPr>
                <w:p w14:paraId="4D48FE3D">
                  <w:pPr>
                    <w:pStyle w:val="15"/>
                  </w:pPr>
                  <w:r>
                    <w:rPr>
                      <w:rFonts w:hint="eastAsia"/>
                    </w:rPr>
                    <w:t>北</w:t>
                  </w:r>
                </w:p>
              </w:tc>
              <w:tc>
                <w:tcPr>
                  <w:tcW w:w="661" w:type="dxa"/>
                  <w:vAlign w:val="center"/>
                </w:tcPr>
                <w:p w14:paraId="1616E18B">
                  <w:pPr>
                    <w:pStyle w:val="15"/>
                    <w:ind w:firstLine="0" w:firstLineChars="0"/>
                    <w:rPr>
                      <w:rFonts w:hint="default" w:eastAsia="宋体"/>
                      <w:lang w:val="en-US" w:eastAsia="zh-CN"/>
                    </w:rPr>
                  </w:pPr>
                  <w:r>
                    <w:rPr>
                      <w:rFonts w:hint="eastAsia"/>
                      <w:lang w:val="en-US" w:eastAsia="zh-CN"/>
                    </w:rPr>
                    <w:t>8</w:t>
                  </w:r>
                </w:p>
              </w:tc>
              <w:tc>
                <w:tcPr>
                  <w:tcW w:w="653" w:type="pct"/>
                  <w:vAlign w:val="center"/>
                </w:tcPr>
                <w:p w14:paraId="15C1A87D">
                  <w:pPr>
                    <w:pStyle w:val="15"/>
                    <w:rPr>
                      <w:rFonts w:hint="default" w:eastAsia="宋体"/>
                      <w:lang w:val="en-US" w:eastAsia="zh-CN"/>
                    </w:rPr>
                  </w:pPr>
                  <w:r>
                    <w:rPr>
                      <w:rFonts w:hint="eastAsia"/>
                      <w:lang w:val="en-US" w:eastAsia="zh-CN"/>
                    </w:rPr>
                    <w:t>66.9</w:t>
                  </w:r>
                </w:p>
              </w:tc>
              <w:tc>
                <w:tcPr>
                  <w:tcW w:w="325" w:type="pct"/>
                  <w:vMerge w:val="continue"/>
                  <w:vAlign w:val="center"/>
                </w:tcPr>
                <w:p w14:paraId="78421512">
                  <w:pPr>
                    <w:pStyle w:val="15"/>
                  </w:pPr>
                </w:p>
              </w:tc>
              <w:tc>
                <w:tcPr>
                  <w:tcW w:w="609" w:type="pct"/>
                  <w:vMerge w:val="continue"/>
                  <w:vAlign w:val="center"/>
                </w:tcPr>
                <w:p w14:paraId="675C0894">
                  <w:pPr>
                    <w:pStyle w:val="15"/>
                  </w:pPr>
                </w:p>
              </w:tc>
              <w:tc>
                <w:tcPr>
                  <w:tcW w:w="653" w:type="pct"/>
                  <w:vAlign w:val="center"/>
                </w:tcPr>
                <w:p w14:paraId="4FFC6E69">
                  <w:pPr>
                    <w:pStyle w:val="15"/>
                    <w:rPr>
                      <w:rFonts w:hint="default" w:eastAsia="宋体"/>
                      <w:lang w:val="en-US" w:eastAsia="zh-CN"/>
                    </w:rPr>
                  </w:pPr>
                  <w:r>
                    <w:rPr>
                      <w:rFonts w:hint="eastAsia"/>
                      <w:lang w:val="en-US" w:eastAsia="zh-CN"/>
                    </w:rPr>
                    <w:t>41.9</w:t>
                  </w:r>
                </w:p>
              </w:tc>
            </w:tr>
          </w:tbl>
          <w:p w14:paraId="60D8DC38">
            <w:pPr>
              <w:pStyle w:val="15"/>
              <w:jc w:val="left"/>
            </w:pPr>
            <w:r>
              <w:t>注：①采用直角坐标系，以</w:t>
            </w:r>
            <w:r>
              <w:rPr>
                <w:rFonts w:hint="eastAsia"/>
              </w:rPr>
              <w:t>厂区西南角</w:t>
            </w:r>
            <w:r>
              <w:t>为坐标原点（X=0、Y=0、Z=0），</w:t>
            </w:r>
            <w:r>
              <w:rPr>
                <w:rFonts w:hint="eastAsia"/>
              </w:rPr>
              <w:t>东南</w:t>
            </w:r>
            <w:r>
              <w:t>为X轴正向、</w:t>
            </w:r>
            <w:r>
              <w:rPr>
                <w:rFonts w:hint="eastAsia"/>
              </w:rPr>
              <w:t>西</w:t>
            </w:r>
            <w:r>
              <w:t>北为Y轴正向、垂直向上为Z轴正向。</w:t>
            </w:r>
          </w:p>
          <w:p w14:paraId="0621540A">
            <w:pPr>
              <w:ind w:firstLine="482"/>
              <w:rPr>
                <w:b/>
                <w:bCs/>
              </w:rPr>
            </w:pPr>
            <w:r>
              <w:rPr>
                <w:b/>
                <w:bCs/>
              </w:rPr>
              <w:t>3.2 噪声预测</w:t>
            </w:r>
            <w:r>
              <w:rPr>
                <w:rFonts w:hint="eastAsia"/>
                <w:b/>
                <w:bCs/>
              </w:rPr>
              <w:t>模式</w:t>
            </w:r>
          </w:p>
          <w:p w14:paraId="5E91F5B9">
            <w:pPr>
              <w:pStyle w:val="16"/>
              <w:ind w:firstLine="480"/>
            </w:pPr>
            <w:r>
              <w:t>根据《环境影响评价技术导则 声环境》（HJ 2.4-2021），本次环境噪声影响预测模式如下：</w:t>
            </w:r>
          </w:p>
          <w:p w14:paraId="470A6505">
            <w:pPr>
              <w:pStyle w:val="16"/>
              <w:ind w:firstLine="480"/>
            </w:pPr>
            <w:r>
              <w:rPr>
                <w:rFonts w:hint="eastAsia"/>
              </w:rPr>
              <w:t>（1）</w:t>
            </w:r>
            <w:r>
              <w:t>室内声源</w:t>
            </w:r>
          </w:p>
          <w:p w14:paraId="640F49CE">
            <w:pPr>
              <w:pStyle w:val="16"/>
              <w:ind w:firstLine="480"/>
            </w:pPr>
            <w:r>
              <w:t>①首先计算出某个室内声源靠近围护结构处产生的倍频带声压级或A声级：</w:t>
            </w:r>
          </w:p>
          <w:p w14:paraId="23C9E9F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P1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r>
                  <m:rPr>
                    <m:sty m:val="p"/>
                  </m:rPr>
                  <w:rPr>
                    <w:rFonts w:ascii="Cambria Math" w:hAnsi="Cambria Math"/>
                  </w:rPr>
                  <m:t>10lg</m:t>
                </m:r>
                <m:d>
                  <m:dPr>
                    <m:ctrlPr>
                      <w:rPr>
                        <w:rFonts w:ascii="Cambria Math" w:hAnsi="Cambria Math"/>
                      </w:rPr>
                    </m:ctrlPr>
                  </m:dPr>
                  <m:e>
                    <m:f>
                      <m:fPr>
                        <m:ctrlPr>
                          <w:rPr>
                            <w:rFonts w:ascii="Cambria Math" w:hAnsi="Cambria Math"/>
                            <w:i/>
                          </w:rPr>
                        </m:ctrlPr>
                      </m:fPr>
                      <m:num>
                        <m:r>
                          <m:rPr/>
                          <w:rPr>
                            <w:rFonts w:ascii="Cambria Math" w:hAnsi="Cambria Math"/>
                          </w:rPr>
                          <m:t>Q</m:t>
                        </m:r>
                        <m:ctrlPr>
                          <w:rPr>
                            <w:rFonts w:ascii="Cambria Math" w:hAnsi="Cambria Math"/>
                            <w:i/>
                          </w:rPr>
                        </m:ctrlPr>
                      </m:num>
                      <m:den>
                        <m:r>
                          <m:rPr/>
                          <w:rPr>
                            <w:rFonts w:ascii="Cambria Math" w:hAnsi="Cambria Math"/>
                          </w:rPr>
                          <m:t>4π</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r>
                          <m:rPr/>
                          <w:rPr>
                            <w:rFonts w:ascii="Cambria Math" w:hAnsi="Cambria Math"/>
                          </w:rPr>
                          <m:t>R</m:t>
                        </m:r>
                        <m:ctrlPr>
                          <w:rPr>
                            <w:rFonts w:ascii="Cambria Math" w:hAnsi="Cambria Math"/>
                            <w:i/>
                          </w:rPr>
                        </m:ctrlPr>
                      </m:den>
                    </m:f>
                    <m:ctrlPr>
                      <w:rPr>
                        <w:rFonts w:ascii="Cambria Math" w:hAnsi="Cambria Math"/>
                      </w:rPr>
                    </m:ctrlPr>
                  </m:e>
                </m:d>
              </m:oMath>
            </m:oMathPara>
          </w:p>
          <w:p w14:paraId="60944946">
            <w:pPr>
              <w:pStyle w:val="16"/>
              <w:ind w:firstLine="480"/>
            </w:pPr>
            <w:r>
              <w:t>式中：L</w:t>
            </w:r>
            <w:r>
              <w:rPr>
                <w:vertAlign w:val="subscript"/>
              </w:rPr>
              <w:t>p1</w:t>
            </w:r>
            <w:r>
              <w:t>——靠近开口处（或窗户）室内某倍频带的声压级或A声级，dB；</w:t>
            </w:r>
          </w:p>
          <w:p w14:paraId="23D5D906">
            <w:pPr>
              <w:pStyle w:val="16"/>
              <w:ind w:firstLine="1200" w:firstLineChars="500"/>
            </w:pPr>
            <w:r>
              <w:t>L</w:t>
            </w:r>
            <w:r>
              <w:rPr>
                <w:vertAlign w:val="subscript"/>
              </w:rPr>
              <w:t>W</w:t>
            </w:r>
            <w:r>
              <w:t>——点声源声功率级（A计权或倍频带），dB；</w:t>
            </w:r>
          </w:p>
          <w:p w14:paraId="51B70689">
            <w:pPr>
              <w:pStyle w:val="16"/>
              <w:ind w:firstLine="1200" w:firstLineChars="500"/>
            </w:pPr>
            <w:r>
              <w:t>Q——指向性因数；通常对无指向性声源，当声源放在房间中心时，Q=1；当放在一面墙的中心时，Q=2；当放在两面墙夹角处时，Q=4；当放在三面墙夹角处时，Q=8；</w:t>
            </w:r>
          </w:p>
          <w:p w14:paraId="652D82DA">
            <w:pPr>
              <w:pStyle w:val="16"/>
              <w:ind w:firstLine="960" w:firstLineChars="400"/>
            </w:pPr>
            <w:r>
              <w:t>R——房间常数；R=Sα/（1−α），S为房间内表面面积，m²；α为平均吸声系数；</w:t>
            </w:r>
          </w:p>
          <w:p w14:paraId="66629DAE">
            <w:pPr>
              <w:pStyle w:val="16"/>
              <w:ind w:firstLine="960" w:firstLineChars="400"/>
            </w:pPr>
            <w:r>
              <w:t>r——声源到靠近围护结构某点处的距离，m。</w:t>
            </w:r>
          </w:p>
          <w:p w14:paraId="4AFA7B6B">
            <w:pPr>
              <w:pStyle w:val="16"/>
              <w:ind w:firstLine="480"/>
            </w:pPr>
            <w:r>
              <w:t>②计算出所有室内声源在围护结构处产生的i倍频带叠加声压级：</w:t>
            </w:r>
          </w:p>
          <w:p w14:paraId="4BF0E049">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=10lg</m:t>
                </m:r>
                <m:d>
                  <m:dPr>
                    <m:ctrlPr>
                      <w:rPr>
                        <w:rFonts w:ascii="Cambria Math" w:hAnsi="Cambria Math" w:cs="宋体"/>
                        <w:i/>
                      </w:rPr>
                    </m:ctrlPr>
                  </m:dPr>
                  <m:e>
                    <m:nary>
                      <m:naryPr>
                        <m:chr m:val="∑"/>
                        <m:limLoc m:val="undOvr"/>
                        <m:ctrlPr>
                          <w:rPr>
                            <w:rFonts w:ascii="Cambria Math" w:hAnsi="Cambria Math" w:cs="宋体"/>
                            <w:i/>
                          </w:rPr>
                        </m:ctrlPr>
                      </m:naryPr>
                      <m:sub>
                        <m:r>
                          <m:rPr/>
                          <w:rPr>
                            <w:rFonts w:ascii="Cambria Math" w:hAnsi="Cambria Math" w:cs="宋体"/>
                          </w:rPr>
                          <m:t>j=1</m:t>
                        </m:r>
                        <m:ctrlPr>
                          <w:rPr>
                            <w:rFonts w:ascii="Cambria Math" w:hAnsi="Cambria Math" w:cs="宋体"/>
                            <w:i/>
                          </w:rPr>
                        </m:ctrlPr>
                      </m:sub>
                      <m:sup>
                        <m:r>
                          <m:rPr/>
                          <w:rPr>
                            <w:rFonts w:ascii="Cambria Math" w:hAnsi="Cambria Math" w:cs="宋体"/>
                          </w:rPr>
                          <m:t>N</m:t>
                        </m:r>
                        <m:ctrlPr>
                          <w:rPr>
                            <w:rFonts w:ascii="Cambria Math" w:hAnsi="Cambria Math" w:cs="宋体"/>
                            <w:i/>
                          </w:rPr>
                        </m:ctrlPr>
                      </m:sup>
                      <m:e>
                        <m:sSup>
                          <m:sSupPr>
                            <m:ctrlPr>
                              <w:rPr>
                                <w:rFonts w:ascii="Cambria Math" w:hAnsi="Cambria Math" w:cs="宋体"/>
                                <w:i/>
                              </w:rPr>
                            </m:ctrlPr>
                          </m:sSupPr>
                          <m:e>
                            <m:r>
                              <m:rPr/>
                              <w:rPr>
                                <w:rFonts w:ascii="Cambria Math" w:hAnsi="Cambria Math" w:cs="宋体"/>
                              </w:rPr>
                              <m:t>10</m:t>
                            </m:r>
                            <m:ctrlPr>
                              <w:rPr>
                                <w:rFonts w:ascii="Cambria Math" w:hAnsi="Cambria Math" w:cs="宋体"/>
                                <w:i/>
                              </w:rPr>
                            </m:ctrlPr>
                          </m:e>
                          <m:sup>
                            <m:r>
                              <m:rPr/>
                              <w:rPr>
                                <w:rFonts w:ascii="Cambria Math" w:hAnsi="Cambria Math" w:cs="宋体"/>
                              </w:rPr>
                              <m:t>0.1</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P1ij</m:t>
                                </m:r>
                                <m:ctrlPr>
                                  <w:rPr>
                                    <w:rFonts w:ascii="Cambria Math" w:hAnsi="Cambria Math" w:cs="宋体"/>
                                    <w:i/>
                                  </w:rPr>
                                </m:ctrlPr>
                              </m:sub>
                            </m:sSub>
                            <m:ctrlPr>
                              <w:rPr>
                                <w:rFonts w:ascii="Cambria Math" w:hAnsi="Cambria Math" w:cs="宋体"/>
                                <w:i/>
                              </w:rPr>
                            </m:ctrlPr>
                          </m:sup>
                        </m:sSup>
                        <m:ctrlPr>
                          <w:rPr>
                            <w:rFonts w:ascii="Cambria Math" w:hAnsi="Cambria Math" w:cs="宋体"/>
                            <w:i/>
                          </w:rPr>
                        </m:ctrlPr>
                      </m:e>
                    </m:nary>
                    <m:ctrlPr>
                      <w:rPr>
                        <w:rFonts w:ascii="Cambria Math" w:hAnsi="Cambria Math" w:cs="宋体"/>
                        <w:i/>
                      </w:rPr>
                    </m:ctrlPr>
                  </m:e>
                </m:d>
              </m:oMath>
            </m:oMathPara>
          </w:p>
          <w:p w14:paraId="1B1C5B83">
            <w:pPr>
              <w:pStyle w:val="16"/>
              <w:ind w:firstLine="480"/>
            </w:pPr>
            <w:r>
              <w:t>式中：L</w:t>
            </w:r>
            <w:r>
              <w:rPr>
                <w:vertAlign w:val="subscript"/>
              </w:rPr>
              <w:t>P1i</w:t>
            </w:r>
            <w:r>
              <w:t>（T）——靠近围护结构处室内N个声源i倍频带的叠加声压级，dB；</w:t>
            </w:r>
          </w:p>
          <w:p w14:paraId="16D2023D">
            <w:pPr>
              <w:pStyle w:val="16"/>
              <w:ind w:firstLine="960" w:firstLineChars="400"/>
            </w:pPr>
            <w:r>
              <w:t>L</w:t>
            </w:r>
            <w:r>
              <w:rPr>
                <w:vertAlign w:val="subscript"/>
              </w:rPr>
              <w:t>P1ij</w:t>
            </w:r>
            <w:r>
              <w:t>（T）——室内j声源i倍频带的声压级，dB；</w:t>
            </w:r>
          </w:p>
          <w:p w14:paraId="2514F4FB">
            <w:pPr>
              <w:pStyle w:val="16"/>
              <w:ind w:firstLine="960" w:firstLineChars="400"/>
            </w:pPr>
            <w:r>
              <w:t>N——室内声源总数。</w:t>
            </w:r>
          </w:p>
          <w:p w14:paraId="3126861C">
            <w:pPr>
              <w:pStyle w:val="16"/>
              <w:ind w:firstLine="480"/>
            </w:pPr>
            <w:r>
              <w:t>③计算室外靠近围护结构处产生的声压级：</w:t>
            </w:r>
          </w:p>
          <w:p w14:paraId="5E763881">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P2i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d>
                  <m:dPr>
                    <m:ctrlPr>
                      <w:rPr>
                        <w:rFonts w:ascii="Cambria Math" w:hAnsi="Cambria Math" w:cs="宋体"/>
                      </w:rPr>
                    </m:ctrlPr>
                  </m:dPr>
                  <m:e>
                    <m:r>
                      <m:rPr/>
                      <w:rPr>
                        <w:rFonts w:ascii="Cambria Math" w:hAnsi="Cambria Math" w:cs="宋体"/>
                      </w:rPr>
                      <m:t>T</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i</m:t>
                        </m:r>
                        <m:ctrlPr>
                          <w:rPr>
                            <w:rFonts w:ascii="Cambria Math" w:hAnsi="Cambria Math" w:cs="宋体"/>
                            <w:i/>
                          </w:rPr>
                        </m:ctrlPr>
                      </m:sub>
                    </m:sSub>
                    <m:r>
                      <m:rPr/>
                      <w:rPr>
                        <w:rFonts w:ascii="Cambria Math" w:hAnsi="Cambria Math" w:cs="宋体"/>
                      </w:rPr>
                      <m:t>+6</m:t>
                    </m:r>
                    <m:ctrlPr>
                      <w:rPr>
                        <w:rFonts w:ascii="Cambria Math" w:hAnsi="Cambria Math" w:cs="宋体"/>
                      </w:rPr>
                    </m:ctrlPr>
                  </m:e>
                </m:d>
              </m:oMath>
            </m:oMathPara>
          </w:p>
          <w:p w14:paraId="435C84FE">
            <w:pPr>
              <w:pStyle w:val="16"/>
              <w:ind w:firstLine="480"/>
            </w:pPr>
            <w:r>
              <w:t>式中：L</w:t>
            </w:r>
            <w:r>
              <w:rPr>
                <w:vertAlign w:val="subscript"/>
              </w:rPr>
              <w:t>P2i</w:t>
            </w:r>
            <w:r>
              <w:t>（T）——靠近围护结构处室外N个声源i倍频带的叠加声压级，dB；</w:t>
            </w:r>
          </w:p>
          <w:p w14:paraId="1520F498">
            <w:pPr>
              <w:pStyle w:val="16"/>
              <w:ind w:firstLine="960" w:firstLineChars="400"/>
            </w:pPr>
            <w:r>
              <w:t>L</w:t>
            </w:r>
            <w:r>
              <w:rPr>
                <w:vertAlign w:val="subscript"/>
              </w:rPr>
              <w:t>P1i</w:t>
            </w:r>
            <w:r>
              <w:t>（T）——靠近围护结构处室内N个声源i倍频带的叠加声压级，dB；</w:t>
            </w:r>
          </w:p>
          <w:p w14:paraId="2231E442">
            <w:pPr>
              <w:pStyle w:val="16"/>
              <w:ind w:firstLine="960" w:firstLineChars="400"/>
            </w:pPr>
            <w:r>
              <w:t>TL</w:t>
            </w:r>
            <w:r>
              <w:rPr>
                <w:vertAlign w:val="subscript"/>
              </w:rPr>
              <w:t>i</w:t>
            </w:r>
            <w:r>
              <w:t>——围护结构i倍频带的隔声量，dB。</w:t>
            </w:r>
          </w:p>
          <w:p w14:paraId="465267C4">
            <w:pPr>
              <w:pStyle w:val="16"/>
              <w:ind w:firstLine="480"/>
            </w:pPr>
            <w:r>
              <w:rPr>
                <w:rFonts w:hint="eastAsia"/>
              </w:rPr>
              <w:t>（2）</w:t>
            </w:r>
            <w:r>
              <w:t>户外声传播衰减</w:t>
            </w:r>
          </w:p>
          <w:p w14:paraId="3DF5F33D">
            <w:pPr>
              <w:pStyle w:val="16"/>
              <w:ind w:firstLine="480"/>
            </w:pPr>
            <w:r>
              <w:t>户外声传播衰减包括几何发散（Adiv）、大气吸收（Aatm）、地面效应（Agr）、屏障屏蔽（Abar）、其他多方面效应（Amisc）引起的衰减。</w:t>
            </w:r>
          </w:p>
          <w:p w14:paraId="5EAD17DE">
            <w:pPr>
              <w:pStyle w:val="16"/>
              <w:ind w:firstLine="480"/>
            </w:pPr>
            <w:r>
              <w:t>①根据《环境影响评价技术导则 声环境》（HJ2.4-2021），噪声预测计算的基本公式为：</w:t>
            </w:r>
          </w:p>
          <w:p w14:paraId="0CC486FD">
            <w:pPr>
              <w:pStyle w:val="16"/>
              <w:ind w:firstLine="1200" w:firstLineChars="500"/>
            </w:pPr>
            <w:r>
              <w:t>Lp（r）=Lp（r0）+Dc-（Adiv+Aatm+Agr+Abar+Amisc）</w:t>
            </w:r>
          </w:p>
          <w:p w14:paraId="322204AF">
            <w:pPr>
              <w:pStyle w:val="16"/>
              <w:ind w:firstLine="480"/>
            </w:pPr>
            <w:r>
              <w:t>式中：Lp（r）——预测点处声压级，dB；</w:t>
            </w:r>
          </w:p>
          <w:p w14:paraId="65DAF99C">
            <w:pPr>
              <w:pStyle w:val="16"/>
              <w:ind w:firstLine="1200" w:firstLineChars="500"/>
            </w:pPr>
            <w:r>
              <w:t>Lp（r0）——参考位置r0处的声压级，dB；</w:t>
            </w:r>
          </w:p>
          <w:p w14:paraId="649103B6">
            <w:pPr>
              <w:pStyle w:val="16"/>
              <w:ind w:firstLine="1200" w:firstLineChars="500"/>
            </w:pPr>
            <w:r>
              <w:t>Dc——指向性校正，它描述点声源的等效连续声压级与产生声功率级Lw的全向点声源在规定方向的声级偏差程度，dB；</w:t>
            </w:r>
          </w:p>
          <w:p w14:paraId="69C71F63">
            <w:pPr>
              <w:pStyle w:val="16"/>
              <w:ind w:firstLine="1200" w:firstLineChars="500"/>
            </w:pPr>
            <w:r>
              <w:t>Adiv——几何发散引起的衰减，dB；</w:t>
            </w:r>
          </w:p>
          <w:p w14:paraId="4BF5E2E9">
            <w:pPr>
              <w:pStyle w:val="16"/>
              <w:ind w:firstLine="1200" w:firstLineChars="500"/>
            </w:pPr>
            <w:r>
              <w:t>Aatm——大气吸收引起的衰减，dB；</w:t>
            </w:r>
          </w:p>
          <w:p w14:paraId="33564A3D">
            <w:pPr>
              <w:pStyle w:val="16"/>
              <w:ind w:firstLine="1200" w:firstLineChars="500"/>
            </w:pPr>
            <w:r>
              <w:t>Agr——地面效应引起的衰减，dB；</w:t>
            </w:r>
          </w:p>
          <w:p w14:paraId="4C032E07">
            <w:pPr>
              <w:pStyle w:val="16"/>
              <w:ind w:firstLine="1200" w:firstLineChars="500"/>
            </w:pPr>
            <w:r>
              <w:t>Abar——障碍物屏蔽引起的衰减，dB；</w:t>
            </w:r>
          </w:p>
          <w:p w14:paraId="23BE2AB2">
            <w:pPr>
              <w:pStyle w:val="16"/>
              <w:ind w:firstLine="1200" w:firstLineChars="500"/>
            </w:pPr>
            <w:r>
              <w:t>Amisc——其他多方面效应引起的衰减，dB。</w:t>
            </w:r>
          </w:p>
          <w:p w14:paraId="3B5D7836">
            <w:pPr>
              <w:pStyle w:val="16"/>
              <w:ind w:firstLine="480"/>
            </w:pPr>
            <w:r>
              <w:t>②预测点的A声级L</w:t>
            </w:r>
            <w:r>
              <w:rPr>
                <w:vertAlign w:val="subscript"/>
              </w:rPr>
              <w:t>A</w:t>
            </w:r>
            <w:r>
              <w:t>(r)可按下式计算，即将8个倍频带声压级合成，计算出预测点的声级[L</w:t>
            </w:r>
            <w:r>
              <w:rPr>
                <w:vertAlign w:val="subscript"/>
              </w:rPr>
              <w:t>A</w:t>
            </w:r>
            <w:r>
              <w:t>(r)]。</w:t>
            </w:r>
          </w:p>
          <w:p w14:paraId="52A8233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(r)=10lg</m:t>
                </m:r>
                <m:d>
                  <m:dPr>
                    <m:begChr m:val="{"/>
                    <m:endChr m:val="}"/>
                    <m:ctrlPr>
                      <w:rPr>
                        <w:rFonts w:ascii="Cambria Math" w:hAnsi="Cambria Math"/>
                        <w:i/>
                      </w:rPr>
                    </m:ctrlPr>
                  </m:dPr>
                  <m:e>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0.1</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pi</m:t>
                                </m:r>
                                <m:ctrlPr>
                                  <w:rPr>
                                    <w:rFonts w:ascii="Cambria Math" w:hAnsi="Cambria Math"/>
                                    <w:i/>
                                  </w:rPr>
                                </m:ctrlPr>
                              </m:sub>
                            </m:sSub>
                            <m:d>
                              <m:dPr>
                                <m:ctrlPr>
                                  <w:rPr>
                                    <w:rFonts w:ascii="Cambria Math" w:hAnsi="Cambria Math"/>
                                    <w:i/>
                                  </w:rPr>
                                </m:ctrlPr>
                              </m:dPr>
                              <m:e>
                                <m:r>
                                  <m:rPr/>
                                  <w:rPr>
                                    <w:rFonts w:ascii="Cambria Math" w:hAnsi="Cambria Math"/>
                                  </w:rPr>
                                  <m:t>r</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sup>
                    </m:sSup>
                    <m:ctrlPr>
                      <w:rPr>
                        <w:rFonts w:ascii="Cambria Math" w:hAnsi="Cambria Math"/>
                        <w:i/>
                      </w:rPr>
                    </m:ctrlPr>
                  </m:e>
                </m:d>
              </m:oMath>
            </m:oMathPara>
          </w:p>
          <w:p w14:paraId="555DFB94">
            <w:pPr>
              <w:pStyle w:val="16"/>
              <w:ind w:firstLine="480"/>
            </w:pPr>
            <w:r>
              <w:t>式中：L</w:t>
            </w:r>
            <w:r>
              <w:rPr>
                <w:vertAlign w:val="subscript"/>
              </w:rPr>
              <w:t>A</w:t>
            </w:r>
            <w:r>
              <w:t>（r）——距声源r处的A声级，dB(A)；</w:t>
            </w:r>
          </w:p>
          <w:p w14:paraId="1D6A5F74">
            <w:pPr>
              <w:pStyle w:val="16"/>
              <w:ind w:firstLine="1200" w:firstLineChars="500"/>
            </w:pPr>
            <w:r>
              <w:t>L</w:t>
            </w:r>
            <w:r>
              <w:rPr>
                <w:vertAlign w:val="subscript"/>
              </w:rPr>
              <w:t>pi</w:t>
            </w:r>
            <w:r>
              <w:t>（r）——预测点(r)处，第i倍频带声压级，dB；</w:t>
            </w:r>
          </w:p>
          <w:p w14:paraId="4FD0B5CF">
            <w:pPr>
              <w:pStyle w:val="16"/>
              <w:ind w:firstLine="1200" w:firstLineChars="500"/>
            </w:pPr>
            <w:r>
              <w:t>△L</w:t>
            </w:r>
            <w:r>
              <w:rPr>
                <w:vertAlign w:val="subscript"/>
              </w:rPr>
              <w:t>i</w:t>
            </w:r>
            <w:r>
              <w:t>——第i倍频带的A计权网络修正值，dB；</w:t>
            </w:r>
          </w:p>
          <w:p w14:paraId="2A592BE7">
            <w:pPr>
              <w:pStyle w:val="16"/>
              <w:ind w:firstLineChars="300"/>
            </w:pPr>
            <w:r>
              <w:t>③点声源的几何发散衰减的基本公式为：</w:t>
            </w:r>
          </w:p>
          <w:p w14:paraId="39FB162A">
            <w:pPr>
              <w:pStyle w:val="16"/>
              <w:ind w:firstLine="480"/>
            </w:pPr>
            <m:oMathPara>
              <m:oMath>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ctrlPr>
                      <w:rPr>
                        <w:rFonts w:ascii="Cambria Math" w:hAnsi="Cambria Math"/>
                      </w:rPr>
                    </m:ctrlPr>
                  </m:fName>
                  <m:e>
                    <m:d>
                      <m:dPr>
                        <m:ctrlPr>
                          <w:rPr>
                            <w:rFonts w:ascii="Cambria Math" w:hAnsi="Cambria Math"/>
                          </w:rPr>
                        </m:ctrlPr>
                      </m:dPr>
                      <m:e>
                        <m:f>
                          <m:fPr>
                            <m:type m:val="skw"/>
                            <m:ctrlPr>
                              <w:rPr>
                                <w:rFonts w:ascii="Cambria Math" w:hAnsi="Cambria Math"/>
                              </w:rPr>
                            </m:ctrlPr>
                          </m:fPr>
                          <m:num>
                            <m:r>
                              <m:rPr>
                                <m:sty m:val="p"/>
                              </m:rPr>
                              <w:rPr>
                                <w:rFonts w:ascii="Cambria Math" w:hAnsi="Cambria Math"/>
                              </w:rPr>
                              <m:t>r</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func>
              </m:oMath>
            </m:oMathPara>
          </w:p>
          <w:p w14:paraId="0ED248C5">
            <w:pPr>
              <w:pStyle w:val="16"/>
              <w:ind w:firstLine="480"/>
            </w:pPr>
            <w:r>
              <w:t>式中：L</w:t>
            </w:r>
            <w:r>
              <w:rPr>
                <w:vertAlign w:val="subscript"/>
              </w:rPr>
              <w:t>p</w:t>
            </w:r>
            <w:r>
              <w:t>（r）——预测点处声压级，dB；</w:t>
            </w:r>
          </w:p>
          <w:p w14:paraId="0A1C1F49">
            <w:pPr>
              <w:pStyle w:val="16"/>
              <w:ind w:firstLine="1200" w:firstLineChars="500"/>
            </w:pPr>
            <w:r>
              <w:t>L</w:t>
            </w:r>
            <w:r>
              <w:rPr>
                <w:vertAlign w:val="subscript"/>
              </w:rPr>
              <w:t>p</w:t>
            </w:r>
            <w:r>
              <w:t>（r</w:t>
            </w:r>
            <w:r>
              <w:rPr>
                <w:vertAlign w:val="subscript"/>
              </w:rPr>
              <w:t>0</w:t>
            </w:r>
            <w:r>
              <w:t>）——参考位置r</w:t>
            </w:r>
            <w:r>
              <w:rPr>
                <w:vertAlign w:val="subscript"/>
              </w:rPr>
              <w:t>0</w:t>
            </w:r>
            <w:r>
              <w:t>处的声压级，dB；</w:t>
            </w:r>
          </w:p>
          <w:p w14:paraId="177AD3DD">
            <w:pPr>
              <w:pStyle w:val="16"/>
              <w:ind w:firstLine="1200" w:firstLineChars="500"/>
            </w:pPr>
            <w:r>
              <w:t>r——预测点距声源的距离；</w:t>
            </w:r>
          </w:p>
          <w:p w14:paraId="7AFA4EEB">
            <w:pPr>
              <w:pStyle w:val="16"/>
              <w:ind w:firstLine="1200" w:firstLineChars="500"/>
            </w:pPr>
            <w:r>
              <w:t>r</w:t>
            </w:r>
            <w:r>
              <w:rPr>
                <w:vertAlign w:val="subscript"/>
              </w:rPr>
              <w:t>0</w:t>
            </w:r>
            <w:r>
              <w:t>——参考位置距声源的距离。</w:t>
            </w:r>
          </w:p>
          <w:p w14:paraId="6A01D1D1">
            <w:pPr>
              <w:pStyle w:val="16"/>
              <w:ind w:firstLine="480"/>
            </w:pPr>
            <w:r>
              <w:t>④建设项目声源在预测点产生的等效声级贡献值（L</w:t>
            </w:r>
            <w:r>
              <w:rPr>
                <w:vertAlign w:val="subscript"/>
              </w:rPr>
              <w:t>eqg</w:t>
            </w:r>
            <w:r>
              <w:t>）计算公式：</w:t>
            </w:r>
          </w:p>
          <w:p w14:paraId="56B13D63">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eqg</m:t>
                    </m:r>
                    <m:ctrlPr>
                      <w:rPr>
                        <w:rFonts w:ascii="Cambria Math" w:hAnsi="Cambria Math"/>
                      </w:rPr>
                    </m:ctrlPr>
                  </m:sub>
                </m:sSub>
                <m:r>
                  <m:rPr/>
                  <w:rPr>
                    <w:rFonts w:ascii="Cambria Math" w:hAnsi="Cambria Math"/>
                  </w:rPr>
                  <m:t>=10lg</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Ai</m:t>
                                    </m:r>
                                    <m:ctrlPr>
                                      <w:rPr>
                                        <w:rFonts w:ascii="Cambria Math" w:hAnsi="Cambria Math"/>
                                        <w:i/>
                                      </w:rPr>
                                    </m:ctrlPr>
                                  </m:sub>
                                </m:sSub>
                                <m:ctrlPr>
                                  <w:rPr>
                                    <w:rFonts w:ascii="Cambria Math" w:hAnsi="Cambria Math"/>
                                    <w:i/>
                                  </w:rPr>
                                </m:ctrlPr>
                              </m:sup>
                            </m:sSup>
                            <m:ctrlPr>
                              <w:rPr>
                                <w:rFonts w:ascii="Cambria Math" w:hAnsi="Cambria Math"/>
                                <w:i/>
                              </w:rPr>
                            </m:ctrlPr>
                          </m:e>
                        </m:nary>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d>
                    <m:ctrlPr>
                      <w:rPr>
                        <w:rFonts w:ascii="Cambria Math" w:hAnsi="Cambria Math"/>
                        <w:i/>
                      </w:rPr>
                    </m:ctrlPr>
                  </m:e>
                </m:d>
              </m:oMath>
            </m:oMathPara>
          </w:p>
          <w:p w14:paraId="4374575F">
            <w:pPr>
              <w:pStyle w:val="16"/>
              <w:ind w:firstLine="480"/>
            </w:pPr>
            <w:r>
              <w:t>式中：L</w:t>
            </w:r>
            <w:r>
              <w:rPr>
                <w:vertAlign w:val="subscript"/>
              </w:rPr>
              <w:t>eqg</w:t>
            </w:r>
            <w:r>
              <w:t>——建设项目声源在预测点的噪声贡献值，dB；</w:t>
            </w:r>
          </w:p>
          <w:p w14:paraId="1E1D6393">
            <w:pPr>
              <w:pStyle w:val="16"/>
              <w:ind w:firstLine="1200" w:firstLineChars="500"/>
            </w:pPr>
            <w:r>
              <w:t>T——用于计算等效声级的时间，s；</w:t>
            </w:r>
          </w:p>
          <w:p w14:paraId="7191D483">
            <w:pPr>
              <w:pStyle w:val="16"/>
              <w:ind w:firstLine="1200" w:firstLineChars="500"/>
            </w:pPr>
            <w:r>
              <w:t>N——室外声源个数；</w:t>
            </w:r>
          </w:p>
          <w:p w14:paraId="05FEEB13">
            <w:pPr>
              <w:pStyle w:val="16"/>
              <w:ind w:firstLine="1200" w:firstLineChars="500"/>
            </w:pPr>
            <w:r>
              <w:rPr>
                <w:rFonts w:hint="eastAsia"/>
              </w:rPr>
              <w:t>t</w:t>
            </w:r>
            <w:r>
              <w:rPr>
                <w:vertAlign w:val="subscript"/>
              </w:rPr>
              <w:t>i</w:t>
            </w:r>
            <w:r>
              <w:t>——在T时间内i声源工作时间，s；</w:t>
            </w:r>
          </w:p>
          <w:p w14:paraId="174772A7">
            <w:pPr>
              <w:pStyle w:val="16"/>
              <w:ind w:firstLine="1200" w:firstLineChars="500"/>
            </w:pPr>
            <w:r>
              <w:t>M——等效室外声源个数；</w:t>
            </w:r>
          </w:p>
          <w:p w14:paraId="04F00616">
            <w:pPr>
              <w:pStyle w:val="16"/>
              <w:ind w:firstLine="1200" w:firstLineChars="500"/>
            </w:pPr>
            <w:r>
              <w:t>T</w:t>
            </w:r>
            <w:r>
              <w:rPr>
                <w:vertAlign w:val="subscript"/>
              </w:rPr>
              <w:t>j</w:t>
            </w:r>
            <w:r>
              <w:t>——在T时间内j声源工作时间，s。</w:t>
            </w:r>
          </w:p>
          <w:p w14:paraId="5D04DA09">
            <w:pPr>
              <w:pStyle w:val="16"/>
              <w:ind w:firstLine="482"/>
              <w:rPr>
                <w:b/>
                <w:bCs/>
              </w:rPr>
            </w:pPr>
            <w:r>
              <w:rPr>
                <w:b/>
                <w:bCs/>
              </w:rPr>
              <w:t>3</w:t>
            </w:r>
            <w:r>
              <w:rPr>
                <w:rFonts w:hint="eastAsia"/>
                <w:b/>
                <w:bCs/>
              </w:rPr>
              <w:t>.2.3</w:t>
            </w:r>
            <w:r>
              <w:rPr>
                <w:b/>
                <w:bCs/>
              </w:rPr>
              <w:t>预测结果</w:t>
            </w:r>
          </w:p>
          <w:p w14:paraId="0207CE2B">
            <w:pPr>
              <w:pStyle w:val="16"/>
              <w:ind w:firstLine="480"/>
            </w:pPr>
            <w:r>
              <w:t>通过对建设项目噪声源强及噪声的防治措施和衰减特性分析，本项目对各厂界噪声影响结果见下表。</w:t>
            </w:r>
          </w:p>
          <w:p w14:paraId="788CC2F6">
            <w:pPr>
              <w:pStyle w:val="17"/>
            </w:pPr>
            <w:r>
              <w:rPr>
                <w:rFonts w:hint="eastAsia"/>
              </w:rPr>
              <w:t>表4-</w:t>
            </w:r>
            <w:r>
              <w:rPr>
                <w:rFonts w:hint="eastAsia"/>
                <w:lang w:val="en-US" w:eastAsia="zh-CN"/>
              </w:rPr>
              <w:t>7</w:t>
            </w:r>
            <w:r>
              <w:rPr>
                <w:rFonts w:hint="eastAsia"/>
              </w:rPr>
              <w:t xml:space="preserve">  厂界噪声预测结果</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569"/>
              <w:gridCol w:w="1785"/>
              <w:gridCol w:w="1972"/>
              <w:gridCol w:w="1070"/>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14:paraId="32A29045">
                  <w:pPr>
                    <w:pStyle w:val="15"/>
                    <w:jc w:val="center"/>
                  </w:pPr>
                  <w:r>
                    <w:rPr>
                      <w:rFonts w:hint="eastAsia"/>
                    </w:rPr>
                    <w:t>位置</w:t>
                  </w:r>
                </w:p>
              </w:tc>
              <w:tc>
                <w:tcPr>
                  <w:tcW w:w="1000" w:type="pct"/>
                  <w:vAlign w:val="center"/>
                </w:tcPr>
                <w:p w14:paraId="10A2DFF6">
                  <w:pPr>
                    <w:pStyle w:val="15"/>
                    <w:jc w:val="center"/>
                  </w:pPr>
                  <w:r>
                    <w:t>预测点坐标X/Y/Z（m）</w:t>
                  </w:r>
                </w:p>
              </w:tc>
              <w:tc>
                <w:tcPr>
                  <w:tcW w:w="1138" w:type="pct"/>
                  <w:vAlign w:val="center"/>
                </w:tcPr>
                <w:p w14:paraId="66397DD1">
                  <w:pPr>
                    <w:pStyle w:val="15"/>
                    <w:jc w:val="center"/>
                  </w:pPr>
                  <w:r>
                    <w:t>贡献值</w:t>
                  </w:r>
                  <w:r>
                    <w:rPr>
                      <w:rFonts w:hint="eastAsia"/>
                    </w:rPr>
                    <w:t>（dB（A））</w:t>
                  </w:r>
                </w:p>
              </w:tc>
              <w:tc>
                <w:tcPr>
                  <w:tcW w:w="1257" w:type="pct"/>
                  <w:vAlign w:val="center"/>
                </w:tcPr>
                <w:p w14:paraId="77D5097C">
                  <w:pPr>
                    <w:pStyle w:val="15"/>
                    <w:jc w:val="center"/>
                  </w:pPr>
                  <w:r>
                    <w:rPr>
                      <w:rFonts w:hint="eastAsia"/>
                    </w:rPr>
                    <w:t>标准限值（dB（A））</w:t>
                  </w:r>
                </w:p>
              </w:tc>
              <w:tc>
                <w:tcPr>
                  <w:tcW w:w="682" w:type="pct"/>
                  <w:vAlign w:val="center"/>
                </w:tcPr>
                <w:p w14:paraId="274D6AF2">
                  <w:pPr>
                    <w:pStyle w:val="15"/>
                    <w:jc w:val="center"/>
                  </w:pPr>
                  <w:r>
                    <w:rPr>
                      <w:rFonts w:hint="eastAsia"/>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14:paraId="7B4BA699">
                  <w:pPr>
                    <w:pStyle w:val="15"/>
                    <w:jc w:val="center"/>
                  </w:pPr>
                  <w:r>
                    <w:rPr>
                      <w:rFonts w:hint="eastAsia"/>
                    </w:rPr>
                    <w:t>厂界东侧</w:t>
                  </w:r>
                </w:p>
              </w:tc>
              <w:tc>
                <w:tcPr>
                  <w:tcW w:w="1000" w:type="pct"/>
                  <w:vAlign w:val="center"/>
                </w:tcPr>
                <w:p w14:paraId="3B9F8C97">
                  <w:pPr>
                    <w:pStyle w:val="15"/>
                    <w:jc w:val="center"/>
                  </w:pPr>
                  <w:r>
                    <w:rPr>
                      <w:rFonts w:hint="eastAsia"/>
                      <w:lang w:val="en-US" w:eastAsia="zh-CN"/>
                    </w:rPr>
                    <w:t>50</w:t>
                  </w:r>
                  <w:r>
                    <w:rPr>
                      <w:rFonts w:hint="eastAsia"/>
                    </w:rPr>
                    <w:t>/</w:t>
                  </w:r>
                  <w:r>
                    <w:rPr>
                      <w:rFonts w:hint="eastAsia"/>
                      <w:lang w:val="en-US" w:eastAsia="zh-CN"/>
                    </w:rPr>
                    <w:t>14</w:t>
                  </w:r>
                  <w:r>
                    <w:rPr>
                      <w:rFonts w:hint="eastAsia"/>
                    </w:rPr>
                    <w:t>/1.2</w:t>
                  </w:r>
                </w:p>
              </w:tc>
              <w:tc>
                <w:tcPr>
                  <w:tcW w:w="1138" w:type="pct"/>
                  <w:vAlign w:val="center"/>
                </w:tcPr>
                <w:p w14:paraId="08B6A555">
                  <w:pPr>
                    <w:pStyle w:val="15"/>
                    <w:jc w:val="center"/>
                    <w:rPr>
                      <w:rFonts w:hint="default" w:eastAsia="宋体"/>
                      <w:lang w:val="en-US" w:eastAsia="zh-CN"/>
                    </w:rPr>
                  </w:pPr>
                  <w:r>
                    <w:rPr>
                      <w:rFonts w:hint="eastAsia"/>
                      <w:lang w:val="en-US" w:eastAsia="zh-CN"/>
                    </w:rPr>
                    <w:t>35.1</w:t>
                  </w:r>
                </w:p>
              </w:tc>
              <w:tc>
                <w:tcPr>
                  <w:tcW w:w="1257" w:type="pct"/>
                  <w:vAlign w:val="center"/>
                </w:tcPr>
                <w:p w14:paraId="50184AD4">
                  <w:pPr>
                    <w:pStyle w:val="15"/>
                    <w:jc w:val="center"/>
                  </w:pPr>
                  <w:r>
                    <w:rPr>
                      <w:rFonts w:hint="eastAsia"/>
                    </w:rPr>
                    <w:t>60</w:t>
                  </w:r>
                </w:p>
              </w:tc>
              <w:tc>
                <w:tcPr>
                  <w:tcW w:w="682" w:type="pct"/>
                  <w:vAlign w:val="center"/>
                </w:tcPr>
                <w:p w14:paraId="4BA2BC8C">
                  <w:pPr>
                    <w:pStyle w:val="15"/>
                    <w:jc w:val="center"/>
                  </w:pPr>
                  <w:r>
                    <w:rPr>
                      <w:rFonts w:hint="eastAsia"/>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14:paraId="4981BFE9">
                  <w:pPr>
                    <w:pStyle w:val="15"/>
                    <w:jc w:val="center"/>
                  </w:pPr>
                  <w:r>
                    <w:t>厂界南侧</w:t>
                  </w:r>
                </w:p>
              </w:tc>
              <w:tc>
                <w:tcPr>
                  <w:tcW w:w="1000" w:type="pct"/>
                  <w:vAlign w:val="center"/>
                </w:tcPr>
                <w:p w14:paraId="71D88E27">
                  <w:pPr>
                    <w:pStyle w:val="15"/>
                    <w:jc w:val="center"/>
                  </w:pPr>
                  <w:r>
                    <w:rPr>
                      <w:rFonts w:hint="eastAsia"/>
                    </w:rPr>
                    <w:t>2</w:t>
                  </w:r>
                  <w:r>
                    <w:rPr>
                      <w:rFonts w:hint="eastAsia"/>
                      <w:lang w:val="en-US" w:eastAsia="zh-CN"/>
                    </w:rPr>
                    <w:t>5</w:t>
                  </w:r>
                  <w:r>
                    <w:rPr>
                      <w:rFonts w:hint="eastAsia"/>
                    </w:rPr>
                    <w:t>/</w:t>
                  </w:r>
                  <w:r>
                    <w:rPr>
                      <w:rFonts w:hint="eastAsia"/>
                      <w:lang w:val="en-US" w:eastAsia="zh-CN"/>
                    </w:rPr>
                    <w:t>0</w:t>
                  </w:r>
                  <w:r>
                    <w:rPr>
                      <w:rFonts w:hint="eastAsia"/>
                    </w:rPr>
                    <w:t>/1.2</w:t>
                  </w:r>
                </w:p>
              </w:tc>
              <w:tc>
                <w:tcPr>
                  <w:tcW w:w="1138" w:type="pct"/>
                  <w:vAlign w:val="center"/>
                </w:tcPr>
                <w:p w14:paraId="0D1EB0F9">
                  <w:pPr>
                    <w:pStyle w:val="15"/>
                    <w:jc w:val="center"/>
                    <w:rPr>
                      <w:rFonts w:hint="default" w:eastAsia="宋体"/>
                      <w:lang w:val="en-US" w:eastAsia="zh-CN"/>
                    </w:rPr>
                  </w:pPr>
                  <w:r>
                    <w:rPr>
                      <w:rFonts w:hint="eastAsia"/>
                      <w:lang w:val="en-US" w:eastAsia="zh-CN"/>
                    </w:rPr>
                    <w:t>41.4</w:t>
                  </w:r>
                </w:p>
              </w:tc>
              <w:tc>
                <w:tcPr>
                  <w:tcW w:w="1257" w:type="pct"/>
                  <w:vAlign w:val="center"/>
                </w:tcPr>
                <w:p w14:paraId="27A02E26">
                  <w:pPr>
                    <w:pStyle w:val="15"/>
                    <w:jc w:val="center"/>
                  </w:pPr>
                  <w:r>
                    <w:rPr>
                      <w:rFonts w:hint="eastAsia"/>
                    </w:rPr>
                    <w:t>60</w:t>
                  </w:r>
                </w:p>
              </w:tc>
              <w:tc>
                <w:tcPr>
                  <w:tcW w:w="682" w:type="pct"/>
                  <w:vAlign w:val="center"/>
                </w:tcPr>
                <w:p w14:paraId="35E48EA2">
                  <w:pPr>
                    <w:pStyle w:val="15"/>
                    <w:jc w:val="center"/>
                  </w:pPr>
                  <w:r>
                    <w:rPr>
                      <w:rFonts w:hint="eastAsia"/>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14:paraId="54B355EF">
                  <w:pPr>
                    <w:pStyle w:val="15"/>
                    <w:jc w:val="center"/>
                  </w:pPr>
                  <w:r>
                    <w:t>厂界西侧</w:t>
                  </w:r>
                </w:p>
              </w:tc>
              <w:tc>
                <w:tcPr>
                  <w:tcW w:w="1000" w:type="pct"/>
                  <w:vAlign w:val="center"/>
                </w:tcPr>
                <w:p w14:paraId="68622DDD">
                  <w:pPr>
                    <w:pStyle w:val="15"/>
                    <w:jc w:val="center"/>
                  </w:pPr>
                  <w:r>
                    <w:rPr>
                      <w:rFonts w:hint="eastAsia"/>
                    </w:rPr>
                    <w:t>0/</w:t>
                  </w:r>
                  <w:r>
                    <w:rPr>
                      <w:rFonts w:hint="eastAsia"/>
                      <w:lang w:val="en-US" w:eastAsia="zh-CN"/>
                    </w:rPr>
                    <w:t>14</w:t>
                  </w:r>
                  <w:r>
                    <w:rPr>
                      <w:rFonts w:hint="eastAsia"/>
                    </w:rPr>
                    <w:t>/1.2</w:t>
                  </w:r>
                </w:p>
              </w:tc>
              <w:tc>
                <w:tcPr>
                  <w:tcW w:w="1138" w:type="pct"/>
                  <w:vAlign w:val="center"/>
                </w:tcPr>
                <w:p w14:paraId="01BD325E">
                  <w:pPr>
                    <w:pStyle w:val="15"/>
                    <w:jc w:val="center"/>
                    <w:rPr>
                      <w:rFonts w:hint="default" w:eastAsia="宋体"/>
                      <w:lang w:val="en-US" w:eastAsia="zh-CN"/>
                    </w:rPr>
                  </w:pPr>
                  <w:r>
                    <w:rPr>
                      <w:rFonts w:hint="eastAsia"/>
                    </w:rPr>
                    <w:t>4</w:t>
                  </w:r>
                  <w:r>
                    <w:rPr>
                      <w:rFonts w:hint="eastAsia"/>
                      <w:lang w:val="en-US" w:eastAsia="zh-CN"/>
                    </w:rPr>
                    <w:t>8.9</w:t>
                  </w:r>
                </w:p>
              </w:tc>
              <w:tc>
                <w:tcPr>
                  <w:tcW w:w="1257" w:type="pct"/>
                  <w:vAlign w:val="center"/>
                </w:tcPr>
                <w:p w14:paraId="2204FC95">
                  <w:pPr>
                    <w:pStyle w:val="15"/>
                    <w:jc w:val="center"/>
                  </w:pPr>
                  <w:r>
                    <w:rPr>
                      <w:rFonts w:hint="eastAsia"/>
                    </w:rPr>
                    <w:t>60</w:t>
                  </w:r>
                </w:p>
              </w:tc>
              <w:tc>
                <w:tcPr>
                  <w:tcW w:w="682" w:type="pct"/>
                  <w:vAlign w:val="center"/>
                </w:tcPr>
                <w:p w14:paraId="7D64CF63">
                  <w:pPr>
                    <w:pStyle w:val="15"/>
                    <w:jc w:val="center"/>
                  </w:pPr>
                  <w:r>
                    <w:rPr>
                      <w:rFonts w:hint="eastAsia"/>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14:paraId="25CDF51D">
                  <w:pPr>
                    <w:pStyle w:val="15"/>
                    <w:jc w:val="center"/>
                  </w:pPr>
                  <w:r>
                    <w:t>厂界北侧</w:t>
                  </w:r>
                </w:p>
              </w:tc>
              <w:tc>
                <w:tcPr>
                  <w:tcW w:w="1000" w:type="pct"/>
                  <w:vAlign w:val="center"/>
                </w:tcPr>
                <w:p w14:paraId="081B795F">
                  <w:pPr>
                    <w:pStyle w:val="15"/>
                    <w:jc w:val="center"/>
                  </w:pPr>
                  <w:r>
                    <w:rPr>
                      <w:rFonts w:hint="eastAsia"/>
                      <w:lang w:val="en-US" w:eastAsia="zh-CN"/>
                    </w:rPr>
                    <w:t>25</w:t>
                  </w:r>
                  <w:r>
                    <w:rPr>
                      <w:rFonts w:hint="eastAsia"/>
                    </w:rPr>
                    <w:t>/</w:t>
                  </w:r>
                  <w:r>
                    <w:rPr>
                      <w:rFonts w:hint="eastAsia"/>
                      <w:lang w:val="en-US" w:eastAsia="zh-CN"/>
                    </w:rPr>
                    <w:t>14</w:t>
                  </w:r>
                  <w:r>
                    <w:rPr>
                      <w:rFonts w:hint="eastAsia"/>
                    </w:rPr>
                    <w:t>/1.2</w:t>
                  </w:r>
                </w:p>
              </w:tc>
              <w:tc>
                <w:tcPr>
                  <w:tcW w:w="1138" w:type="pct"/>
                  <w:vAlign w:val="center"/>
                </w:tcPr>
                <w:p w14:paraId="025F490A">
                  <w:pPr>
                    <w:pStyle w:val="15"/>
                    <w:jc w:val="center"/>
                    <w:rPr>
                      <w:rFonts w:hint="default" w:eastAsia="宋体"/>
                      <w:lang w:val="en-US" w:eastAsia="zh-CN"/>
                    </w:rPr>
                  </w:pPr>
                  <w:r>
                    <w:rPr>
                      <w:rFonts w:hint="eastAsia"/>
                      <w:lang w:val="en-US" w:eastAsia="zh-CN"/>
                    </w:rPr>
                    <w:t>49.4</w:t>
                  </w:r>
                </w:p>
              </w:tc>
              <w:tc>
                <w:tcPr>
                  <w:tcW w:w="1257" w:type="pct"/>
                  <w:vAlign w:val="center"/>
                </w:tcPr>
                <w:p w14:paraId="4E48DB1F">
                  <w:pPr>
                    <w:pStyle w:val="15"/>
                    <w:jc w:val="center"/>
                  </w:pPr>
                  <w:r>
                    <w:rPr>
                      <w:rFonts w:hint="eastAsia"/>
                    </w:rPr>
                    <w:t>60</w:t>
                  </w:r>
                </w:p>
              </w:tc>
              <w:tc>
                <w:tcPr>
                  <w:tcW w:w="682" w:type="pct"/>
                  <w:vAlign w:val="center"/>
                </w:tcPr>
                <w:p w14:paraId="64F30C10">
                  <w:pPr>
                    <w:pStyle w:val="15"/>
                    <w:jc w:val="center"/>
                  </w:pPr>
                  <w:r>
                    <w:rPr>
                      <w:rFonts w:hint="eastAsia"/>
                    </w:rPr>
                    <w:t>达标</w:t>
                  </w:r>
                </w:p>
              </w:tc>
            </w:tr>
          </w:tbl>
          <w:p w14:paraId="7908AC27">
            <w:pPr>
              <w:pStyle w:val="16"/>
              <w:ind w:firstLine="480"/>
            </w:pPr>
            <w:r>
              <w:t>由上表可知，</w:t>
            </w:r>
            <w:r>
              <w:rPr>
                <w:rFonts w:hint="eastAsia"/>
              </w:rPr>
              <w:t>本</w:t>
            </w:r>
            <w:r>
              <w:t>项目</w:t>
            </w:r>
            <w:r>
              <w:rPr>
                <w:rFonts w:hint="eastAsia"/>
              </w:rPr>
              <w:t>噪声采取</w:t>
            </w:r>
            <w:r>
              <w:t>基础减振、隔声</w:t>
            </w:r>
            <w:r>
              <w:rPr>
                <w:rFonts w:hint="eastAsia"/>
              </w:rPr>
              <w:t>等措施后</w:t>
            </w:r>
            <w:r>
              <w:t>，厂界</w:t>
            </w:r>
            <w:r>
              <w:rPr>
                <w:rFonts w:hint="eastAsia"/>
              </w:rPr>
              <w:t>四周</w:t>
            </w:r>
            <w:r>
              <w:t>噪声满足《工业企业厂界环境噪声排放标准》</w:t>
            </w:r>
            <w:r>
              <w:rPr>
                <w:rFonts w:hint="eastAsia"/>
              </w:rPr>
              <w:t>（</w:t>
            </w:r>
            <w:r>
              <w:t>GB12348</w:t>
            </w:r>
            <w:r>
              <w:rPr>
                <w:rFonts w:hint="eastAsia"/>
              </w:rPr>
              <w:t>-</w:t>
            </w:r>
            <w:r>
              <w:t>2008</w:t>
            </w:r>
            <w:r>
              <w:rPr>
                <w:rFonts w:hint="eastAsia"/>
              </w:rPr>
              <w:t>）</w:t>
            </w:r>
            <w:r>
              <w:t>中的</w:t>
            </w:r>
            <w:r>
              <w:rPr>
                <w:rFonts w:hint="eastAsia"/>
              </w:rPr>
              <w:t>2</w:t>
            </w:r>
            <w:r>
              <w:t>类标准</w:t>
            </w:r>
            <w:r>
              <w:rPr>
                <w:rFonts w:hint="eastAsia"/>
              </w:rPr>
              <w:t>，</w:t>
            </w:r>
            <w:r>
              <w:t>对周围声环境产生影响</w:t>
            </w:r>
            <w:r>
              <w:rPr>
                <w:rFonts w:hint="eastAsia"/>
              </w:rPr>
              <w:t>很小</w:t>
            </w:r>
            <w:r>
              <w:t>。</w:t>
            </w:r>
          </w:p>
          <w:p w14:paraId="4F21ADA3">
            <w:pPr>
              <w:ind w:firstLine="482"/>
              <w:rPr>
                <w:b/>
                <w:bCs/>
              </w:rPr>
            </w:pPr>
            <w:r>
              <w:rPr>
                <w:b/>
                <w:bCs/>
              </w:rPr>
              <w:t>3.</w:t>
            </w:r>
            <w:r>
              <w:rPr>
                <w:rFonts w:hint="eastAsia"/>
                <w:b/>
                <w:bCs/>
              </w:rPr>
              <w:t>3</w:t>
            </w:r>
            <w:r>
              <w:rPr>
                <w:b/>
                <w:bCs/>
              </w:rPr>
              <w:t>噪声污染防治措施可行性分析</w:t>
            </w:r>
          </w:p>
          <w:p w14:paraId="67F6EF52">
            <w:pPr>
              <w:pStyle w:val="16"/>
              <w:ind w:firstLine="480"/>
            </w:pPr>
            <w:r>
              <w:t>为了更好地降低噪声对周围环境的影响，加强噪声防治工作，建设单位应采取以下措施：</w:t>
            </w:r>
          </w:p>
          <w:p w14:paraId="203A7D39">
            <w:pPr>
              <w:pStyle w:val="16"/>
              <w:ind w:firstLine="480"/>
            </w:pPr>
            <w:r>
              <w:t>①尽量选用低噪声设备，做好设备保养，保持设备运行良好；</w:t>
            </w:r>
          </w:p>
          <w:p w14:paraId="00D13C66">
            <w:pPr>
              <w:pStyle w:val="16"/>
              <w:ind w:firstLine="480"/>
            </w:pPr>
            <w:r>
              <w:t>②落实高噪声设备的减振、隔声措施；</w:t>
            </w:r>
          </w:p>
          <w:p w14:paraId="13C1526E">
            <w:pPr>
              <w:pStyle w:val="16"/>
              <w:ind w:firstLine="480"/>
            </w:pPr>
            <w:r>
              <w:t>③生产车间全封闭处理，同时选用低噪声、低能耗、低排放并满足环境保护标准的生产、运输等设备；</w:t>
            </w:r>
          </w:p>
          <w:p w14:paraId="4E78741B">
            <w:pPr>
              <w:pStyle w:val="16"/>
              <w:ind w:firstLine="480"/>
            </w:pPr>
            <w:r>
              <w:t>④加强员工培训，实施精细化生产，轻拿轻放，避免偶发噪声产生；</w:t>
            </w:r>
          </w:p>
          <w:p w14:paraId="083BED1C">
            <w:pPr>
              <w:pStyle w:val="16"/>
              <w:ind w:firstLine="480"/>
            </w:pPr>
            <w:r>
              <w:t>在实行以上措施后，可以大大减轻生产噪声对周围环境的影响，项目运营期间排放噪声对周边声环境影响在可接受范围内。</w:t>
            </w:r>
          </w:p>
          <w:p w14:paraId="724760F3">
            <w:pPr>
              <w:ind w:firstLine="482"/>
              <w:rPr>
                <w:b/>
                <w:bCs/>
              </w:rPr>
            </w:pPr>
            <w:r>
              <w:rPr>
                <w:b/>
                <w:bCs/>
              </w:rPr>
              <w:t>3.4 噪声监测要求</w:t>
            </w:r>
          </w:p>
          <w:p w14:paraId="66279969">
            <w:pPr>
              <w:pStyle w:val="16"/>
              <w:ind w:firstLine="480"/>
            </w:pPr>
            <w:r>
              <w:t>本项目噪声监测计划根据《排污许可证申请与核发技术规范 工业噪声》（HJ1301-2023），具体见下表。</w:t>
            </w:r>
          </w:p>
          <w:p w14:paraId="1AC0BE52">
            <w:pPr>
              <w:pStyle w:val="17"/>
            </w:pPr>
            <w:r>
              <w:rPr>
                <w:rFonts w:hint="eastAsia"/>
              </w:rPr>
              <w:t>表4-</w:t>
            </w:r>
            <w:r>
              <w:rPr>
                <w:rFonts w:hint="eastAsia"/>
                <w:lang w:val="en-US" w:eastAsia="zh-CN"/>
              </w:rPr>
              <w:t>8</w:t>
            </w:r>
            <w:r>
              <w:rPr>
                <w:rFonts w:hint="eastAsia"/>
              </w:rPr>
              <w:t xml:space="preserve">  噪声监测计划</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905"/>
              <w:gridCol w:w="1837"/>
              <w:gridCol w:w="1975"/>
            </w:tblGrid>
            <w:tr w14:paraId="754C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0654F5A4">
                  <w:pPr>
                    <w:pStyle w:val="15"/>
                  </w:pPr>
                  <w:r>
                    <w:rPr>
                      <w:rFonts w:hint="eastAsia"/>
                    </w:rPr>
                    <w:t>监测项目</w:t>
                  </w:r>
                </w:p>
              </w:tc>
              <w:tc>
                <w:tcPr>
                  <w:tcW w:w="2905" w:type="dxa"/>
                </w:tcPr>
                <w:p w14:paraId="15F18DFC">
                  <w:pPr>
                    <w:pStyle w:val="15"/>
                  </w:pPr>
                  <w:r>
                    <w:rPr>
                      <w:rFonts w:hint="eastAsia"/>
                    </w:rPr>
                    <w:t>监测点位</w:t>
                  </w:r>
                </w:p>
              </w:tc>
              <w:tc>
                <w:tcPr>
                  <w:tcW w:w="1837" w:type="dxa"/>
                </w:tcPr>
                <w:p w14:paraId="48D73C09">
                  <w:pPr>
                    <w:pStyle w:val="15"/>
                  </w:pPr>
                  <w:r>
                    <w:rPr>
                      <w:rFonts w:hint="eastAsia"/>
                    </w:rPr>
                    <w:t>监测因子</w:t>
                  </w:r>
                </w:p>
              </w:tc>
              <w:tc>
                <w:tcPr>
                  <w:tcW w:w="1975" w:type="dxa"/>
                </w:tcPr>
                <w:p w14:paraId="026C9523">
                  <w:pPr>
                    <w:pStyle w:val="15"/>
                  </w:pPr>
                  <w:r>
                    <w:rPr>
                      <w:rFonts w:hint="eastAsia"/>
                    </w:rPr>
                    <w:t>监测频次</w:t>
                  </w:r>
                </w:p>
              </w:tc>
            </w:tr>
            <w:tr w14:paraId="1C21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31BF83BB">
                  <w:pPr>
                    <w:pStyle w:val="15"/>
                  </w:pPr>
                  <w:r>
                    <w:rPr>
                      <w:rFonts w:hint="eastAsia"/>
                    </w:rPr>
                    <w:t>厂界噪声</w:t>
                  </w:r>
                </w:p>
              </w:tc>
              <w:tc>
                <w:tcPr>
                  <w:tcW w:w="2905" w:type="dxa"/>
                </w:tcPr>
                <w:p w14:paraId="07990E3E">
                  <w:pPr>
                    <w:pStyle w:val="15"/>
                  </w:pPr>
                  <w:r>
                    <w:t>厂界四周1m处各布设一个点</w:t>
                  </w:r>
                </w:p>
              </w:tc>
              <w:tc>
                <w:tcPr>
                  <w:tcW w:w="1837" w:type="dxa"/>
                </w:tcPr>
                <w:p w14:paraId="1BA37C92">
                  <w:pPr>
                    <w:pStyle w:val="15"/>
                  </w:pPr>
                  <w:r>
                    <w:t>连续等效A声级</w:t>
                  </w:r>
                </w:p>
              </w:tc>
              <w:tc>
                <w:tcPr>
                  <w:tcW w:w="1975" w:type="dxa"/>
                </w:tcPr>
                <w:p w14:paraId="71B87E91">
                  <w:pPr>
                    <w:pStyle w:val="15"/>
                  </w:pPr>
                  <w:r>
                    <w:t>1次/季度</w:t>
                  </w:r>
                </w:p>
              </w:tc>
            </w:tr>
          </w:tbl>
          <w:p w14:paraId="770B1327">
            <w:pPr>
              <w:ind w:firstLine="482"/>
              <w:rPr>
                <w:b/>
                <w:bCs/>
              </w:rPr>
            </w:pPr>
            <w:r>
              <w:rPr>
                <w:b/>
                <w:bCs/>
              </w:rPr>
              <w:t>4、固体废物</w:t>
            </w:r>
          </w:p>
          <w:p w14:paraId="715E29FE">
            <w:pPr>
              <w:ind w:firstLine="482"/>
              <w:rPr>
                <w:b/>
                <w:bCs/>
              </w:rPr>
            </w:pPr>
            <w:r>
              <w:rPr>
                <w:b/>
                <w:bCs/>
              </w:rPr>
              <w:t>4.1</w:t>
            </w:r>
            <w:r>
              <w:rPr>
                <w:rFonts w:hint="eastAsia"/>
                <w:b/>
                <w:bCs/>
              </w:rPr>
              <w:t xml:space="preserve"> </w:t>
            </w:r>
            <w:r>
              <w:rPr>
                <w:b/>
                <w:bCs/>
              </w:rPr>
              <w:t xml:space="preserve">固废产生情况 </w:t>
            </w:r>
          </w:p>
          <w:p w14:paraId="240FCF2F">
            <w:pPr>
              <w:pStyle w:val="16"/>
              <w:ind w:firstLine="480"/>
            </w:pPr>
            <w:r>
              <w:t>本项目运营期固体废物主要为</w:t>
            </w:r>
            <w:r>
              <w:rPr>
                <w:rFonts w:hint="eastAsia"/>
                <w:lang w:val="en-US" w:eastAsia="zh-CN"/>
              </w:rPr>
              <w:t>热风炉</w:t>
            </w:r>
            <w:r>
              <w:t>灰渣</w:t>
            </w:r>
            <w:r>
              <w:rPr>
                <w:rFonts w:hint="eastAsia"/>
              </w:rPr>
              <w:t>、除尘</w:t>
            </w:r>
            <w:r>
              <w:rPr>
                <w:rFonts w:hint="eastAsia"/>
                <w:lang w:val="en-US" w:eastAsia="zh-CN"/>
              </w:rPr>
              <w:t>器</w:t>
            </w:r>
            <w:r>
              <w:rPr>
                <w:rFonts w:hint="eastAsia"/>
              </w:rPr>
              <w:t>收集的粉尘</w:t>
            </w:r>
            <w:r>
              <w:rPr>
                <w:rFonts w:hint="eastAsia"/>
                <w:lang w:eastAsia="zh-CN"/>
              </w:rPr>
              <w:t>、</w:t>
            </w:r>
            <w:r>
              <w:rPr>
                <w:rFonts w:hint="eastAsia"/>
                <w:lang w:val="en-US" w:eastAsia="zh-CN"/>
              </w:rPr>
              <w:t>废活性炭</w:t>
            </w:r>
            <w:r>
              <w:rPr>
                <w:rFonts w:hint="eastAsia"/>
              </w:rPr>
              <w:t>和生活垃圾</w:t>
            </w:r>
            <w:r>
              <w:t>。</w:t>
            </w:r>
          </w:p>
          <w:p w14:paraId="0DCDE16C">
            <w:pPr>
              <w:pStyle w:val="16"/>
              <w:ind w:firstLine="480"/>
            </w:pPr>
            <w:r>
              <w:rPr>
                <w:u w:val="none"/>
              </w:rPr>
              <w:t>①</w:t>
            </w:r>
            <w:r>
              <w:rPr>
                <w:rFonts w:hint="eastAsia"/>
                <w:lang w:val="en-US" w:eastAsia="zh-CN"/>
              </w:rPr>
              <w:t>热风炉</w:t>
            </w:r>
            <w:r>
              <w:rPr>
                <w:rFonts w:hint="eastAsia"/>
              </w:rPr>
              <w:t>灰渣</w:t>
            </w:r>
            <w:r>
              <w:t>：本项目生物质</w:t>
            </w:r>
            <w:r>
              <w:rPr>
                <w:rFonts w:hint="eastAsia"/>
                <w:lang w:val="en-US" w:eastAsia="zh-CN"/>
              </w:rPr>
              <w:t>热风炉</w:t>
            </w:r>
            <w:r>
              <w:t>使用过程中会产生少量灰渣，本产生量约</w:t>
            </w:r>
            <w:r>
              <w:rPr>
                <w:rFonts w:hint="eastAsia"/>
                <w:lang w:val="en-US" w:eastAsia="zh-CN"/>
              </w:rPr>
              <w:t>0.82</w:t>
            </w:r>
            <w:r>
              <w:t>t/a</w:t>
            </w:r>
            <w:r>
              <w:rPr>
                <w:rFonts w:hint="eastAsia"/>
                <w:lang w:eastAsia="zh-CN"/>
              </w:rPr>
              <w:t>，</w:t>
            </w:r>
            <w:r>
              <w:rPr>
                <w:rFonts w:hint="eastAsia"/>
              </w:rPr>
              <w:t>收集后交由周边农户做肥料。</w:t>
            </w:r>
          </w:p>
          <w:p w14:paraId="6962D3EC">
            <w:pPr>
              <w:pStyle w:val="16"/>
              <w:ind w:firstLine="480"/>
              <w:rPr>
                <w:rFonts w:hint="eastAsia"/>
              </w:rPr>
            </w:pPr>
            <w:r>
              <w:t>②</w:t>
            </w:r>
            <w:r>
              <w:rPr>
                <w:rFonts w:hint="eastAsia"/>
              </w:rPr>
              <w:t>除尘</w:t>
            </w:r>
            <w:r>
              <w:rPr>
                <w:rFonts w:hint="eastAsia"/>
                <w:lang w:val="en-US" w:eastAsia="zh-CN"/>
              </w:rPr>
              <w:t>器</w:t>
            </w:r>
            <w:r>
              <w:rPr>
                <w:rFonts w:hint="eastAsia"/>
              </w:rPr>
              <w:t>收集的粉尘：根据废气污染源源强分析，收集的粉尘量为</w:t>
            </w:r>
            <w:r>
              <w:rPr>
                <w:rFonts w:hint="eastAsia"/>
                <w:lang w:val="en-US" w:eastAsia="zh-CN"/>
              </w:rPr>
              <w:t>1.31</w:t>
            </w:r>
            <w:r>
              <w:rPr>
                <w:rFonts w:hint="eastAsia"/>
              </w:rPr>
              <w:t>t/a，收集后交由周边农户做肥料。</w:t>
            </w:r>
          </w:p>
          <w:p w14:paraId="121EC0BA">
            <w:pPr>
              <w:pStyle w:val="16"/>
              <w:ind w:firstLine="480"/>
              <w:rPr>
                <w:rFonts w:hint="default" w:eastAsia="宋体"/>
                <w:lang w:val="en-US" w:eastAsia="zh-CN"/>
              </w:rPr>
            </w:pPr>
            <w:r>
              <w:t>③</w:t>
            </w:r>
            <w:r>
              <w:rPr>
                <w:rFonts w:hint="eastAsia"/>
                <w:lang w:val="en-US" w:eastAsia="zh-CN"/>
              </w:rPr>
              <w:t>废活性炭：本项目废气处理系统采用活性炭吸附，根据前文源强核算，被活性炭吸附的有机废气量为0.392t/a，根据《工业通风》（第四版，孙一坚主编），活性炭对本有机废气的平衡饱持量约为30%，即1t活性炭可吸附有机废气0.3t，则需要活性炭量约1.31t，企业拟安装一个活性炭装填量0.5m</w:t>
            </w:r>
            <w:r>
              <w:rPr>
                <w:rFonts w:hint="eastAsia"/>
                <w:vertAlign w:val="superscript"/>
                <w:lang w:val="en-US" w:eastAsia="zh-CN"/>
              </w:rPr>
              <w:t>3</w:t>
            </w:r>
            <w:r>
              <w:rPr>
                <w:rFonts w:hint="eastAsia"/>
                <w:lang w:val="en-US" w:eastAsia="zh-CN"/>
              </w:rPr>
              <w:t>的活性炭箱，活性炭密度取600kg/m</w:t>
            </w:r>
            <w:r>
              <w:rPr>
                <w:rFonts w:hint="eastAsia"/>
                <w:vertAlign w:val="superscript"/>
                <w:lang w:val="en-US" w:eastAsia="zh-CN"/>
              </w:rPr>
              <w:t>3</w:t>
            </w:r>
            <w:r>
              <w:rPr>
                <w:rFonts w:hint="eastAsia"/>
                <w:lang w:val="en-US" w:eastAsia="zh-CN"/>
              </w:rPr>
              <w:t>，按每个季度更换一次，则废活性炭产生量为1.592t/a，根据《国家危险废物名录》（2025年版），废活性炭属于HW49其他废物，废物代码为900-039-49，收集后暂存于危废暂存间，交由有资质单位定期处理。</w:t>
            </w:r>
          </w:p>
          <w:p w14:paraId="794470F2">
            <w:pPr>
              <w:pStyle w:val="16"/>
              <w:ind w:firstLine="480"/>
            </w:pPr>
            <w:r>
              <w:t>④生活垃圾：本项目劳动定员</w:t>
            </w:r>
            <w:r>
              <w:rPr>
                <w:rFonts w:hint="eastAsia"/>
                <w:lang w:val="en-US" w:eastAsia="zh-CN"/>
              </w:rPr>
              <w:t>10</w:t>
            </w:r>
            <w:r>
              <w:t>人，年工作天数为</w:t>
            </w:r>
            <w:r>
              <w:rPr>
                <w:rFonts w:hint="eastAsia"/>
                <w:lang w:val="en-US" w:eastAsia="zh-CN"/>
              </w:rPr>
              <w:t>3</w:t>
            </w:r>
            <w:r>
              <w:rPr>
                <w:rFonts w:hint="eastAsia"/>
              </w:rPr>
              <w:t>0</w:t>
            </w:r>
            <w:r>
              <w:t>0天，在生产营运期间生活垃圾产生系数取1kg/人•天，因此，项目生活垃圾产生量为</w:t>
            </w:r>
            <w:r>
              <w:rPr>
                <w:rFonts w:hint="eastAsia"/>
                <w:lang w:val="en-US" w:eastAsia="zh-CN"/>
              </w:rPr>
              <w:t>3</w:t>
            </w:r>
            <w:r>
              <w:t>t/a</w:t>
            </w:r>
            <w:r>
              <w:rPr>
                <w:rFonts w:hint="eastAsia"/>
              </w:rPr>
              <w:t>（1</w:t>
            </w:r>
            <w:r>
              <w:rPr>
                <w:rFonts w:hint="eastAsia"/>
                <w:lang w:val="en-US" w:eastAsia="zh-CN"/>
              </w:rPr>
              <w:t>0</w:t>
            </w:r>
            <w:r>
              <w:t>kg/d</w:t>
            </w:r>
            <w:r>
              <w:rPr>
                <w:rFonts w:hint="eastAsia"/>
              </w:rPr>
              <w:t>），收集后交由环卫部门处理。</w:t>
            </w:r>
          </w:p>
          <w:p w14:paraId="276F678D">
            <w:pPr>
              <w:pStyle w:val="17"/>
            </w:pPr>
            <w:r>
              <w:rPr>
                <w:rFonts w:hint="eastAsia"/>
              </w:rPr>
              <w:t>表4-</w:t>
            </w:r>
            <w:r>
              <w:rPr>
                <w:rFonts w:hint="eastAsia"/>
                <w:lang w:val="en-US" w:eastAsia="zh-CN"/>
              </w:rPr>
              <w:t>9</w:t>
            </w:r>
            <w:r>
              <w:rPr>
                <w:rFonts w:hint="eastAsia"/>
              </w:rPr>
              <w:t xml:space="preserve">  固体废物产生、处理情况表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948"/>
              <w:gridCol w:w="778"/>
              <w:gridCol w:w="1580"/>
              <w:gridCol w:w="709"/>
              <w:gridCol w:w="766"/>
              <w:gridCol w:w="943"/>
              <w:gridCol w:w="1382"/>
            </w:tblGrid>
            <w:tr w14:paraId="48B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71C25EF1">
                  <w:pPr>
                    <w:pStyle w:val="15"/>
                    <w:rPr>
                      <w:u w:val="none"/>
                    </w:rPr>
                  </w:pPr>
                  <w:r>
                    <w:rPr>
                      <w:rFonts w:hint="eastAsia"/>
                      <w:u w:val="none"/>
                    </w:rPr>
                    <w:t>属性</w:t>
                  </w:r>
                </w:p>
              </w:tc>
              <w:tc>
                <w:tcPr>
                  <w:tcW w:w="604" w:type="pct"/>
                  <w:vAlign w:val="center"/>
                </w:tcPr>
                <w:p w14:paraId="68704981">
                  <w:pPr>
                    <w:pStyle w:val="15"/>
                    <w:rPr>
                      <w:u w:val="none"/>
                    </w:rPr>
                  </w:pPr>
                  <w:r>
                    <w:rPr>
                      <w:rFonts w:hint="eastAsia"/>
                      <w:u w:val="none"/>
                    </w:rPr>
                    <w:t>污染物</w:t>
                  </w:r>
                </w:p>
              </w:tc>
              <w:tc>
                <w:tcPr>
                  <w:tcW w:w="496" w:type="pct"/>
                  <w:vAlign w:val="center"/>
                </w:tcPr>
                <w:p w14:paraId="3B73B89C">
                  <w:pPr>
                    <w:pStyle w:val="15"/>
                    <w:rPr>
                      <w:u w:val="none"/>
                    </w:rPr>
                  </w:pPr>
                  <w:r>
                    <w:rPr>
                      <w:rFonts w:hint="eastAsia"/>
                      <w:u w:val="none"/>
                    </w:rPr>
                    <w:t>产生环节</w:t>
                  </w:r>
                </w:p>
              </w:tc>
              <w:tc>
                <w:tcPr>
                  <w:tcW w:w="1007" w:type="pct"/>
                  <w:vAlign w:val="center"/>
                </w:tcPr>
                <w:p w14:paraId="093C5A9C">
                  <w:pPr>
                    <w:pStyle w:val="15"/>
                    <w:rPr>
                      <w:u w:val="none"/>
                    </w:rPr>
                  </w:pPr>
                  <w:r>
                    <w:rPr>
                      <w:rFonts w:hint="eastAsia"/>
                      <w:u w:val="none"/>
                    </w:rPr>
                    <w:t>编码</w:t>
                  </w:r>
                </w:p>
              </w:tc>
              <w:tc>
                <w:tcPr>
                  <w:tcW w:w="452" w:type="pct"/>
                  <w:vAlign w:val="center"/>
                </w:tcPr>
                <w:p w14:paraId="0DE7473A">
                  <w:pPr>
                    <w:pStyle w:val="15"/>
                    <w:rPr>
                      <w:u w:val="none"/>
                    </w:rPr>
                  </w:pPr>
                  <w:r>
                    <w:rPr>
                      <w:rFonts w:hint="eastAsia"/>
                      <w:u w:val="none"/>
                    </w:rPr>
                    <w:t>形态</w:t>
                  </w:r>
                </w:p>
              </w:tc>
              <w:tc>
                <w:tcPr>
                  <w:tcW w:w="488" w:type="pct"/>
                  <w:vAlign w:val="center"/>
                </w:tcPr>
                <w:p w14:paraId="0F50C28C">
                  <w:pPr>
                    <w:pStyle w:val="15"/>
                    <w:rPr>
                      <w:u w:val="none"/>
                    </w:rPr>
                  </w:pPr>
                  <w:r>
                    <w:rPr>
                      <w:rFonts w:hint="eastAsia"/>
                      <w:u w:val="none"/>
                    </w:rPr>
                    <w:t>危险特性</w:t>
                  </w:r>
                </w:p>
              </w:tc>
              <w:tc>
                <w:tcPr>
                  <w:tcW w:w="601" w:type="pct"/>
                  <w:vAlign w:val="center"/>
                </w:tcPr>
                <w:p w14:paraId="5271DF87">
                  <w:pPr>
                    <w:pStyle w:val="15"/>
                    <w:rPr>
                      <w:u w:val="none"/>
                    </w:rPr>
                  </w:pPr>
                  <w:r>
                    <w:rPr>
                      <w:rFonts w:hint="eastAsia"/>
                      <w:u w:val="none"/>
                    </w:rPr>
                    <w:t>产生量（t/a）</w:t>
                  </w:r>
                </w:p>
              </w:tc>
              <w:tc>
                <w:tcPr>
                  <w:tcW w:w="880" w:type="pct"/>
                  <w:vAlign w:val="center"/>
                </w:tcPr>
                <w:p w14:paraId="1475CD8B">
                  <w:pPr>
                    <w:pStyle w:val="15"/>
                    <w:rPr>
                      <w:u w:val="none"/>
                    </w:rPr>
                  </w:pPr>
                  <w:r>
                    <w:rPr>
                      <w:rFonts w:hint="eastAsia"/>
                      <w:u w:val="none"/>
                    </w:rPr>
                    <w:t>处置措施</w:t>
                  </w:r>
                </w:p>
              </w:tc>
            </w:tr>
            <w:tr w14:paraId="527E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restart"/>
                  <w:vAlign w:val="center"/>
                </w:tcPr>
                <w:p w14:paraId="201B122F">
                  <w:pPr>
                    <w:pStyle w:val="15"/>
                    <w:rPr>
                      <w:rFonts w:hint="default" w:eastAsia="宋体"/>
                      <w:u w:val="none"/>
                      <w:lang w:val="en-US" w:eastAsia="zh-CN"/>
                    </w:rPr>
                  </w:pPr>
                  <w:r>
                    <w:rPr>
                      <w:rFonts w:hint="eastAsia"/>
                      <w:u w:val="none"/>
                      <w:lang w:val="en-US" w:eastAsia="zh-CN"/>
                    </w:rPr>
                    <w:t>一般固废</w:t>
                  </w:r>
                </w:p>
              </w:tc>
              <w:tc>
                <w:tcPr>
                  <w:tcW w:w="604" w:type="pct"/>
                  <w:vAlign w:val="center"/>
                </w:tcPr>
                <w:p w14:paraId="3FB7A8CC">
                  <w:pPr>
                    <w:pStyle w:val="15"/>
                    <w:rPr>
                      <w:u w:val="none"/>
                    </w:rPr>
                  </w:pPr>
                  <w:r>
                    <w:rPr>
                      <w:rFonts w:hint="eastAsia"/>
                      <w:u w:val="none"/>
                    </w:rPr>
                    <w:t>灰渣</w:t>
                  </w:r>
                </w:p>
              </w:tc>
              <w:tc>
                <w:tcPr>
                  <w:tcW w:w="496" w:type="pct"/>
                  <w:vAlign w:val="center"/>
                </w:tcPr>
                <w:p w14:paraId="6908078F">
                  <w:pPr>
                    <w:pStyle w:val="15"/>
                    <w:rPr>
                      <w:rFonts w:hint="eastAsia" w:eastAsia="宋体"/>
                      <w:u w:val="none"/>
                      <w:lang w:val="en-US" w:eastAsia="zh-CN"/>
                    </w:rPr>
                  </w:pPr>
                  <w:r>
                    <w:rPr>
                      <w:rFonts w:hint="eastAsia"/>
                      <w:u w:val="none"/>
                      <w:lang w:val="en-US" w:eastAsia="zh-CN"/>
                    </w:rPr>
                    <w:t>热风炉</w:t>
                  </w:r>
                </w:p>
              </w:tc>
              <w:tc>
                <w:tcPr>
                  <w:tcW w:w="1007" w:type="pct"/>
                  <w:vAlign w:val="center"/>
                </w:tcPr>
                <w:p w14:paraId="73E2717B">
                  <w:pPr>
                    <w:pStyle w:val="15"/>
                    <w:rPr>
                      <w:u w:val="none"/>
                    </w:rPr>
                  </w:pPr>
                  <w:r>
                    <w:rPr>
                      <w:rFonts w:hint="eastAsia"/>
                      <w:u w:val="none"/>
                    </w:rPr>
                    <w:t>SW59 900-099-S59</w:t>
                  </w:r>
                </w:p>
              </w:tc>
              <w:tc>
                <w:tcPr>
                  <w:tcW w:w="452" w:type="pct"/>
                  <w:vAlign w:val="center"/>
                </w:tcPr>
                <w:p w14:paraId="4B85AB78">
                  <w:pPr>
                    <w:pStyle w:val="15"/>
                    <w:rPr>
                      <w:u w:val="none"/>
                    </w:rPr>
                  </w:pPr>
                  <w:r>
                    <w:rPr>
                      <w:rFonts w:hint="eastAsia"/>
                      <w:u w:val="none"/>
                    </w:rPr>
                    <w:t>固</w:t>
                  </w:r>
                </w:p>
              </w:tc>
              <w:tc>
                <w:tcPr>
                  <w:tcW w:w="488" w:type="pct"/>
                  <w:vAlign w:val="center"/>
                </w:tcPr>
                <w:p w14:paraId="3B94B8DD">
                  <w:pPr>
                    <w:pStyle w:val="15"/>
                    <w:rPr>
                      <w:u w:val="none"/>
                    </w:rPr>
                  </w:pPr>
                  <w:r>
                    <w:rPr>
                      <w:rFonts w:hint="eastAsia"/>
                      <w:u w:val="none"/>
                    </w:rPr>
                    <w:t>/</w:t>
                  </w:r>
                </w:p>
              </w:tc>
              <w:tc>
                <w:tcPr>
                  <w:tcW w:w="601" w:type="pct"/>
                  <w:vAlign w:val="center"/>
                </w:tcPr>
                <w:p w14:paraId="409363E0">
                  <w:pPr>
                    <w:pStyle w:val="15"/>
                    <w:rPr>
                      <w:rFonts w:hint="default" w:eastAsia="宋体"/>
                      <w:u w:val="none"/>
                      <w:lang w:val="en-US" w:eastAsia="zh-CN"/>
                    </w:rPr>
                  </w:pPr>
                  <w:r>
                    <w:rPr>
                      <w:rFonts w:hint="eastAsia"/>
                      <w:u w:val="none"/>
                      <w:lang w:val="en-US" w:eastAsia="zh-CN"/>
                    </w:rPr>
                    <w:t>0.82</w:t>
                  </w:r>
                </w:p>
              </w:tc>
              <w:tc>
                <w:tcPr>
                  <w:tcW w:w="880" w:type="pct"/>
                  <w:vMerge w:val="restart"/>
                  <w:vAlign w:val="center"/>
                </w:tcPr>
                <w:p w14:paraId="27150E8A">
                  <w:pPr>
                    <w:pStyle w:val="15"/>
                    <w:rPr>
                      <w:u w:val="none"/>
                    </w:rPr>
                  </w:pPr>
                  <w:r>
                    <w:rPr>
                      <w:rFonts w:hint="eastAsia"/>
                    </w:rPr>
                    <w:t>收集后交由周边农户做肥料</w:t>
                  </w:r>
                </w:p>
              </w:tc>
            </w:tr>
            <w:tr w14:paraId="6C2C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vAlign w:val="center"/>
                </w:tcPr>
                <w:p w14:paraId="514ADA2F">
                  <w:pPr>
                    <w:pStyle w:val="15"/>
                    <w:rPr>
                      <w:u w:val="none"/>
                    </w:rPr>
                  </w:pPr>
                </w:p>
              </w:tc>
              <w:tc>
                <w:tcPr>
                  <w:tcW w:w="604" w:type="pct"/>
                  <w:vAlign w:val="center"/>
                </w:tcPr>
                <w:p w14:paraId="5C9CED75">
                  <w:pPr>
                    <w:pStyle w:val="15"/>
                    <w:rPr>
                      <w:u w:val="none"/>
                    </w:rPr>
                  </w:pPr>
                  <w:r>
                    <w:rPr>
                      <w:rFonts w:hint="eastAsia"/>
                      <w:u w:val="none"/>
                    </w:rPr>
                    <w:t>除尘</w:t>
                  </w:r>
                  <w:r>
                    <w:rPr>
                      <w:rFonts w:hint="eastAsia"/>
                      <w:u w:val="none"/>
                      <w:lang w:val="en-US" w:eastAsia="zh-CN"/>
                    </w:rPr>
                    <w:t>器</w:t>
                  </w:r>
                  <w:r>
                    <w:rPr>
                      <w:rFonts w:hint="eastAsia"/>
                      <w:u w:val="none"/>
                    </w:rPr>
                    <w:t>收集的粉尘</w:t>
                  </w:r>
                </w:p>
              </w:tc>
              <w:tc>
                <w:tcPr>
                  <w:tcW w:w="496" w:type="pct"/>
                  <w:vAlign w:val="center"/>
                </w:tcPr>
                <w:p w14:paraId="60F192D2">
                  <w:pPr>
                    <w:pStyle w:val="15"/>
                    <w:rPr>
                      <w:u w:val="none"/>
                    </w:rPr>
                  </w:pPr>
                  <w:r>
                    <w:rPr>
                      <w:rFonts w:hint="eastAsia"/>
                      <w:u w:val="none"/>
                    </w:rPr>
                    <w:t>废气处理</w:t>
                  </w:r>
                </w:p>
              </w:tc>
              <w:tc>
                <w:tcPr>
                  <w:tcW w:w="1007" w:type="pct"/>
                  <w:vAlign w:val="center"/>
                </w:tcPr>
                <w:p w14:paraId="323F7A3F">
                  <w:pPr>
                    <w:pStyle w:val="15"/>
                    <w:rPr>
                      <w:u w:val="none"/>
                    </w:rPr>
                  </w:pPr>
                  <w:r>
                    <w:rPr>
                      <w:rFonts w:hint="eastAsia"/>
                      <w:u w:val="none"/>
                    </w:rPr>
                    <w:t>SW59 900-099-S59</w:t>
                  </w:r>
                </w:p>
              </w:tc>
              <w:tc>
                <w:tcPr>
                  <w:tcW w:w="452" w:type="pct"/>
                  <w:vAlign w:val="center"/>
                </w:tcPr>
                <w:p w14:paraId="1DC1A7B9">
                  <w:pPr>
                    <w:pStyle w:val="15"/>
                    <w:rPr>
                      <w:u w:val="none"/>
                    </w:rPr>
                  </w:pPr>
                  <w:r>
                    <w:rPr>
                      <w:rFonts w:hint="eastAsia"/>
                      <w:u w:val="none"/>
                    </w:rPr>
                    <w:t>固</w:t>
                  </w:r>
                </w:p>
              </w:tc>
              <w:tc>
                <w:tcPr>
                  <w:tcW w:w="488" w:type="pct"/>
                  <w:vAlign w:val="center"/>
                </w:tcPr>
                <w:p w14:paraId="0A666B08">
                  <w:pPr>
                    <w:pStyle w:val="15"/>
                    <w:rPr>
                      <w:u w:val="none"/>
                    </w:rPr>
                  </w:pPr>
                  <w:r>
                    <w:rPr>
                      <w:rFonts w:hint="eastAsia"/>
                      <w:u w:val="none"/>
                    </w:rPr>
                    <w:t>/</w:t>
                  </w:r>
                </w:p>
              </w:tc>
              <w:tc>
                <w:tcPr>
                  <w:tcW w:w="601" w:type="pct"/>
                  <w:vAlign w:val="center"/>
                </w:tcPr>
                <w:p w14:paraId="266DA3E6">
                  <w:pPr>
                    <w:pStyle w:val="15"/>
                    <w:rPr>
                      <w:rFonts w:hint="default" w:eastAsia="宋体"/>
                      <w:u w:val="none"/>
                      <w:lang w:val="en-US" w:eastAsia="zh-CN"/>
                    </w:rPr>
                  </w:pPr>
                  <w:r>
                    <w:rPr>
                      <w:rFonts w:hint="eastAsia"/>
                      <w:u w:val="none"/>
                      <w:lang w:val="en-US" w:eastAsia="zh-CN"/>
                    </w:rPr>
                    <w:t>1.31</w:t>
                  </w:r>
                </w:p>
              </w:tc>
              <w:tc>
                <w:tcPr>
                  <w:tcW w:w="880" w:type="pct"/>
                  <w:vMerge w:val="continue"/>
                  <w:vAlign w:val="center"/>
                </w:tcPr>
                <w:p w14:paraId="154A890D">
                  <w:pPr>
                    <w:pStyle w:val="15"/>
                    <w:rPr>
                      <w:u w:val="none"/>
                    </w:rPr>
                  </w:pPr>
                </w:p>
              </w:tc>
            </w:tr>
            <w:tr w14:paraId="2E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7E2395A8">
                  <w:pPr>
                    <w:pStyle w:val="15"/>
                    <w:rPr>
                      <w:rFonts w:hint="default" w:eastAsia="宋体"/>
                      <w:u w:val="none"/>
                      <w:lang w:val="en-US" w:eastAsia="zh-CN"/>
                    </w:rPr>
                  </w:pPr>
                  <w:r>
                    <w:rPr>
                      <w:rFonts w:hint="eastAsia"/>
                      <w:u w:val="none"/>
                      <w:lang w:val="en-US" w:eastAsia="zh-CN"/>
                    </w:rPr>
                    <w:t>危险废物</w:t>
                  </w:r>
                </w:p>
              </w:tc>
              <w:tc>
                <w:tcPr>
                  <w:tcW w:w="604" w:type="pct"/>
                  <w:vAlign w:val="center"/>
                </w:tcPr>
                <w:p w14:paraId="15A735ED">
                  <w:pPr>
                    <w:pStyle w:val="15"/>
                    <w:rPr>
                      <w:rFonts w:hint="eastAsia" w:eastAsia="宋体"/>
                      <w:u w:val="none"/>
                      <w:lang w:val="en-US" w:eastAsia="zh-CN"/>
                    </w:rPr>
                  </w:pPr>
                  <w:r>
                    <w:rPr>
                      <w:rFonts w:hint="eastAsia"/>
                      <w:u w:val="none"/>
                      <w:lang w:val="en-US" w:eastAsia="zh-CN"/>
                    </w:rPr>
                    <w:t>废活性炭</w:t>
                  </w:r>
                </w:p>
              </w:tc>
              <w:tc>
                <w:tcPr>
                  <w:tcW w:w="496" w:type="pct"/>
                  <w:vAlign w:val="center"/>
                </w:tcPr>
                <w:p w14:paraId="4F9DF133">
                  <w:pPr>
                    <w:pStyle w:val="15"/>
                    <w:rPr>
                      <w:rFonts w:hint="eastAsia"/>
                      <w:u w:val="none"/>
                    </w:rPr>
                  </w:pPr>
                  <w:r>
                    <w:rPr>
                      <w:rFonts w:hint="eastAsia"/>
                      <w:u w:val="none"/>
                    </w:rPr>
                    <w:t>废气处理</w:t>
                  </w:r>
                </w:p>
              </w:tc>
              <w:tc>
                <w:tcPr>
                  <w:tcW w:w="1007" w:type="pct"/>
                  <w:vAlign w:val="center"/>
                </w:tcPr>
                <w:p w14:paraId="119C33A9">
                  <w:pPr>
                    <w:pStyle w:val="15"/>
                    <w:rPr>
                      <w:rFonts w:hint="eastAsia"/>
                      <w:u w:val="none"/>
                    </w:rPr>
                  </w:pPr>
                  <w:r>
                    <w:rPr>
                      <w:rFonts w:hint="eastAsia"/>
                      <w:u w:val="none"/>
                      <w:lang w:val="en-US" w:eastAsia="zh-CN"/>
                    </w:rPr>
                    <w:t>H</w:t>
                  </w:r>
                  <w:r>
                    <w:rPr>
                      <w:rFonts w:hint="eastAsia"/>
                      <w:u w:val="none"/>
                    </w:rPr>
                    <w:t>W</w:t>
                  </w:r>
                  <w:r>
                    <w:rPr>
                      <w:rFonts w:hint="eastAsia"/>
                      <w:u w:val="none"/>
                      <w:lang w:val="en-US" w:eastAsia="zh-CN"/>
                    </w:rPr>
                    <w:t>49</w:t>
                  </w:r>
                  <w:r>
                    <w:rPr>
                      <w:rFonts w:hint="eastAsia"/>
                      <w:u w:val="none"/>
                    </w:rPr>
                    <w:t xml:space="preserve"> </w:t>
                  </w:r>
                  <w:r>
                    <w:rPr>
                      <w:rFonts w:hint="eastAsia"/>
                      <w:lang w:val="en-US" w:eastAsia="zh-CN"/>
                    </w:rPr>
                    <w:t>900-039-49</w:t>
                  </w:r>
                </w:p>
              </w:tc>
              <w:tc>
                <w:tcPr>
                  <w:tcW w:w="452" w:type="pct"/>
                  <w:vAlign w:val="center"/>
                </w:tcPr>
                <w:p w14:paraId="415B504F">
                  <w:pPr>
                    <w:pStyle w:val="15"/>
                    <w:rPr>
                      <w:rFonts w:hint="default" w:eastAsia="宋体"/>
                      <w:u w:val="none"/>
                      <w:lang w:val="en-US" w:eastAsia="zh-CN"/>
                    </w:rPr>
                  </w:pPr>
                  <w:r>
                    <w:rPr>
                      <w:rFonts w:hint="eastAsia"/>
                      <w:u w:val="none"/>
                      <w:lang w:val="en-US" w:eastAsia="zh-CN"/>
                    </w:rPr>
                    <w:t>固</w:t>
                  </w:r>
                </w:p>
              </w:tc>
              <w:tc>
                <w:tcPr>
                  <w:tcW w:w="488" w:type="pct"/>
                  <w:vAlign w:val="center"/>
                </w:tcPr>
                <w:p w14:paraId="49BE518D">
                  <w:pPr>
                    <w:pStyle w:val="15"/>
                    <w:rPr>
                      <w:rFonts w:hint="eastAsia"/>
                      <w:u w:val="none"/>
                    </w:rPr>
                  </w:pPr>
                  <w:r>
                    <w:rPr>
                      <w:rFonts w:hint="eastAsia"/>
                      <w:u w:val="none"/>
                      <w:lang w:val="en-US" w:eastAsia="zh-CN"/>
                    </w:rPr>
                    <w:t>T、I</w:t>
                  </w:r>
                </w:p>
              </w:tc>
              <w:tc>
                <w:tcPr>
                  <w:tcW w:w="601" w:type="pct"/>
                  <w:vAlign w:val="center"/>
                </w:tcPr>
                <w:p w14:paraId="7E26AAAF">
                  <w:pPr>
                    <w:pStyle w:val="15"/>
                    <w:rPr>
                      <w:rFonts w:hint="default"/>
                      <w:u w:val="none"/>
                      <w:lang w:val="en-US" w:eastAsia="zh-CN"/>
                    </w:rPr>
                  </w:pPr>
                  <w:r>
                    <w:rPr>
                      <w:rFonts w:hint="eastAsia"/>
                      <w:u w:val="none"/>
                      <w:lang w:val="en-US" w:eastAsia="zh-CN"/>
                    </w:rPr>
                    <w:t>1.592</w:t>
                  </w:r>
                </w:p>
              </w:tc>
              <w:tc>
                <w:tcPr>
                  <w:tcW w:w="880" w:type="pct"/>
                  <w:vAlign w:val="center"/>
                </w:tcPr>
                <w:p w14:paraId="0BEB13C6">
                  <w:pPr>
                    <w:pStyle w:val="15"/>
                    <w:rPr>
                      <w:u w:val="none"/>
                    </w:rPr>
                  </w:pPr>
                  <w:r>
                    <w:rPr>
                      <w:rFonts w:hint="eastAsia"/>
                      <w:lang w:val="en-US" w:eastAsia="zh-CN"/>
                    </w:rPr>
                    <w:t>交由有资质单位定期处理</w:t>
                  </w:r>
                </w:p>
              </w:tc>
            </w:tr>
            <w:tr w14:paraId="54B0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6316627B">
                  <w:pPr>
                    <w:pStyle w:val="15"/>
                    <w:rPr>
                      <w:u w:val="none"/>
                    </w:rPr>
                  </w:pPr>
                  <w:r>
                    <w:rPr>
                      <w:rFonts w:hint="eastAsia"/>
                      <w:u w:val="none"/>
                    </w:rPr>
                    <w:t>生活垃圾</w:t>
                  </w:r>
                </w:p>
              </w:tc>
              <w:tc>
                <w:tcPr>
                  <w:tcW w:w="604" w:type="pct"/>
                  <w:vAlign w:val="center"/>
                </w:tcPr>
                <w:p w14:paraId="0B130FA5">
                  <w:pPr>
                    <w:pStyle w:val="15"/>
                    <w:rPr>
                      <w:u w:val="none"/>
                    </w:rPr>
                  </w:pPr>
                  <w:r>
                    <w:rPr>
                      <w:rFonts w:hint="eastAsia"/>
                      <w:u w:val="none"/>
                    </w:rPr>
                    <w:t>生活垃圾</w:t>
                  </w:r>
                </w:p>
              </w:tc>
              <w:tc>
                <w:tcPr>
                  <w:tcW w:w="496" w:type="pct"/>
                  <w:vAlign w:val="center"/>
                </w:tcPr>
                <w:p w14:paraId="00F2E4D1">
                  <w:pPr>
                    <w:pStyle w:val="15"/>
                    <w:rPr>
                      <w:u w:val="none"/>
                    </w:rPr>
                  </w:pPr>
                  <w:r>
                    <w:rPr>
                      <w:rFonts w:hint="eastAsia"/>
                      <w:u w:val="none"/>
                    </w:rPr>
                    <w:t>员工生活</w:t>
                  </w:r>
                </w:p>
              </w:tc>
              <w:tc>
                <w:tcPr>
                  <w:tcW w:w="1007" w:type="pct"/>
                  <w:vAlign w:val="center"/>
                </w:tcPr>
                <w:p w14:paraId="7DB69B6E">
                  <w:pPr>
                    <w:pStyle w:val="15"/>
                    <w:rPr>
                      <w:u w:val="none"/>
                    </w:rPr>
                  </w:pPr>
                  <w:r>
                    <w:rPr>
                      <w:rFonts w:hint="eastAsia"/>
                      <w:u w:val="none"/>
                    </w:rPr>
                    <w:t>SW64  900-099-S64</w:t>
                  </w:r>
                </w:p>
              </w:tc>
              <w:tc>
                <w:tcPr>
                  <w:tcW w:w="452" w:type="pct"/>
                  <w:vAlign w:val="center"/>
                </w:tcPr>
                <w:p w14:paraId="47ACBCDE">
                  <w:pPr>
                    <w:pStyle w:val="15"/>
                    <w:rPr>
                      <w:u w:val="none"/>
                    </w:rPr>
                  </w:pPr>
                  <w:r>
                    <w:rPr>
                      <w:rFonts w:hint="eastAsia"/>
                      <w:u w:val="none"/>
                    </w:rPr>
                    <w:t>固</w:t>
                  </w:r>
                </w:p>
              </w:tc>
              <w:tc>
                <w:tcPr>
                  <w:tcW w:w="488" w:type="pct"/>
                  <w:vAlign w:val="center"/>
                </w:tcPr>
                <w:p w14:paraId="5A708873">
                  <w:pPr>
                    <w:pStyle w:val="15"/>
                    <w:rPr>
                      <w:u w:val="none"/>
                    </w:rPr>
                  </w:pPr>
                  <w:r>
                    <w:rPr>
                      <w:rFonts w:hint="eastAsia"/>
                      <w:u w:val="none"/>
                    </w:rPr>
                    <w:t>/</w:t>
                  </w:r>
                </w:p>
              </w:tc>
              <w:tc>
                <w:tcPr>
                  <w:tcW w:w="601" w:type="pct"/>
                  <w:vAlign w:val="center"/>
                </w:tcPr>
                <w:p w14:paraId="25D42ECF">
                  <w:pPr>
                    <w:pStyle w:val="15"/>
                    <w:rPr>
                      <w:u w:val="none"/>
                    </w:rPr>
                  </w:pPr>
                  <w:r>
                    <w:rPr>
                      <w:rFonts w:hint="eastAsia"/>
                      <w:u w:val="none"/>
                    </w:rPr>
                    <w:t>3</w:t>
                  </w:r>
                </w:p>
              </w:tc>
              <w:tc>
                <w:tcPr>
                  <w:tcW w:w="880" w:type="pct"/>
                  <w:vAlign w:val="center"/>
                </w:tcPr>
                <w:p w14:paraId="63E97077">
                  <w:pPr>
                    <w:pStyle w:val="15"/>
                    <w:rPr>
                      <w:u w:val="none"/>
                    </w:rPr>
                  </w:pPr>
                  <w:r>
                    <w:rPr>
                      <w:u w:val="none"/>
                    </w:rPr>
                    <w:t>交由环卫部门</w:t>
                  </w:r>
                  <w:r>
                    <w:rPr>
                      <w:rFonts w:hint="eastAsia"/>
                      <w:u w:val="none"/>
                    </w:rPr>
                    <w:t>处理</w:t>
                  </w:r>
                </w:p>
              </w:tc>
            </w:tr>
          </w:tbl>
          <w:p w14:paraId="0335EAE4">
            <w:pPr>
              <w:ind w:firstLine="482"/>
              <w:rPr>
                <w:b/>
                <w:bCs/>
              </w:rPr>
            </w:pPr>
            <w:r>
              <w:rPr>
                <w:b/>
                <w:bCs/>
              </w:rPr>
              <w:t>4.2</w:t>
            </w:r>
            <w:r>
              <w:rPr>
                <w:rFonts w:hint="eastAsia"/>
                <w:b/>
                <w:bCs/>
              </w:rPr>
              <w:t xml:space="preserve"> </w:t>
            </w:r>
            <w:r>
              <w:rPr>
                <w:b/>
                <w:bCs/>
              </w:rPr>
              <w:t>固体废物管理要求</w:t>
            </w:r>
          </w:p>
          <w:p w14:paraId="230D1BA5">
            <w:pPr>
              <w:pStyle w:val="16"/>
              <w:bidi w:val="0"/>
              <w:rPr>
                <w:rFonts w:hint="default"/>
                <w:lang w:val="en-US" w:eastAsia="zh-CN"/>
              </w:rPr>
            </w:pPr>
            <w:r>
              <w:rPr>
                <w:rFonts w:hint="default"/>
                <w:lang w:val="en-US" w:eastAsia="zh-CN"/>
              </w:rPr>
              <w:t>（1）危废暂存间</w:t>
            </w:r>
          </w:p>
          <w:p w14:paraId="765A6028">
            <w:pPr>
              <w:pStyle w:val="16"/>
              <w:bidi w:val="0"/>
              <w:rPr>
                <w:rFonts w:hint="default"/>
                <w:lang w:val="en-US" w:eastAsia="zh-CN"/>
              </w:rPr>
            </w:pPr>
            <w:r>
              <w:rPr>
                <w:rFonts w:hint="default"/>
                <w:lang w:val="en-US" w:eastAsia="zh-CN"/>
              </w:rPr>
              <w:t>项目营运过程中</w:t>
            </w:r>
            <w:r>
              <w:rPr>
                <w:rFonts w:hint="eastAsia"/>
                <w:lang w:val="en-US" w:eastAsia="zh-CN"/>
              </w:rPr>
              <w:t>产生的废活性炭</w:t>
            </w:r>
            <w:r>
              <w:rPr>
                <w:rFonts w:hint="default"/>
                <w:lang w:val="en-US" w:eastAsia="zh-CN"/>
              </w:rPr>
              <w:t>属于危险废物，收集暂存于危废暂存间，定期交由有资质的单位处置。项目危废暂存间的建设必须满足《危险废物贮存污染控制标准》（GB18597-2023）的相关要求。</w:t>
            </w:r>
          </w:p>
          <w:p w14:paraId="75E380E1">
            <w:pPr>
              <w:pStyle w:val="16"/>
              <w:bidi w:val="0"/>
              <w:rPr>
                <w:rFonts w:hint="default"/>
                <w:lang w:val="en-US" w:eastAsia="zh-CN"/>
              </w:rPr>
            </w:pPr>
            <w:r>
              <w:rPr>
                <w:rFonts w:hint="default"/>
                <w:lang w:val="en-US" w:eastAsia="zh-CN"/>
              </w:rPr>
              <w:t>危险废物处理处置过程中的环境管理要求：</w:t>
            </w:r>
          </w:p>
          <w:p w14:paraId="211EE0AB">
            <w:pPr>
              <w:pStyle w:val="16"/>
              <w:bidi w:val="0"/>
              <w:rPr>
                <w:rFonts w:hint="default"/>
                <w:lang w:val="en-US" w:eastAsia="zh-CN"/>
              </w:rPr>
            </w:pPr>
            <w:r>
              <w:rPr>
                <w:rFonts w:hint="eastAsia"/>
                <w:lang w:val="en-US" w:eastAsia="zh-CN"/>
              </w:rPr>
              <w:t>1）</w:t>
            </w:r>
            <w:r>
              <w:rPr>
                <w:rFonts w:hint="default"/>
                <w:lang w:val="en-US" w:eastAsia="zh-CN"/>
              </w:rPr>
              <w:t>危险废物的收集容器和临时贮存场所应严格按照《危险废物贮存污染控制标准》（GB 18597-2023）中的有关规定执行。贮存区必须按GB15562.2 的规定设置警示标志，并具有防雨淋、防日晒、防渗漏措施，且危险废物要有专用的收集容器，定期对所贮存的危险废物贮存设施进行检查，发现破损，应及时采取措施。根据业主介绍，按照《危险废物污染防治技术政策》（环发[2001]199 号）、《危险废物贮存污染控制标准》（GB 18597-2023）、《建设项目危险废物环境影响评价指南》等文件</w:t>
            </w:r>
            <w:r>
              <w:rPr>
                <w:rFonts w:hint="eastAsia"/>
                <w:lang w:val="en-US" w:eastAsia="zh-CN"/>
              </w:rPr>
              <w:t>、</w:t>
            </w:r>
            <w:r>
              <w:rPr>
                <w:rFonts w:hint="default"/>
                <w:lang w:val="en-US" w:eastAsia="zh-CN"/>
              </w:rPr>
              <w:t>技术规范要求设置危险废物暂存间。</w:t>
            </w:r>
          </w:p>
          <w:p w14:paraId="4073048A">
            <w:pPr>
              <w:pStyle w:val="16"/>
              <w:bidi w:val="0"/>
              <w:rPr>
                <w:rFonts w:hint="default"/>
                <w:lang w:val="en-US" w:eastAsia="zh-CN"/>
              </w:rPr>
            </w:pPr>
            <w:r>
              <w:rPr>
                <w:rFonts w:hint="default"/>
                <w:lang w:val="en-US" w:eastAsia="zh-CN"/>
              </w:rPr>
              <w:t>危险废物临时贮存的几点要求：①危险废物在收集时，应清楚废物的类别及主要成份，以方便委托处理单位处理，根据危险废物的性质和形态，可采用不同大小和不同材质的容器进行包装，所有包装和容器必须设置危险废物识别标志，并经过周密检查，严防在装载、搬移或运输途中出现渗漏、溢出、抛洒或挥发等情况。②按《环境保护图形标识－固体废物贮存（处置）场》（GB15562.2</w:t>
            </w:r>
            <w:r>
              <w:rPr>
                <w:rFonts w:hint="eastAsia"/>
                <w:lang w:val="en-US" w:eastAsia="zh-CN"/>
              </w:rPr>
              <w:t>-1995</w:t>
            </w:r>
            <w:r>
              <w:rPr>
                <w:rFonts w:hint="default"/>
                <w:lang w:val="en-US" w:eastAsia="zh-CN"/>
              </w:rPr>
              <w:t>）修改单在收集场所醒目的地方设置危险废物警告标识。③由专人负责管理。危险废物按不同名录分类分区堆放，并做好隔离、防水、防晒、防雨、防渗、防火处理。④应配备通讯设备、照明设施、安全防护服装及工具，并设有报警装置和应急防护设施。⑤贮存区内禁止混放不相容危险废物；禁止危险废物混入非危险废物中贮存；危险废物按种类分别存放，且不同类废物间有明显的间隔（如过道等）。⑥危险废物临时贮存场所的地面和裙脚要用坚固、防渗的材料建造；该贮存场所的地面与裙脚围建一定的空间，该容积不低于堵截最大容器的最大储量或总储量的1/5贮存场所需设液体收集装置、气体导出口及气体净化装置；贮存装载液体、半固体危险废物容器的地方，必须有耐腐蚀的硬化地面且表面无裂隙。贮存设施应注意安全照明等问题；不相容的危险废物分开存放，并设有隔离间；基础防渗层为至少1m厚粘土层（渗透系数≤10</w:t>
            </w:r>
            <w:r>
              <w:rPr>
                <w:rFonts w:hint="default"/>
                <w:vertAlign w:val="superscript"/>
                <w:lang w:val="en-US" w:eastAsia="zh-CN"/>
              </w:rPr>
              <w:t>-7</w:t>
            </w:r>
            <w:r>
              <w:rPr>
                <w:rFonts w:hint="default"/>
                <w:lang w:val="en-US" w:eastAsia="zh-CN"/>
              </w:rPr>
              <w:t>cm/s），或2mm厚高密度聚乙烯，或至少2mm厚的其他人工材料，渗透系数≤10</w:t>
            </w:r>
            <w:r>
              <w:rPr>
                <w:rFonts w:hint="default"/>
                <w:vertAlign w:val="superscript"/>
                <w:lang w:val="en-US" w:eastAsia="zh-CN"/>
              </w:rPr>
              <w:t>-10</w:t>
            </w:r>
            <w:r>
              <w:rPr>
                <w:rFonts w:hint="default"/>
                <w:lang w:val="en-US" w:eastAsia="zh-CN"/>
              </w:rPr>
              <w:t>cm/s。具体设计原则参见《危险废物贮存污染控制标准》（GB 18597-2023）。</w:t>
            </w:r>
          </w:p>
          <w:p w14:paraId="3AA851FA">
            <w:pPr>
              <w:pStyle w:val="16"/>
              <w:numPr>
                <w:ilvl w:val="0"/>
                <w:numId w:val="5"/>
              </w:numPr>
              <w:bidi w:val="0"/>
              <w:rPr>
                <w:rFonts w:hint="default"/>
                <w:lang w:val="en-US" w:eastAsia="zh-CN"/>
              </w:rPr>
            </w:pPr>
            <w:r>
              <w:rPr>
                <w:rFonts w:hint="default"/>
                <w:lang w:val="en-US" w:eastAsia="zh-CN"/>
              </w:rPr>
              <w:t>建立危废申报登记制度。由专门人员负责危险废物的日常收集和管理，对任何进出临时贮存场所的危险废物都要记录在案，做好台账；危险废物临时贮存场所周围要设置防护栅栏，并设置警示标志。贮存所内配备通讯设备、照明设备、安全防护服装及工具，并有应急防护措施；危险废物的贮存和转运应严格按照《危险废物贮存污染控制标准》（GB 18597-2023）和《危险废物转移联单管理办法》要求执行。建设单位应强化废物产生、收集、贮放各环节的管理，各种固体废物按照类别分类存放，杜绝固体废物在厂区内散失、渗漏，达到无害化的目的，避免产生二次污染。</w:t>
            </w:r>
          </w:p>
          <w:p w14:paraId="2247206C">
            <w:pPr>
              <w:pStyle w:val="16"/>
              <w:numPr>
                <w:ilvl w:val="0"/>
                <w:numId w:val="0"/>
              </w:numPr>
              <w:bidi w:val="0"/>
              <w:ind w:firstLine="480" w:firstLineChars="200"/>
              <w:rPr>
                <w:rFonts w:hint="default"/>
                <w:lang w:val="en-US" w:eastAsia="zh-CN"/>
              </w:rPr>
            </w:pPr>
            <w:r>
              <w:rPr>
                <w:rFonts w:hint="default"/>
                <w:lang w:val="en-US" w:eastAsia="zh-CN"/>
              </w:rPr>
              <w:t>危险废物的运输采取危险废物转移“转移联单”制度，保证运输安全，防止非法转移和非法处置，保证危险废物的安全监控，防止危险废物污染事故发生。</w:t>
            </w:r>
          </w:p>
          <w:p w14:paraId="666EB48F">
            <w:pPr>
              <w:pStyle w:val="16"/>
              <w:numPr>
                <w:ilvl w:val="0"/>
                <w:numId w:val="5"/>
              </w:numPr>
              <w:bidi w:val="0"/>
              <w:rPr>
                <w:rFonts w:hint="default"/>
                <w:lang w:val="en-US" w:eastAsia="zh-CN"/>
              </w:rPr>
            </w:pPr>
            <w:r>
              <w:rPr>
                <w:rFonts w:hint="default"/>
                <w:lang w:val="en-US" w:eastAsia="zh-CN"/>
              </w:rPr>
              <w:t>应将危险废物提供或者委托给有危险废物经营许可证的单位从事利用和处置，并签订处置合同。同时应加强对运输单位及处置单位的跟踪检查，控制运输过程中的环境风险。</w:t>
            </w:r>
          </w:p>
          <w:p w14:paraId="3A35CBCE">
            <w:pPr>
              <w:pStyle w:val="16"/>
              <w:bidi w:val="0"/>
              <w:rPr>
                <w:rFonts w:hint="default"/>
                <w:lang w:val="en-US" w:eastAsia="zh-CN"/>
              </w:rPr>
            </w:pPr>
            <w:r>
              <w:rPr>
                <w:rFonts w:hint="default"/>
                <w:lang w:val="en-US" w:eastAsia="zh-CN"/>
              </w:rPr>
              <w:t>（2）一般工业固废仓库</w:t>
            </w:r>
          </w:p>
          <w:p w14:paraId="44830F06">
            <w:pPr>
              <w:pStyle w:val="16"/>
              <w:bidi w:val="0"/>
              <w:rPr>
                <w:rFonts w:hint="default"/>
                <w:u w:val="none"/>
                <w:lang w:val="en-US" w:eastAsia="zh-CN"/>
              </w:rPr>
            </w:pPr>
            <w:r>
              <w:rPr>
                <w:rFonts w:hint="default"/>
                <w:u w:val="none"/>
                <w:lang w:val="en-US" w:eastAsia="zh-CN"/>
              </w:rPr>
              <w:t>一般固废仓库的建设应满足《一般工业固体废物贮存和填埋污染控制标准》（GB18599-2020）相关要求，具体为：</w:t>
            </w:r>
          </w:p>
          <w:p w14:paraId="42346E9E">
            <w:pPr>
              <w:pStyle w:val="16"/>
              <w:bidi w:val="0"/>
              <w:rPr>
                <w:rFonts w:hint="default"/>
                <w:u w:val="none"/>
                <w:lang w:val="en-US" w:eastAsia="zh-CN"/>
              </w:rPr>
            </w:pPr>
            <w:r>
              <w:rPr>
                <w:rFonts w:hint="default"/>
                <w:u w:val="none"/>
                <w:lang w:val="en-US" w:eastAsia="zh-CN"/>
              </w:rPr>
              <w:t>①贮存区采取防风、防雨、防渗透、防泄漏措施；</w:t>
            </w:r>
          </w:p>
          <w:p w14:paraId="4CAB0055">
            <w:pPr>
              <w:pStyle w:val="16"/>
              <w:bidi w:val="0"/>
              <w:rPr>
                <w:rFonts w:hint="default"/>
                <w:u w:val="none"/>
                <w:lang w:val="en-US" w:eastAsia="zh-CN"/>
              </w:rPr>
            </w:pPr>
            <w:r>
              <w:rPr>
                <w:rFonts w:hint="default"/>
                <w:u w:val="none"/>
                <w:lang w:val="en-US" w:eastAsia="zh-CN"/>
              </w:rPr>
              <w:t>②各类固废应分类收集；指定专人进行日常管理，落实安全管理责任，避免二次污染，确保固废“零排放”；</w:t>
            </w:r>
          </w:p>
          <w:p w14:paraId="7E243677">
            <w:pPr>
              <w:pStyle w:val="16"/>
              <w:bidi w:val="0"/>
              <w:rPr>
                <w:rFonts w:hint="default"/>
                <w:u w:val="none"/>
                <w:lang w:val="en-US" w:eastAsia="zh-CN"/>
              </w:rPr>
            </w:pPr>
            <w:r>
              <w:rPr>
                <w:rFonts w:hint="default"/>
                <w:u w:val="none"/>
                <w:lang w:val="en-US" w:eastAsia="zh-CN"/>
              </w:rPr>
              <w:t>③贮存区按照《环境保护图形标志 固体废物贮存（处置）场》（GB15562.2-1995）及其修改单的要求设置环保图形标志。</w:t>
            </w:r>
          </w:p>
          <w:p w14:paraId="2A691984">
            <w:pPr>
              <w:pStyle w:val="16"/>
              <w:bidi w:val="0"/>
              <w:rPr>
                <w:rFonts w:hint="default"/>
                <w:lang w:val="en-US" w:eastAsia="zh-CN"/>
              </w:rPr>
            </w:pPr>
            <w:r>
              <w:rPr>
                <w:rFonts w:hint="default"/>
                <w:lang w:val="en-US" w:eastAsia="zh-CN"/>
              </w:rPr>
              <w:t>（3）生活垃圾处置措施</w:t>
            </w:r>
          </w:p>
          <w:p w14:paraId="46458CC9">
            <w:pPr>
              <w:pStyle w:val="16"/>
              <w:bidi w:val="0"/>
              <w:rPr>
                <w:rFonts w:hint="default"/>
                <w:lang w:val="en-US" w:eastAsia="zh-CN"/>
              </w:rPr>
            </w:pPr>
            <w:r>
              <w:rPr>
                <w:rFonts w:hint="default"/>
                <w:lang w:val="en-US" w:eastAsia="zh-CN"/>
              </w:rPr>
              <w:t>项目生活垃圾集中收集后由环卫部门统一清运。</w:t>
            </w:r>
          </w:p>
          <w:p w14:paraId="112F6662">
            <w:pPr>
              <w:pStyle w:val="16"/>
              <w:bidi w:val="0"/>
              <w:rPr>
                <w:rFonts w:hint="default"/>
                <w:lang w:val="en-US" w:eastAsia="zh-CN"/>
              </w:rPr>
            </w:pPr>
            <w:r>
              <w:rPr>
                <w:rFonts w:hint="default"/>
                <w:lang w:val="en-US" w:eastAsia="zh-CN"/>
              </w:rPr>
              <w:t>采取上述措施后，本</w:t>
            </w:r>
            <w:r>
              <w:rPr>
                <w:rFonts w:hint="eastAsia"/>
                <w:lang w:val="en-US" w:eastAsia="zh-CN"/>
              </w:rPr>
              <w:t>项目</w:t>
            </w:r>
            <w:r>
              <w:rPr>
                <w:rFonts w:hint="default"/>
                <w:lang w:val="en-US" w:eastAsia="zh-CN"/>
              </w:rPr>
              <w:t>固体废物可得到妥善的处理，对周围环境造成的影响很小。</w:t>
            </w:r>
          </w:p>
          <w:p w14:paraId="24A6D7BC">
            <w:pPr>
              <w:ind w:firstLine="482"/>
              <w:rPr>
                <w:b/>
                <w:bCs/>
              </w:rPr>
            </w:pPr>
            <w:r>
              <w:rPr>
                <w:rFonts w:hint="eastAsia"/>
                <w:b/>
                <w:bCs/>
              </w:rPr>
              <w:t>5</w:t>
            </w:r>
            <w:r>
              <w:rPr>
                <w:b/>
                <w:bCs/>
              </w:rPr>
              <w:t>、环境风险</w:t>
            </w:r>
          </w:p>
          <w:p w14:paraId="2F444DDE">
            <w:pPr>
              <w:ind w:firstLine="480"/>
              <w:rPr>
                <w:b/>
                <w:bCs/>
              </w:rPr>
            </w:pPr>
            <w:r>
              <w:rPr>
                <w:rFonts w:hint="eastAsia"/>
                <w:b/>
                <w:bCs/>
              </w:rPr>
              <w:t>（1）</w:t>
            </w:r>
            <w:r>
              <w:rPr>
                <w:b/>
                <w:bCs/>
              </w:rPr>
              <w:t>物质危险性识别</w:t>
            </w:r>
          </w:p>
          <w:p w14:paraId="50B0BBE9">
            <w:pPr>
              <w:pStyle w:val="16"/>
              <w:ind w:firstLine="480"/>
              <w:rPr>
                <w:rFonts w:hint="eastAsia"/>
                <w:lang w:val="en-US" w:eastAsia="zh-CN"/>
              </w:rPr>
            </w:pPr>
            <w:r>
              <w:t>根据《建设项目环境风险评价技术导则》（HJ/T1639-2018）可知，物质危险性识别包括原辅材料、燃料、中间产品、副产品、最终产品、污染物、火灾和爆炸伴生/次生物等。</w:t>
            </w:r>
            <w:r>
              <w:rPr>
                <w:rFonts w:hint="default"/>
                <w:lang w:val="en-US" w:eastAsia="zh-CN"/>
              </w:rPr>
              <w:t>结合本项目生产过程中各种物质的理化性质及毒理毒性，本</w:t>
            </w:r>
            <w:r>
              <w:rPr>
                <w:rFonts w:hint="eastAsia"/>
                <w:lang w:val="en-US" w:eastAsia="zh-CN"/>
              </w:rPr>
              <w:t>项目</w:t>
            </w:r>
            <w:r>
              <w:rPr>
                <w:rFonts w:hint="default"/>
                <w:lang w:val="en-US" w:eastAsia="zh-CN"/>
              </w:rPr>
              <w:t>涉及的危险物质主要为危废暂存间内储存的危险废物（如废</w:t>
            </w:r>
            <w:r>
              <w:rPr>
                <w:rFonts w:hint="eastAsia"/>
                <w:lang w:val="en-US" w:eastAsia="zh-CN"/>
              </w:rPr>
              <w:t>活性炭</w:t>
            </w:r>
            <w:r>
              <w:rPr>
                <w:rFonts w:hint="default"/>
                <w:lang w:val="en-US" w:eastAsia="zh-CN"/>
              </w:rPr>
              <w:t>）</w:t>
            </w:r>
            <w:r>
              <w:rPr>
                <w:rFonts w:hint="eastAsia"/>
                <w:lang w:val="en-US" w:eastAsia="zh-CN"/>
              </w:rPr>
              <w:t>。</w:t>
            </w:r>
          </w:p>
          <w:p w14:paraId="5C1FA318">
            <w:pPr>
              <w:pStyle w:val="22"/>
              <w:bidi w:val="0"/>
              <w:rPr>
                <w:rFonts w:hint="default"/>
                <w:b/>
                <w:bCs w:val="0"/>
                <w:lang w:val="en-US" w:eastAsia="zh-CN"/>
              </w:rPr>
            </w:pPr>
            <w:r>
              <w:rPr>
                <w:rFonts w:hint="eastAsia"/>
                <w:b/>
                <w:bCs w:val="0"/>
                <w:lang w:val="en-US" w:eastAsia="zh-CN"/>
              </w:rPr>
              <w:t>（2）风险识别</w:t>
            </w:r>
          </w:p>
          <w:p w14:paraId="01BDC714">
            <w:pPr>
              <w:pStyle w:val="16"/>
              <w:bidi w:val="0"/>
              <w:rPr>
                <w:rFonts w:hint="eastAsia"/>
                <w:lang w:val="en-US" w:eastAsia="zh-CN"/>
              </w:rPr>
            </w:pPr>
            <w:r>
              <w:rPr>
                <w:rFonts w:hint="default"/>
                <w:lang w:val="en-US" w:eastAsia="zh-CN"/>
              </w:rPr>
              <w:t>根据《建设项目环境风险评价技术导则》（HJ169-2018）附录B中表B.1和表B.2中的环境风险物质，本项目所涉及的环境风险物质的为废</w:t>
            </w:r>
            <w:r>
              <w:rPr>
                <w:rFonts w:hint="eastAsia"/>
                <w:lang w:val="en-US" w:eastAsia="zh-CN"/>
              </w:rPr>
              <w:t>活性炭</w:t>
            </w:r>
            <w:r>
              <w:rPr>
                <w:rFonts w:hint="default"/>
                <w:lang w:val="en-US" w:eastAsia="zh-CN"/>
              </w:rPr>
              <w:t>，其最大储存量及临界量见下表。</w:t>
            </w:r>
          </w:p>
          <w:p w14:paraId="2F17480B">
            <w:pPr>
              <w:pStyle w:val="17"/>
              <w:bidi w:val="0"/>
              <w:rPr>
                <w:rFonts w:hint="default"/>
                <w:lang w:val="en-US" w:eastAsia="zh-CN"/>
              </w:rPr>
            </w:pPr>
            <w:r>
              <w:rPr>
                <w:rFonts w:hint="eastAsia"/>
                <w:lang w:val="en-US" w:eastAsia="zh-CN"/>
              </w:rPr>
              <w:t>表4-10  风险物质最大贮存量及临界量一览表</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75"/>
              <w:gridCol w:w="1153"/>
              <w:gridCol w:w="987"/>
              <w:gridCol w:w="987"/>
              <w:gridCol w:w="988"/>
              <w:gridCol w:w="988"/>
              <w:gridCol w:w="988"/>
            </w:tblGrid>
            <w:tr w14:paraId="4D44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4D6072DB">
                  <w:pPr>
                    <w:pStyle w:val="15"/>
                    <w:bidi w:val="0"/>
                    <w:jc w:val="center"/>
                    <w:rPr>
                      <w:rFonts w:hint="default"/>
                      <w:lang w:val="en-US" w:eastAsia="zh-CN"/>
                    </w:rPr>
                  </w:pPr>
                  <w:r>
                    <w:rPr>
                      <w:rFonts w:hint="eastAsia"/>
                      <w:lang w:val="en-US" w:eastAsia="zh-CN"/>
                    </w:rPr>
                    <w:t>序号</w:t>
                  </w:r>
                </w:p>
              </w:tc>
              <w:tc>
                <w:tcPr>
                  <w:tcW w:w="1075" w:type="dxa"/>
                  <w:vAlign w:val="center"/>
                </w:tcPr>
                <w:p w14:paraId="2C22C76C">
                  <w:pPr>
                    <w:pStyle w:val="15"/>
                    <w:bidi w:val="0"/>
                    <w:jc w:val="center"/>
                    <w:rPr>
                      <w:rFonts w:hint="default"/>
                      <w:lang w:val="en-US" w:eastAsia="zh-CN"/>
                    </w:rPr>
                  </w:pPr>
                  <w:r>
                    <w:rPr>
                      <w:rFonts w:hint="eastAsia"/>
                      <w:lang w:val="en-US" w:eastAsia="zh-CN"/>
                    </w:rPr>
                    <w:t>名称</w:t>
                  </w:r>
                </w:p>
              </w:tc>
              <w:tc>
                <w:tcPr>
                  <w:tcW w:w="1153" w:type="dxa"/>
                  <w:vAlign w:val="center"/>
                </w:tcPr>
                <w:p w14:paraId="745D1B6B">
                  <w:pPr>
                    <w:pStyle w:val="15"/>
                    <w:bidi w:val="0"/>
                    <w:jc w:val="center"/>
                    <w:rPr>
                      <w:rFonts w:hint="default"/>
                      <w:lang w:val="en-US" w:eastAsia="zh-CN"/>
                    </w:rPr>
                  </w:pPr>
                  <w:r>
                    <w:rPr>
                      <w:rFonts w:hint="eastAsia"/>
                      <w:lang w:val="en-US" w:eastAsia="zh-CN"/>
                    </w:rPr>
                    <w:t>理化性质</w:t>
                  </w:r>
                </w:p>
              </w:tc>
              <w:tc>
                <w:tcPr>
                  <w:tcW w:w="987" w:type="dxa"/>
                  <w:vAlign w:val="center"/>
                </w:tcPr>
                <w:p w14:paraId="47023A6D">
                  <w:pPr>
                    <w:pStyle w:val="15"/>
                    <w:bidi w:val="0"/>
                    <w:jc w:val="center"/>
                    <w:rPr>
                      <w:rFonts w:hint="default"/>
                      <w:lang w:val="en-US" w:eastAsia="zh-CN"/>
                    </w:rPr>
                  </w:pPr>
                  <w:r>
                    <w:rPr>
                      <w:rFonts w:hint="eastAsia"/>
                      <w:lang w:val="en-US" w:eastAsia="zh-CN"/>
                    </w:rPr>
                    <w:t>危害特性</w:t>
                  </w:r>
                </w:p>
              </w:tc>
              <w:tc>
                <w:tcPr>
                  <w:tcW w:w="987" w:type="dxa"/>
                  <w:vAlign w:val="center"/>
                </w:tcPr>
                <w:p w14:paraId="7EBF7134">
                  <w:pPr>
                    <w:pStyle w:val="15"/>
                    <w:bidi w:val="0"/>
                    <w:jc w:val="center"/>
                    <w:rPr>
                      <w:rFonts w:hint="default"/>
                      <w:lang w:val="en-US" w:eastAsia="zh-CN"/>
                    </w:rPr>
                  </w:pPr>
                  <w:r>
                    <w:rPr>
                      <w:rFonts w:hint="eastAsia"/>
                      <w:lang w:val="en-US" w:eastAsia="zh-CN"/>
                    </w:rPr>
                    <w:t>贮存方式</w:t>
                  </w:r>
                </w:p>
              </w:tc>
              <w:tc>
                <w:tcPr>
                  <w:tcW w:w="988" w:type="dxa"/>
                  <w:vAlign w:val="center"/>
                </w:tcPr>
                <w:p w14:paraId="618FFF12">
                  <w:pPr>
                    <w:pStyle w:val="15"/>
                    <w:bidi w:val="0"/>
                    <w:jc w:val="center"/>
                    <w:rPr>
                      <w:rFonts w:hint="default"/>
                      <w:lang w:val="en-US" w:eastAsia="zh-CN"/>
                    </w:rPr>
                  </w:pPr>
                  <w:r>
                    <w:rPr>
                      <w:rFonts w:hint="eastAsia"/>
                      <w:lang w:val="en-US" w:eastAsia="zh-CN"/>
                    </w:rPr>
                    <w:t>最大储存量</w:t>
                  </w:r>
                  <w:r>
                    <w:rPr>
                      <w:color w:val="auto"/>
                      <w:u w:val="none" w:color="auto"/>
                    </w:rPr>
                    <w:t>qi</w:t>
                  </w:r>
                </w:p>
              </w:tc>
              <w:tc>
                <w:tcPr>
                  <w:tcW w:w="988" w:type="dxa"/>
                  <w:vAlign w:val="center"/>
                </w:tcPr>
                <w:p w14:paraId="688C4CAF">
                  <w:pPr>
                    <w:pStyle w:val="15"/>
                    <w:bidi w:val="0"/>
                    <w:jc w:val="center"/>
                    <w:rPr>
                      <w:rFonts w:hint="default"/>
                      <w:lang w:val="en-US" w:eastAsia="zh-CN"/>
                    </w:rPr>
                  </w:pPr>
                  <w:r>
                    <w:rPr>
                      <w:color w:val="auto"/>
                      <w:u w:val="none" w:color="auto"/>
                    </w:rPr>
                    <w:t>临界量Qi</w:t>
                  </w:r>
                </w:p>
              </w:tc>
              <w:tc>
                <w:tcPr>
                  <w:tcW w:w="988" w:type="dxa"/>
                  <w:vAlign w:val="center"/>
                </w:tcPr>
                <w:p w14:paraId="05387450">
                  <w:pPr>
                    <w:pStyle w:val="15"/>
                    <w:bidi w:val="0"/>
                    <w:jc w:val="center"/>
                    <w:rPr>
                      <w:rFonts w:hint="default"/>
                      <w:lang w:val="en-US" w:eastAsia="zh-CN"/>
                    </w:rPr>
                  </w:pPr>
                  <w:r>
                    <w:rPr>
                      <w:rFonts w:hint="default"/>
                      <w:lang w:val="en-US" w:eastAsia="zh-CN"/>
                    </w:rPr>
                    <w:t>qi/Qi</w:t>
                  </w:r>
                </w:p>
              </w:tc>
            </w:tr>
            <w:tr w14:paraId="1394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14:paraId="7A7F5DAC">
                  <w:pPr>
                    <w:pStyle w:val="15"/>
                    <w:bidi w:val="0"/>
                    <w:jc w:val="center"/>
                    <w:rPr>
                      <w:rFonts w:hint="default"/>
                      <w:lang w:val="en-US" w:eastAsia="zh-CN"/>
                    </w:rPr>
                  </w:pPr>
                  <w:r>
                    <w:rPr>
                      <w:rFonts w:hint="eastAsia"/>
                      <w:lang w:val="en-US" w:eastAsia="zh-CN"/>
                    </w:rPr>
                    <w:t>1</w:t>
                  </w:r>
                </w:p>
              </w:tc>
              <w:tc>
                <w:tcPr>
                  <w:tcW w:w="1075" w:type="dxa"/>
                  <w:vAlign w:val="center"/>
                </w:tcPr>
                <w:p w14:paraId="33C8D4AA">
                  <w:pPr>
                    <w:pStyle w:val="15"/>
                    <w:bidi w:val="0"/>
                    <w:jc w:val="center"/>
                    <w:rPr>
                      <w:rFonts w:hint="default"/>
                      <w:lang w:val="en-US" w:eastAsia="zh-CN"/>
                    </w:rPr>
                  </w:pPr>
                  <w:r>
                    <w:rPr>
                      <w:rFonts w:hint="eastAsia"/>
                      <w:lang w:val="en-US" w:eastAsia="zh-CN"/>
                    </w:rPr>
                    <w:t>废活性炭</w:t>
                  </w:r>
                </w:p>
              </w:tc>
              <w:tc>
                <w:tcPr>
                  <w:tcW w:w="1153" w:type="dxa"/>
                  <w:vAlign w:val="center"/>
                </w:tcPr>
                <w:p w14:paraId="6EE6722E">
                  <w:pPr>
                    <w:pStyle w:val="15"/>
                    <w:bidi w:val="0"/>
                    <w:jc w:val="center"/>
                    <w:rPr>
                      <w:rFonts w:hint="default"/>
                      <w:lang w:val="en-US" w:eastAsia="zh-CN"/>
                    </w:rPr>
                  </w:pPr>
                  <w:r>
                    <w:rPr>
                      <w:rFonts w:hint="default"/>
                      <w:lang w:val="en-US" w:eastAsia="zh-CN"/>
                    </w:rPr>
                    <w:t>危险废物</w:t>
                  </w:r>
                </w:p>
              </w:tc>
              <w:tc>
                <w:tcPr>
                  <w:tcW w:w="987" w:type="dxa"/>
                  <w:vAlign w:val="center"/>
                </w:tcPr>
                <w:p w14:paraId="73073780">
                  <w:pPr>
                    <w:pStyle w:val="15"/>
                    <w:bidi w:val="0"/>
                    <w:jc w:val="center"/>
                    <w:rPr>
                      <w:rFonts w:hint="default"/>
                      <w:lang w:val="en-US" w:eastAsia="zh-CN"/>
                    </w:rPr>
                  </w:pPr>
                  <w:r>
                    <w:rPr>
                      <w:rFonts w:hint="eastAsia"/>
                      <w:u w:val="none"/>
                      <w:lang w:val="en-US" w:eastAsia="zh-CN"/>
                    </w:rPr>
                    <w:t>T、I</w:t>
                  </w:r>
                </w:p>
              </w:tc>
              <w:tc>
                <w:tcPr>
                  <w:tcW w:w="987" w:type="dxa"/>
                  <w:vAlign w:val="center"/>
                </w:tcPr>
                <w:p w14:paraId="7C340F41">
                  <w:pPr>
                    <w:pStyle w:val="15"/>
                    <w:bidi w:val="0"/>
                    <w:jc w:val="center"/>
                    <w:rPr>
                      <w:rFonts w:hint="default"/>
                      <w:lang w:val="en-US" w:eastAsia="zh-CN"/>
                    </w:rPr>
                  </w:pPr>
                  <w:r>
                    <w:rPr>
                      <w:rFonts w:hint="default"/>
                      <w:lang w:val="en-US" w:eastAsia="zh-CN"/>
                    </w:rPr>
                    <w:t>危废暂存间</w:t>
                  </w:r>
                </w:p>
              </w:tc>
              <w:tc>
                <w:tcPr>
                  <w:tcW w:w="988" w:type="dxa"/>
                  <w:vAlign w:val="center"/>
                </w:tcPr>
                <w:p w14:paraId="6F9B6E46">
                  <w:pPr>
                    <w:pStyle w:val="15"/>
                    <w:bidi w:val="0"/>
                    <w:jc w:val="center"/>
                    <w:rPr>
                      <w:rFonts w:hint="default"/>
                      <w:lang w:val="en-US" w:eastAsia="zh-CN"/>
                    </w:rPr>
                  </w:pPr>
                  <w:r>
                    <w:rPr>
                      <w:rFonts w:hint="eastAsia"/>
                      <w:lang w:val="en-US" w:eastAsia="zh-CN"/>
                    </w:rPr>
                    <w:t>1.592</w:t>
                  </w:r>
                </w:p>
              </w:tc>
              <w:tc>
                <w:tcPr>
                  <w:tcW w:w="988" w:type="dxa"/>
                  <w:vAlign w:val="center"/>
                </w:tcPr>
                <w:p w14:paraId="2051B91A">
                  <w:pPr>
                    <w:pStyle w:val="15"/>
                    <w:bidi w:val="0"/>
                    <w:jc w:val="center"/>
                    <w:rPr>
                      <w:rFonts w:hint="default"/>
                      <w:lang w:val="en-US" w:eastAsia="zh-CN"/>
                    </w:rPr>
                  </w:pPr>
                  <w:r>
                    <w:rPr>
                      <w:rFonts w:hint="eastAsia"/>
                      <w:lang w:val="en-US" w:eastAsia="zh-CN"/>
                    </w:rPr>
                    <w:t>50</w:t>
                  </w:r>
                </w:p>
              </w:tc>
              <w:tc>
                <w:tcPr>
                  <w:tcW w:w="988" w:type="dxa"/>
                  <w:vAlign w:val="center"/>
                </w:tcPr>
                <w:p w14:paraId="3C48BCE7">
                  <w:pPr>
                    <w:pStyle w:val="15"/>
                    <w:bidi w:val="0"/>
                    <w:jc w:val="center"/>
                    <w:rPr>
                      <w:rFonts w:hint="default"/>
                      <w:lang w:val="en-US" w:eastAsia="zh-CN"/>
                    </w:rPr>
                  </w:pPr>
                  <w:r>
                    <w:rPr>
                      <w:rFonts w:hint="eastAsia"/>
                      <w:lang w:val="en-US" w:eastAsia="zh-CN"/>
                    </w:rPr>
                    <w:t>0.0318</w:t>
                  </w:r>
                </w:p>
              </w:tc>
            </w:tr>
            <w:tr w14:paraId="26E8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1" w:type="dxa"/>
                  <w:gridSpan w:val="7"/>
                  <w:vAlign w:val="center"/>
                </w:tcPr>
                <w:p w14:paraId="5642B372">
                  <w:pPr>
                    <w:pStyle w:val="15"/>
                    <w:bidi w:val="0"/>
                    <w:jc w:val="center"/>
                    <w:rPr>
                      <w:rFonts w:hint="default"/>
                      <w:lang w:val="en-US" w:eastAsia="zh-CN"/>
                    </w:rPr>
                  </w:pPr>
                  <w:r>
                    <w:rPr>
                      <w:rFonts w:hint="eastAsia"/>
                      <w:lang w:val="en-US" w:eastAsia="zh-CN"/>
                    </w:rPr>
                    <w:t>合计</w:t>
                  </w:r>
                </w:p>
              </w:tc>
              <w:tc>
                <w:tcPr>
                  <w:tcW w:w="988" w:type="dxa"/>
                  <w:vAlign w:val="center"/>
                </w:tcPr>
                <w:p w14:paraId="45264C8A">
                  <w:pPr>
                    <w:pStyle w:val="15"/>
                    <w:bidi w:val="0"/>
                    <w:jc w:val="center"/>
                    <w:rPr>
                      <w:rFonts w:hint="default"/>
                      <w:lang w:val="en-US" w:eastAsia="zh-CN"/>
                    </w:rPr>
                  </w:pPr>
                  <w:r>
                    <w:rPr>
                      <w:rFonts w:hint="eastAsia"/>
                      <w:lang w:val="en-US" w:eastAsia="zh-CN"/>
                    </w:rPr>
                    <w:t>0.0318</w:t>
                  </w:r>
                </w:p>
              </w:tc>
            </w:tr>
          </w:tbl>
          <w:p w14:paraId="1C812557">
            <w:pPr>
              <w:pStyle w:val="16"/>
              <w:bidi w:val="0"/>
              <w:rPr>
                <w:rFonts w:hint="default"/>
                <w:lang w:val="en-US" w:eastAsia="zh-CN"/>
              </w:rPr>
            </w:pPr>
            <w:r>
              <w:rPr>
                <w:rFonts w:hint="default"/>
                <w:lang w:val="en-US" w:eastAsia="zh-CN"/>
              </w:rPr>
              <w:t>本项目危险物质的数量与临界量比值Q=</w:t>
            </w:r>
            <w:r>
              <w:rPr>
                <w:rFonts w:hint="default"/>
                <w:highlight w:val="none"/>
                <w:lang w:val="en-US" w:eastAsia="zh-CN"/>
              </w:rPr>
              <w:t>0.</w:t>
            </w:r>
            <w:r>
              <w:rPr>
                <w:rFonts w:hint="eastAsia"/>
                <w:highlight w:val="none"/>
                <w:lang w:val="en-US" w:eastAsia="zh-CN"/>
              </w:rPr>
              <w:t>0318</w:t>
            </w:r>
            <w:r>
              <w:rPr>
                <w:rFonts w:hint="default"/>
                <w:lang w:val="en-US" w:eastAsia="zh-CN"/>
              </w:rPr>
              <w:t>＜1，风险潜势为I，故开展简单分析。</w:t>
            </w:r>
          </w:p>
          <w:p w14:paraId="148B8DE3">
            <w:pPr>
              <w:pStyle w:val="16"/>
              <w:bidi w:val="0"/>
              <w:rPr>
                <w:rFonts w:hint="default"/>
                <w:b/>
                <w:bCs/>
                <w:lang w:val="en-US" w:eastAsia="zh-CN"/>
              </w:rPr>
            </w:pPr>
            <w:r>
              <w:rPr>
                <w:rFonts w:hint="default"/>
                <w:b/>
                <w:bCs/>
                <w:lang w:val="en-US" w:eastAsia="zh-CN"/>
              </w:rPr>
              <w:t>（3）评价等级</w:t>
            </w:r>
          </w:p>
          <w:p w14:paraId="1592810A">
            <w:pPr>
              <w:pStyle w:val="16"/>
              <w:ind w:firstLine="480"/>
            </w:pPr>
            <w:r>
              <w:t>根据《建设项目环境风险评价技术导则》（HJ169-2018），风险潜势为Ⅰ，只开展简单分析</w:t>
            </w:r>
            <w:r>
              <w:rPr>
                <w:rFonts w:hint="eastAsia"/>
              </w:rPr>
              <w:t>，</w:t>
            </w:r>
            <w:r>
              <w:t>环境风险评价工作等级划分详见下表。</w:t>
            </w:r>
          </w:p>
          <w:p w14:paraId="10DABB87">
            <w:pPr>
              <w:pStyle w:val="17"/>
            </w:pPr>
            <w:r>
              <w:rPr>
                <w:rFonts w:hint="eastAsia"/>
              </w:rPr>
              <w:t>表4-1</w:t>
            </w:r>
            <w:r>
              <w:rPr>
                <w:rFonts w:hint="eastAsia"/>
                <w:lang w:val="en-US" w:eastAsia="zh-CN"/>
              </w:rPr>
              <w:t>1</w:t>
            </w:r>
            <w:r>
              <w:rPr>
                <w:rFonts w:hint="eastAsia"/>
              </w:rPr>
              <w:t xml:space="preserve">  建设项目环境分析简单分析内容表</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6376"/>
            </w:tblGrid>
            <w:tr w14:paraId="1A0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E0A5859">
                  <w:pPr>
                    <w:pStyle w:val="15"/>
                  </w:pPr>
                  <w:r>
                    <w:rPr>
                      <w:rFonts w:hint="eastAsia"/>
                    </w:rPr>
                    <w:t>项目名称</w:t>
                  </w:r>
                </w:p>
              </w:tc>
              <w:tc>
                <w:tcPr>
                  <w:tcW w:w="6376" w:type="dxa"/>
                  <w:vAlign w:val="center"/>
                </w:tcPr>
                <w:p w14:paraId="281A1EE2">
                  <w:pPr>
                    <w:pStyle w:val="15"/>
                    <w:rPr>
                      <w:rFonts w:hint="eastAsia" w:eastAsia="宋体"/>
                      <w:highlight w:val="yellow"/>
                      <w:lang w:eastAsia="zh-CN"/>
                    </w:rPr>
                  </w:pPr>
                  <w:r>
                    <w:rPr>
                      <w:rFonts w:hint="eastAsia"/>
                      <w:lang w:eastAsia="zh-CN"/>
                    </w:rPr>
                    <w:t>年产6000吨玻璃纤维颗粒建设项目</w:t>
                  </w:r>
                </w:p>
              </w:tc>
            </w:tr>
            <w:tr w14:paraId="34F8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64025DCE">
                  <w:pPr>
                    <w:pStyle w:val="15"/>
                  </w:pPr>
                  <w:r>
                    <w:t>建设地点</w:t>
                  </w:r>
                </w:p>
              </w:tc>
              <w:tc>
                <w:tcPr>
                  <w:tcW w:w="6376" w:type="dxa"/>
                  <w:vAlign w:val="center"/>
                </w:tcPr>
                <w:p w14:paraId="7964EC17">
                  <w:pPr>
                    <w:spacing w:line="240" w:lineRule="auto"/>
                    <w:ind w:firstLine="0" w:firstLineChars="0"/>
                    <w:jc w:val="center"/>
                    <w:rPr>
                      <w:rFonts w:hint="eastAsia" w:eastAsia="宋体"/>
                      <w:sz w:val="21"/>
                      <w:szCs w:val="21"/>
                      <w:highlight w:val="yellow"/>
                      <w:lang w:eastAsia="zh-CN"/>
                    </w:rPr>
                  </w:pPr>
                  <w:r>
                    <w:rPr>
                      <w:sz w:val="21"/>
                      <w:szCs w:val="21"/>
                    </w:rPr>
                    <w:t>岳阳市</w:t>
                  </w:r>
                  <w:r>
                    <w:rPr>
                      <w:rFonts w:hint="eastAsia"/>
                      <w:sz w:val="21"/>
                      <w:szCs w:val="21"/>
                      <w:lang w:eastAsia="zh-CN"/>
                    </w:rPr>
                    <w:t>岳阳县筻口镇熊市村新塘片二组</w:t>
                  </w:r>
                </w:p>
              </w:tc>
            </w:tr>
            <w:tr w14:paraId="4A3C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0FD2275">
                  <w:pPr>
                    <w:pStyle w:val="15"/>
                  </w:pPr>
                  <w:r>
                    <w:t>地理坐标</w:t>
                  </w:r>
                </w:p>
              </w:tc>
              <w:tc>
                <w:tcPr>
                  <w:tcW w:w="6376" w:type="dxa"/>
                  <w:vAlign w:val="center"/>
                </w:tcPr>
                <w:p w14:paraId="1DE085BB">
                  <w:pPr>
                    <w:spacing w:line="240" w:lineRule="auto"/>
                    <w:ind w:firstLine="0" w:firstLineChars="0"/>
                    <w:jc w:val="center"/>
                    <w:rPr>
                      <w:sz w:val="21"/>
                      <w:szCs w:val="21"/>
                    </w:rPr>
                  </w:pPr>
                  <w:r>
                    <w:rPr>
                      <w:sz w:val="21"/>
                      <w:szCs w:val="21"/>
                    </w:rPr>
                    <w:t>东经</w:t>
                  </w:r>
                  <w:r>
                    <w:rPr>
                      <w:rFonts w:hint="eastAsia"/>
                      <w:sz w:val="21"/>
                      <w:szCs w:val="21"/>
                    </w:rPr>
                    <w:t>113°22′29.646″</w:t>
                  </w:r>
                  <w:r>
                    <w:rPr>
                      <w:sz w:val="21"/>
                      <w:szCs w:val="21"/>
                    </w:rPr>
                    <w:t>，北纬</w:t>
                  </w:r>
                  <w:r>
                    <w:rPr>
                      <w:rFonts w:hint="eastAsia"/>
                      <w:sz w:val="21"/>
                      <w:szCs w:val="21"/>
                    </w:rPr>
                    <w:t>29°10′23.316″</w:t>
                  </w:r>
                </w:p>
              </w:tc>
            </w:tr>
            <w:tr w14:paraId="639A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6E117958">
                  <w:pPr>
                    <w:pStyle w:val="15"/>
                  </w:pPr>
                  <w:r>
                    <w:t>主要危害物质及分布</w:t>
                  </w:r>
                </w:p>
              </w:tc>
              <w:tc>
                <w:tcPr>
                  <w:tcW w:w="6376" w:type="dxa"/>
                  <w:vAlign w:val="center"/>
                </w:tcPr>
                <w:p w14:paraId="17DFF83F">
                  <w:pPr>
                    <w:pStyle w:val="15"/>
                    <w:bidi w:val="0"/>
                    <w:ind w:firstLine="0" w:firstLineChars="0"/>
                    <w:jc w:val="center"/>
                  </w:pPr>
                  <w:r>
                    <w:rPr>
                      <w:rFonts w:hint="eastAsia"/>
                      <w:vertAlign w:val="baseline"/>
                      <w:lang w:val="en-US" w:eastAsia="zh-CN"/>
                    </w:rPr>
                    <w:t>危险废物储存于危废暂存间</w:t>
                  </w:r>
                </w:p>
              </w:tc>
            </w:tr>
            <w:tr w14:paraId="4373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4395FFBB">
                  <w:pPr>
                    <w:pStyle w:val="15"/>
                  </w:pPr>
                  <w:r>
                    <w:t>环境影响途径</w:t>
                  </w:r>
                </w:p>
                <w:p w14:paraId="449A375C">
                  <w:pPr>
                    <w:pStyle w:val="15"/>
                  </w:pPr>
                  <w:r>
                    <w:t>及危害后果</w:t>
                  </w:r>
                </w:p>
              </w:tc>
              <w:tc>
                <w:tcPr>
                  <w:tcW w:w="6376" w:type="dxa"/>
                  <w:vAlign w:val="center"/>
                </w:tcPr>
                <w:p w14:paraId="2BA5F795">
                  <w:pPr>
                    <w:pStyle w:val="15"/>
                    <w:bidi w:val="0"/>
                    <w:ind w:firstLine="0" w:firstLineChars="0"/>
                    <w:jc w:val="center"/>
                  </w:pPr>
                  <w:r>
                    <w:rPr>
                      <w:rFonts w:hint="default"/>
                      <w:vertAlign w:val="baseline"/>
                      <w:lang w:val="en-US" w:eastAsia="zh-CN"/>
                    </w:rPr>
                    <w:t>危废的运输、贮存过程中，如管理操作不当或发生意外事故。存在着泄漏、燃烧等环境风险事故。一旦发生此类事故，引起危废泄漏或火灾事故，将会对周围空气、土壤、地下水环境产生较大污染</w:t>
                  </w:r>
                  <w:r>
                    <w:rPr>
                      <w:rFonts w:hint="eastAsia"/>
                      <w:vertAlign w:val="baseline"/>
                      <w:lang w:val="en-US" w:eastAsia="zh-CN"/>
                    </w:rPr>
                    <w:t>。</w:t>
                  </w:r>
                </w:p>
              </w:tc>
            </w:tr>
            <w:tr w14:paraId="27C9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292E0BBC">
                  <w:pPr>
                    <w:pStyle w:val="15"/>
                  </w:pPr>
                  <w:r>
                    <w:t>风险防范措施要求</w:t>
                  </w:r>
                </w:p>
              </w:tc>
              <w:tc>
                <w:tcPr>
                  <w:tcW w:w="6376" w:type="dxa"/>
                  <w:vAlign w:val="center"/>
                </w:tcPr>
                <w:p w14:paraId="3C378266">
                  <w:pPr>
                    <w:pStyle w:val="15"/>
                    <w:bidi w:val="0"/>
                    <w:jc w:val="both"/>
                    <w:rPr>
                      <w:rFonts w:hint="default"/>
                      <w:vertAlign w:val="baseline"/>
                      <w:lang w:val="en-US" w:eastAsia="zh-CN"/>
                    </w:rPr>
                  </w:pPr>
                  <w:r>
                    <w:rPr>
                      <w:rFonts w:hint="default"/>
                      <w:vertAlign w:val="baseline"/>
                      <w:lang w:val="en-US" w:eastAsia="zh-CN"/>
                    </w:rPr>
                    <w:t>①制定风险防范管理制度</w:t>
                  </w:r>
                  <w:r>
                    <w:rPr>
                      <w:rFonts w:hint="eastAsia"/>
                      <w:vertAlign w:val="baseline"/>
                      <w:lang w:val="en-US" w:eastAsia="zh-CN"/>
                    </w:rPr>
                    <w:t>；</w:t>
                  </w:r>
                </w:p>
                <w:p w14:paraId="5033F77E">
                  <w:pPr>
                    <w:pStyle w:val="15"/>
                    <w:bidi w:val="0"/>
                    <w:jc w:val="both"/>
                    <w:rPr>
                      <w:rFonts w:hint="default"/>
                      <w:vertAlign w:val="baseline"/>
                      <w:lang w:val="en-US" w:eastAsia="zh-CN"/>
                    </w:rPr>
                  </w:pPr>
                  <w:r>
                    <w:rPr>
                      <w:rFonts w:hint="default"/>
                      <w:vertAlign w:val="baseline"/>
                      <w:lang w:val="en-US" w:eastAsia="zh-CN"/>
                    </w:rPr>
                    <w:t>②危险废物设置危险废物暂存间暂存，明确各类废弃物标识，分类堆放，设置导流沟或者托盘防止泄漏，暂存间做好相应防渗等措施。</w:t>
                  </w:r>
                </w:p>
                <w:p w14:paraId="646B0ABD">
                  <w:pPr>
                    <w:pStyle w:val="15"/>
                    <w:bidi w:val="0"/>
                    <w:ind w:firstLine="0" w:firstLineChars="0"/>
                    <w:jc w:val="both"/>
                  </w:pPr>
                  <w:r>
                    <w:rPr>
                      <w:rFonts w:hint="default"/>
                      <w:vertAlign w:val="baseline"/>
                      <w:lang w:val="en-US" w:eastAsia="zh-CN"/>
                    </w:rPr>
                    <w:t>③加强设备保养和维护，保证设备的正常运转；加强工作人员的岗位责任管理，减少人员因素产生的故障。</w:t>
                  </w:r>
                </w:p>
              </w:tc>
            </w:tr>
          </w:tbl>
          <w:p w14:paraId="63D89BBD">
            <w:pPr>
              <w:ind w:firstLine="482"/>
              <w:rPr>
                <w:b/>
                <w:bCs/>
              </w:rPr>
            </w:pPr>
            <w:r>
              <w:rPr>
                <w:rFonts w:hint="eastAsia"/>
                <w:b/>
                <w:bCs/>
              </w:rPr>
              <w:t>6</w:t>
            </w:r>
            <w:r>
              <w:rPr>
                <w:b/>
                <w:bCs/>
              </w:rPr>
              <w:t>、环保投资</w:t>
            </w:r>
          </w:p>
          <w:p w14:paraId="243E7D48">
            <w:pPr>
              <w:pStyle w:val="16"/>
              <w:ind w:firstLine="480"/>
            </w:pPr>
            <w:r>
              <w:t>本项目总投资</w:t>
            </w:r>
            <w:r>
              <w:rPr>
                <w:rFonts w:hint="eastAsia"/>
                <w:lang w:val="en-US" w:eastAsia="zh-CN"/>
              </w:rPr>
              <w:t>5</w:t>
            </w:r>
            <w:r>
              <w:t>00万元，环保投资</w:t>
            </w:r>
            <w:r>
              <w:rPr>
                <w:rFonts w:hint="eastAsia"/>
                <w:lang w:val="en-US" w:eastAsia="zh-CN"/>
              </w:rPr>
              <w:t>20</w:t>
            </w:r>
            <w:r>
              <w:t>万元，占总投资的</w:t>
            </w:r>
            <w:r>
              <w:rPr>
                <w:rFonts w:hint="eastAsia"/>
                <w:lang w:val="en-US" w:eastAsia="zh-CN"/>
              </w:rPr>
              <w:t>4</w:t>
            </w:r>
            <w:r>
              <w:t>%。环保投资算详见下表。</w:t>
            </w:r>
          </w:p>
          <w:p w14:paraId="29B32454">
            <w:pPr>
              <w:pStyle w:val="17"/>
            </w:pPr>
            <w:r>
              <w:rPr>
                <w:rFonts w:hint="eastAsia"/>
              </w:rPr>
              <w:t>表4-1</w:t>
            </w:r>
            <w:r>
              <w:rPr>
                <w:rFonts w:hint="eastAsia"/>
                <w:lang w:val="en-US" w:eastAsia="zh-CN"/>
              </w:rPr>
              <w:t>2</w:t>
            </w:r>
            <w:r>
              <w:rPr>
                <w:rFonts w:hint="eastAsia"/>
              </w:rPr>
              <w:t xml:space="preserve">  环保投资表</w:t>
            </w:r>
          </w:p>
          <w:tbl>
            <w:tblPr>
              <w:tblStyle w:val="12"/>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82"/>
              <w:gridCol w:w="4322"/>
              <w:gridCol w:w="1235"/>
            </w:tblGrid>
            <w:tr w14:paraId="37CB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vAlign w:val="center"/>
                </w:tcPr>
                <w:p w14:paraId="1D032CFC">
                  <w:pPr>
                    <w:pStyle w:val="15"/>
                  </w:pPr>
                  <w:r>
                    <w:rPr>
                      <w:rFonts w:hint="eastAsia"/>
                    </w:rPr>
                    <w:t>类别</w:t>
                  </w:r>
                </w:p>
              </w:tc>
              <w:tc>
                <w:tcPr>
                  <w:tcW w:w="1582" w:type="dxa"/>
                  <w:vAlign w:val="center"/>
                </w:tcPr>
                <w:p w14:paraId="2D0EF7A3">
                  <w:pPr>
                    <w:pStyle w:val="15"/>
                  </w:pPr>
                  <w:r>
                    <w:rPr>
                      <w:rFonts w:hint="eastAsia"/>
                    </w:rPr>
                    <w:t>污染源</w:t>
                  </w:r>
                </w:p>
              </w:tc>
              <w:tc>
                <w:tcPr>
                  <w:tcW w:w="4322" w:type="dxa"/>
                  <w:vAlign w:val="center"/>
                </w:tcPr>
                <w:p w14:paraId="5203E508">
                  <w:pPr>
                    <w:pStyle w:val="15"/>
                  </w:pPr>
                  <w:r>
                    <w:t>污染防治措施</w:t>
                  </w:r>
                </w:p>
              </w:tc>
              <w:tc>
                <w:tcPr>
                  <w:tcW w:w="1235" w:type="dxa"/>
                  <w:vAlign w:val="center"/>
                </w:tcPr>
                <w:p w14:paraId="2ED62C62">
                  <w:pPr>
                    <w:pStyle w:val="15"/>
                  </w:pPr>
                  <w:r>
                    <w:t>投资概算（万元）</w:t>
                  </w:r>
                </w:p>
              </w:tc>
            </w:tr>
            <w:tr w14:paraId="42E3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5096725F">
                  <w:pPr>
                    <w:pStyle w:val="15"/>
                  </w:pPr>
                  <w:r>
                    <w:rPr>
                      <w:rFonts w:hint="eastAsia"/>
                    </w:rPr>
                    <w:t>废气</w:t>
                  </w:r>
                </w:p>
              </w:tc>
              <w:tc>
                <w:tcPr>
                  <w:tcW w:w="1582" w:type="dxa"/>
                  <w:vAlign w:val="center"/>
                </w:tcPr>
                <w:p w14:paraId="2B104DC1">
                  <w:pPr>
                    <w:pStyle w:val="15"/>
                    <w:ind w:firstLine="0" w:firstLineChars="0"/>
                  </w:pPr>
                  <w:r>
                    <w:rPr>
                      <w:rFonts w:hint="eastAsia"/>
                      <w:lang w:val="en-US" w:eastAsia="zh-CN"/>
                    </w:rPr>
                    <w:t>热风炉</w:t>
                  </w:r>
                  <w:r>
                    <w:rPr>
                      <w:rFonts w:hint="eastAsia"/>
                    </w:rPr>
                    <w:t>废气</w:t>
                  </w:r>
                </w:p>
              </w:tc>
              <w:tc>
                <w:tcPr>
                  <w:tcW w:w="4322" w:type="dxa"/>
                  <w:vAlign w:val="center"/>
                </w:tcPr>
                <w:p w14:paraId="0472CBAE">
                  <w:pPr>
                    <w:pStyle w:val="15"/>
                  </w:pPr>
                  <w:r>
                    <w:t>经</w:t>
                  </w:r>
                  <w:r>
                    <w:rPr>
                      <w:rFonts w:hint="eastAsia"/>
                      <w:color w:val="auto"/>
                      <w:highlight w:val="none"/>
                      <w:lang w:eastAsia="zh-CN"/>
                    </w:rPr>
                    <w:t>脉冲布袋除尘</w:t>
                  </w:r>
                  <w:r>
                    <w:t>处理后</w:t>
                  </w:r>
                  <w:r>
                    <w:rPr>
                      <w:rFonts w:hint="eastAsia"/>
                      <w:lang w:val="en-US" w:eastAsia="zh-CN"/>
                    </w:rPr>
                    <w:t>15</w:t>
                  </w:r>
                  <w:r>
                    <w:t>m排气筒外排</w:t>
                  </w:r>
                </w:p>
              </w:tc>
              <w:tc>
                <w:tcPr>
                  <w:tcW w:w="1235" w:type="dxa"/>
                  <w:vAlign w:val="center"/>
                </w:tcPr>
                <w:p w14:paraId="48D1CCC1">
                  <w:pPr>
                    <w:pStyle w:val="15"/>
                    <w:rPr>
                      <w:rFonts w:hint="eastAsia" w:eastAsia="宋体"/>
                      <w:lang w:eastAsia="zh-CN"/>
                    </w:rPr>
                  </w:pPr>
                  <w:r>
                    <w:rPr>
                      <w:rFonts w:hint="eastAsia"/>
                      <w:lang w:val="en-US" w:eastAsia="zh-CN"/>
                    </w:rPr>
                    <w:t>5</w:t>
                  </w:r>
                </w:p>
              </w:tc>
            </w:tr>
            <w:tr w14:paraId="7719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C7CAC5D">
                  <w:pPr>
                    <w:pStyle w:val="15"/>
                  </w:pPr>
                </w:p>
              </w:tc>
              <w:tc>
                <w:tcPr>
                  <w:tcW w:w="1582" w:type="dxa"/>
                  <w:vAlign w:val="center"/>
                </w:tcPr>
                <w:p w14:paraId="7B270E07">
                  <w:pPr>
                    <w:pStyle w:val="15"/>
                    <w:ind w:firstLine="0" w:firstLineChars="0"/>
                  </w:pPr>
                  <w:r>
                    <w:rPr>
                      <w:rFonts w:hint="eastAsia"/>
                      <w:u w:val="none"/>
                      <w:lang w:val="en-US" w:eastAsia="zh-CN"/>
                    </w:rPr>
                    <w:t>粉碎挤出废气</w:t>
                  </w:r>
                </w:p>
              </w:tc>
              <w:tc>
                <w:tcPr>
                  <w:tcW w:w="4322" w:type="dxa"/>
                  <w:vMerge w:val="restart"/>
                  <w:vAlign w:val="center"/>
                </w:tcPr>
                <w:p w14:paraId="62422726">
                  <w:pPr>
                    <w:pStyle w:val="15"/>
                    <w:ind w:firstLine="0" w:firstLineChars="0"/>
                    <w:rPr>
                      <w:rFonts w:hint="default"/>
                      <w:lang w:val="en-US"/>
                    </w:rPr>
                  </w:pPr>
                  <w:r>
                    <w:rPr>
                      <w:rFonts w:hint="eastAsia"/>
                      <w:u w:val="none"/>
                      <w:lang w:val="en-US" w:eastAsia="zh-CN"/>
                    </w:rPr>
                    <w:t>集气罩收集后水喷淋+活性炭+15m排气筒外排</w:t>
                  </w:r>
                </w:p>
              </w:tc>
              <w:tc>
                <w:tcPr>
                  <w:tcW w:w="1235" w:type="dxa"/>
                  <w:vMerge w:val="restart"/>
                  <w:vAlign w:val="center"/>
                </w:tcPr>
                <w:p w14:paraId="4A349B23">
                  <w:pPr>
                    <w:pStyle w:val="15"/>
                    <w:rPr>
                      <w:rFonts w:hint="default" w:eastAsia="宋体"/>
                      <w:lang w:val="en-US" w:eastAsia="zh-CN"/>
                    </w:rPr>
                  </w:pPr>
                  <w:r>
                    <w:rPr>
                      <w:rFonts w:hint="eastAsia"/>
                      <w:lang w:val="en-US" w:eastAsia="zh-CN"/>
                    </w:rPr>
                    <w:t>10</w:t>
                  </w:r>
                </w:p>
              </w:tc>
            </w:tr>
            <w:tr w14:paraId="3F08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7A6EA89A">
                  <w:pPr>
                    <w:pStyle w:val="15"/>
                  </w:pPr>
                </w:p>
              </w:tc>
              <w:tc>
                <w:tcPr>
                  <w:tcW w:w="1582" w:type="dxa"/>
                  <w:vAlign w:val="center"/>
                </w:tcPr>
                <w:p w14:paraId="4FC0E714">
                  <w:pPr>
                    <w:pStyle w:val="15"/>
                    <w:ind w:firstLine="0" w:firstLineChars="0"/>
                    <w:rPr>
                      <w:rFonts w:hint="eastAsia"/>
                    </w:rPr>
                  </w:pPr>
                  <w:r>
                    <w:rPr>
                      <w:rFonts w:hint="eastAsia"/>
                      <w:lang w:val="en-US" w:eastAsia="zh-CN"/>
                    </w:rPr>
                    <w:t>烘干废气</w:t>
                  </w:r>
                </w:p>
              </w:tc>
              <w:tc>
                <w:tcPr>
                  <w:tcW w:w="4322" w:type="dxa"/>
                  <w:vMerge w:val="continue"/>
                  <w:vAlign w:val="center"/>
                </w:tcPr>
                <w:p w14:paraId="52D9F0D3">
                  <w:pPr>
                    <w:pStyle w:val="15"/>
                    <w:ind w:firstLine="0" w:firstLineChars="0"/>
                    <w:rPr>
                      <w:rFonts w:hint="eastAsia"/>
                    </w:rPr>
                  </w:pPr>
                </w:p>
              </w:tc>
              <w:tc>
                <w:tcPr>
                  <w:tcW w:w="1235" w:type="dxa"/>
                  <w:vMerge w:val="continue"/>
                  <w:vAlign w:val="center"/>
                </w:tcPr>
                <w:p w14:paraId="4F1EABD5">
                  <w:pPr>
                    <w:pStyle w:val="15"/>
                    <w:rPr>
                      <w:rFonts w:hint="eastAsia"/>
                    </w:rPr>
                  </w:pPr>
                </w:p>
              </w:tc>
            </w:tr>
            <w:tr w14:paraId="75F2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7F16DBC">
                  <w:pPr>
                    <w:pStyle w:val="15"/>
                  </w:pPr>
                  <w:r>
                    <w:rPr>
                      <w:rFonts w:hint="eastAsia"/>
                    </w:rPr>
                    <w:t>废水</w:t>
                  </w:r>
                </w:p>
              </w:tc>
              <w:tc>
                <w:tcPr>
                  <w:tcW w:w="1582" w:type="dxa"/>
                  <w:vAlign w:val="center"/>
                </w:tcPr>
                <w:p w14:paraId="050978FD">
                  <w:pPr>
                    <w:pStyle w:val="15"/>
                  </w:pPr>
                  <w:r>
                    <w:rPr>
                      <w:rFonts w:hint="eastAsia"/>
                    </w:rPr>
                    <w:t>生活污水</w:t>
                  </w:r>
                </w:p>
              </w:tc>
              <w:tc>
                <w:tcPr>
                  <w:tcW w:w="4322" w:type="dxa"/>
                  <w:vAlign w:val="center"/>
                </w:tcPr>
                <w:p w14:paraId="4ED66BD2">
                  <w:pPr>
                    <w:pStyle w:val="15"/>
                    <w:rPr>
                      <w:rFonts w:hint="default" w:eastAsia="宋体"/>
                      <w:lang w:val="en-US" w:eastAsia="zh-CN"/>
                    </w:rPr>
                  </w:pPr>
                  <w:r>
                    <w:rPr>
                      <w:rFonts w:hint="eastAsia"/>
                      <w:lang w:val="en-US" w:eastAsia="zh-CN"/>
                    </w:rPr>
                    <w:t>经</w:t>
                  </w:r>
                  <w:r>
                    <w:rPr>
                      <w:rFonts w:hint="eastAsia"/>
                    </w:rPr>
                    <w:t>化粪池</w:t>
                  </w:r>
                  <w:r>
                    <w:rPr>
                      <w:rFonts w:hint="eastAsia"/>
                      <w:lang w:val="en-US" w:eastAsia="zh-CN"/>
                    </w:rPr>
                    <w:t>处理后用作农肥</w:t>
                  </w:r>
                </w:p>
              </w:tc>
              <w:tc>
                <w:tcPr>
                  <w:tcW w:w="1235" w:type="dxa"/>
                  <w:vAlign w:val="center"/>
                </w:tcPr>
                <w:p w14:paraId="1F1D11D2">
                  <w:pPr>
                    <w:pStyle w:val="15"/>
                    <w:rPr>
                      <w:rFonts w:hint="default" w:eastAsia="宋体"/>
                      <w:lang w:val="en-US" w:eastAsia="zh-CN"/>
                    </w:rPr>
                  </w:pPr>
                  <w:r>
                    <w:rPr>
                      <w:rFonts w:hint="eastAsia"/>
                      <w:lang w:val="en-US" w:eastAsia="zh-CN"/>
                    </w:rPr>
                    <w:t>0.5</w:t>
                  </w:r>
                </w:p>
              </w:tc>
            </w:tr>
            <w:tr w14:paraId="7602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6FD1AE6">
                  <w:pPr>
                    <w:pStyle w:val="15"/>
                  </w:pPr>
                  <w:r>
                    <w:rPr>
                      <w:rFonts w:hint="eastAsia"/>
                    </w:rPr>
                    <w:t>噪声</w:t>
                  </w:r>
                </w:p>
              </w:tc>
              <w:tc>
                <w:tcPr>
                  <w:tcW w:w="1582" w:type="dxa"/>
                  <w:vAlign w:val="center"/>
                </w:tcPr>
                <w:p w14:paraId="5F0D28FC">
                  <w:pPr>
                    <w:pStyle w:val="15"/>
                  </w:pPr>
                  <w:r>
                    <w:rPr>
                      <w:rFonts w:hint="eastAsia"/>
                    </w:rPr>
                    <w:t>设备噪声</w:t>
                  </w:r>
                </w:p>
              </w:tc>
              <w:tc>
                <w:tcPr>
                  <w:tcW w:w="4322" w:type="dxa"/>
                  <w:vAlign w:val="center"/>
                </w:tcPr>
                <w:p w14:paraId="30449D03">
                  <w:pPr>
                    <w:pStyle w:val="15"/>
                  </w:pPr>
                  <w:r>
                    <w:t>基础减振、厂房隔声，加强管理</w:t>
                  </w:r>
                </w:p>
              </w:tc>
              <w:tc>
                <w:tcPr>
                  <w:tcW w:w="1235" w:type="dxa"/>
                  <w:vAlign w:val="center"/>
                </w:tcPr>
                <w:p w14:paraId="00633760">
                  <w:pPr>
                    <w:pStyle w:val="15"/>
                  </w:pPr>
                  <w:r>
                    <w:rPr>
                      <w:rFonts w:hint="eastAsia"/>
                    </w:rPr>
                    <w:t>2</w:t>
                  </w:r>
                </w:p>
              </w:tc>
            </w:tr>
            <w:tr w14:paraId="0E9A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4B815496">
                  <w:pPr>
                    <w:pStyle w:val="15"/>
                  </w:pPr>
                  <w:r>
                    <w:rPr>
                      <w:rFonts w:hint="eastAsia"/>
                    </w:rPr>
                    <w:t>固体废物</w:t>
                  </w:r>
                </w:p>
              </w:tc>
              <w:tc>
                <w:tcPr>
                  <w:tcW w:w="1582" w:type="dxa"/>
                  <w:vAlign w:val="center"/>
                </w:tcPr>
                <w:p w14:paraId="48CECDF4">
                  <w:pPr>
                    <w:pStyle w:val="15"/>
                  </w:pPr>
                  <w:r>
                    <w:rPr>
                      <w:rFonts w:hint="eastAsia"/>
                    </w:rPr>
                    <w:t>生活垃圾</w:t>
                  </w:r>
                </w:p>
              </w:tc>
              <w:tc>
                <w:tcPr>
                  <w:tcW w:w="4322" w:type="dxa"/>
                  <w:vAlign w:val="center"/>
                </w:tcPr>
                <w:p w14:paraId="02B8E35C">
                  <w:pPr>
                    <w:pStyle w:val="15"/>
                  </w:pPr>
                  <w:r>
                    <w:t>交由环卫部门处理</w:t>
                  </w:r>
                </w:p>
              </w:tc>
              <w:tc>
                <w:tcPr>
                  <w:tcW w:w="1235" w:type="dxa"/>
                  <w:vAlign w:val="center"/>
                </w:tcPr>
                <w:p w14:paraId="30D9DC11">
                  <w:pPr>
                    <w:pStyle w:val="15"/>
                  </w:pPr>
                  <w:r>
                    <w:rPr>
                      <w:rFonts w:hint="eastAsia"/>
                    </w:rPr>
                    <w:t>0.5</w:t>
                  </w:r>
                </w:p>
              </w:tc>
            </w:tr>
            <w:tr w14:paraId="23AA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744FE3D9">
                  <w:pPr>
                    <w:pStyle w:val="15"/>
                  </w:pPr>
                </w:p>
              </w:tc>
              <w:tc>
                <w:tcPr>
                  <w:tcW w:w="1582" w:type="dxa"/>
                  <w:vAlign w:val="center"/>
                </w:tcPr>
                <w:p w14:paraId="0B7CBC18">
                  <w:pPr>
                    <w:pStyle w:val="15"/>
                  </w:pPr>
                  <w:r>
                    <w:rPr>
                      <w:rFonts w:hint="eastAsia"/>
                    </w:rPr>
                    <w:t>一般固废</w:t>
                  </w:r>
                </w:p>
              </w:tc>
              <w:tc>
                <w:tcPr>
                  <w:tcW w:w="4322" w:type="dxa"/>
                  <w:vAlign w:val="center"/>
                </w:tcPr>
                <w:p w14:paraId="02EC63E5">
                  <w:pPr>
                    <w:pStyle w:val="15"/>
                  </w:pPr>
                  <w:r>
                    <w:rPr>
                      <w:rFonts w:hint="eastAsia"/>
                      <w:lang w:val="en-US" w:eastAsia="zh-CN"/>
                    </w:rPr>
                    <w:t>热风炉</w:t>
                  </w:r>
                  <w:r>
                    <w:rPr>
                      <w:rFonts w:hint="eastAsia"/>
                    </w:rPr>
                    <w:t>灰渣和除尘器收集的粉尘收集后交由周边农户做肥料</w:t>
                  </w:r>
                </w:p>
              </w:tc>
              <w:tc>
                <w:tcPr>
                  <w:tcW w:w="1235" w:type="dxa"/>
                  <w:vAlign w:val="center"/>
                </w:tcPr>
                <w:p w14:paraId="326A8270">
                  <w:pPr>
                    <w:pStyle w:val="15"/>
                    <w:rPr>
                      <w:rFonts w:hint="default" w:eastAsia="宋体"/>
                      <w:lang w:val="en-US" w:eastAsia="zh-CN"/>
                    </w:rPr>
                  </w:pPr>
                  <w:r>
                    <w:rPr>
                      <w:rFonts w:hint="eastAsia"/>
                      <w:lang w:val="en-US" w:eastAsia="zh-CN"/>
                    </w:rPr>
                    <w:t>0.5</w:t>
                  </w:r>
                </w:p>
              </w:tc>
            </w:tr>
            <w:tr w14:paraId="391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7D47E10B">
                  <w:pPr>
                    <w:pStyle w:val="15"/>
                  </w:pPr>
                </w:p>
              </w:tc>
              <w:tc>
                <w:tcPr>
                  <w:tcW w:w="1582" w:type="dxa"/>
                  <w:vAlign w:val="center"/>
                </w:tcPr>
                <w:p w14:paraId="25DB6348">
                  <w:pPr>
                    <w:pStyle w:val="15"/>
                    <w:rPr>
                      <w:rFonts w:hint="default" w:eastAsia="宋体"/>
                      <w:lang w:val="en-US" w:eastAsia="zh-CN"/>
                    </w:rPr>
                  </w:pPr>
                  <w:r>
                    <w:rPr>
                      <w:rFonts w:hint="eastAsia"/>
                      <w:lang w:val="en-US" w:eastAsia="zh-CN"/>
                    </w:rPr>
                    <w:t>危险废物</w:t>
                  </w:r>
                </w:p>
              </w:tc>
              <w:tc>
                <w:tcPr>
                  <w:tcW w:w="4322" w:type="dxa"/>
                  <w:vAlign w:val="center"/>
                </w:tcPr>
                <w:p w14:paraId="0F29E40A">
                  <w:pPr>
                    <w:pStyle w:val="15"/>
                    <w:rPr>
                      <w:rFonts w:hint="default" w:eastAsia="宋体"/>
                      <w:lang w:val="en-US" w:eastAsia="zh-CN"/>
                    </w:rPr>
                  </w:pPr>
                  <w:r>
                    <w:rPr>
                      <w:rFonts w:hint="eastAsia"/>
                      <w:lang w:val="en-US" w:eastAsia="zh-CN"/>
                    </w:rPr>
                    <w:t>废活性炭暂存于危废暂存间，定期交由有资质单位处理</w:t>
                  </w:r>
                </w:p>
              </w:tc>
              <w:tc>
                <w:tcPr>
                  <w:tcW w:w="1235" w:type="dxa"/>
                  <w:vAlign w:val="center"/>
                </w:tcPr>
                <w:p w14:paraId="39F0D40D">
                  <w:pPr>
                    <w:pStyle w:val="15"/>
                    <w:rPr>
                      <w:rFonts w:hint="default"/>
                      <w:lang w:val="en-US" w:eastAsia="zh-CN"/>
                    </w:rPr>
                  </w:pPr>
                  <w:r>
                    <w:rPr>
                      <w:rFonts w:hint="eastAsia"/>
                      <w:lang w:val="en-US" w:eastAsia="zh-CN"/>
                    </w:rPr>
                    <w:t>1</w:t>
                  </w:r>
                </w:p>
              </w:tc>
            </w:tr>
            <w:tr w14:paraId="0DEB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4" w:type="dxa"/>
                  <w:gridSpan w:val="3"/>
                  <w:vAlign w:val="center"/>
                </w:tcPr>
                <w:p w14:paraId="6FA1A6D1">
                  <w:pPr>
                    <w:pStyle w:val="15"/>
                  </w:pPr>
                  <w:r>
                    <w:rPr>
                      <w:rFonts w:hint="eastAsia"/>
                    </w:rPr>
                    <w:t>合计</w:t>
                  </w:r>
                </w:p>
              </w:tc>
              <w:tc>
                <w:tcPr>
                  <w:tcW w:w="1235" w:type="dxa"/>
                  <w:vAlign w:val="center"/>
                </w:tcPr>
                <w:p w14:paraId="05E095A4">
                  <w:pPr>
                    <w:pStyle w:val="15"/>
                    <w:rPr>
                      <w:rFonts w:hint="default" w:eastAsia="宋体"/>
                      <w:lang w:val="en-US" w:eastAsia="zh-CN"/>
                    </w:rPr>
                  </w:pPr>
                  <w:r>
                    <w:rPr>
                      <w:rFonts w:hint="eastAsia"/>
                      <w:lang w:val="en-US" w:eastAsia="zh-CN"/>
                    </w:rPr>
                    <w:t>20</w:t>
                  </w:r>
                </w:p>
              </w:tc>
            </w:tr>
          </w:tbl>
          <w:p w14:paraId="2EFF238F">
            <w:pPr>
              <w:pStyle w:val="16"/>
              <w:ind w:firstLine="0" w:firstLineChars="0"/>
            </w:pPr>
          </w:p>
        </w:tc>
      </w:tr>
    </w:tbl>
    <w:p w14:paraId="756B77F5">
      <w:pPr>
        <w:ind w:firstLine="480"/>
      </w:pPr>
      <w:r>
        <w:rPr>
          <w:rFonts w:hint="eastAsia"/>
        </w:rPr>
        <w:br w:type="page"/>
      </w:r>
    </w:p>
    <w:p w14:paraId="30B2C557">
      <w:pPr>
        <w:pStyle w:val="2"/>
        <w:numPr>
          <w:ilvl w:val="0"/>
          <w:numId w:val="3"/>
        </w:numPr>
      </w:pPr>
      <w:bookmarkStart w:id="13" w:name="_Hlk54167917"/>
      <w:bookmarkStart w:id="14" w:name="_Toc2655"/>
      <w:bookmarkStart w:id="15" w:name="_Toc15169"/>
      <w:r>
        <w:t>环境保护措施监督检查清单</w:t>
      </w:r>
      <w:bookmarkEnd w:id="13"/>
      <w:bookmarkEnd w:id="14"/>
      <w:bookmarkEnd w:id="15"/>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7"/>
        <w:gridCol w:w="1337"/>
        <w:gridCol w:w="2627"/>
        <w:gridCol w:w="2199"/>
      </w:tblGrid>
      <w:tr w14:paraId="751C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tcBorders>
              <w:tl2br w:val="single" w:color="auto" w:sz="4" w:space="0"/>
            </w:tcBorders>
            <w:vAlign w:val="center"/>
          </w:tcPr>
          <w:p w14:paraId="5D6E0B39">
            <w:pPr>
              <w:pStyle w:val="5"/>
            </w:pPr>
            <w:r>
              <w:rPr>
                <w:rFonts w:hint="eastAsia"/>
              </w:rPr>
              <w:t xml:space="preserve">  </w:t>
            </w:r>
            <w:r>
              <w:t>内容</w:t>
            </w:r>
          </w:p>
          <w:p w14:paraId="2426F3A8">
            <w:pPr>
              <w:pStyle w:val="5"/>
              <w:jc w:val="both"/>
            </w:pPr>
            <w:r>
              <w:t>要素</w:t>
            </w:r>
          </w:p>
        </w:tc>
        <w:tc>
          <w:tcPr>
            <w:tcW w:w="784" w:type="pct"/>
            <w:vAlign w:val="center"/>
          </w:tcPr>
          <w:p w14:paraId="112431D9">
            <w:pPr>
              <w:pStyle w:val="5"/>
            </w:pPr>
            <w:r>
              <w:t>排放口(编号、名称)/污染源</w:t>
            </w:r>
          </w:p>
        </w:tc>
        <w:tc>
          <w:tcPr>
            <w:tcW w:w="784" w:type="pct"/>
            <w:vAlign w:val="center"/>
          </w:tcPr>
          <w:p w14:paraId="5E11B948">
            <w:pPr>
              <w:pStyle w:val="5"/>
            </w:pPr>
            <w:r>
              <w:t>污染物</w:t>
            </w:r>
          </w:p>
          <w:p w14:paraId="529ECCDC">
            <w:pPr>
              <w:pStyle w:val="5"/>
            </w:pPr>
            <w:r>
              <w:t>项目</w:t>
            </w:r>
          </w:p>
        </w:tc>
        <w:tc>
          <w:tcPr>
            <w:tcW w:w="1541" w:type="pct"/>
            <w:vAlign w:val="center"/>
          </w:tcPr>
          <w:p w14:paraId="5866E606">
            <w:pPr>
              <w:pStyle w:val="5"/>
            </w:pPr>
            <w:r>
              <w:t>环境保护措施</w:t>
            </w:r>
          </w:p>
        </w:tc>
        <w:tc>
          <w:tcPr>
            <w:tcW w:w="1289" w:type="pct"/>
            <w:vAlign w:val="center"/>
          </w:tcPr>
          <w:p w14:paraId="25713E92">
            <w:pPr>
              <w:pStyle w:val="5"/>
            </w:pPr>
            <w:r>
              <w:t>执行标准</w:t>
            </w:r>
          </w:p>
        </w:tc>
      </w:tr>
      <w:tr w14:paraId="6DE7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Merge w:val="restart"/>
            <w:vAlign w:val="center"/>
          </w:tcPr>
          <w:p w14:paraId="65C9273D">
            <w:pPr>
              <w:pStyle w:val="5"/>
            </w:pPr>
            <w:r>
              <w:t>大气</w:t>
            </w:r>
          </w:p>
          <w:p w14:paraId="52E9B500">
            <w:pPr>
              <w:pStyle w:val="5"/>
            </w:pPr>
            <w:r>
              <w:t>环境</w:t>
            </w:r>
          </w:p>
        </w:tc>
        <w:tc>
          <w:tcPr>
            <w:tcW w:w="784" w:type="pct"/>
            <w:vAlign w:val="center"/>
          </w:tcPr>
          <w:p w14:paraId="3CC73F16">
            <w:pPr>
              <w:pStyle w:val="15"/>
              <w:ind w:firstLine="0" w:firstLineChars="0"/>
              <w:rPr>
                <w:sz w:val="24"/>
                <w:szCs w:val="24"/>
              </w:rPr>
            </w:pPr>
            <w:r>
              <w:rPr>
                <w:rFonts w:hint="eastAsia"/>
                <w:sz w:val="24"/>
                <w:szCs w:val="24"/>
                <w:lang w:val="en-US" w:eastAsia="zh-CN"/>
              </w:rPr>
              <w:t>热风炉</w:t>
            </w:r>
            <w:r>
              <w:rPr>
                <w:rFonts w:hint="eastAsia"/>
                <w:sz w:val="24"/>
                <w:szCs w:val="24"/>
              </w:rPr>
              <w:t>废气</w:t>
            </w:r>
          </w:p>
        </w:tc>
        <w:tc>
          <w:tcPr>
            <w:tcW w:w="784" w:type="pct"/>
            <w:vAlign w:val="center"/>
          </w:tcPr>
          <w:p w14:paraId="015E5436">
            <w:pPr>
              <w:pStyle w:val="5"/>
            </w:pPr>
            <w:r>
              <w:rPr>
                <w:rFonts w:hint="eastAsia"/>
              </w:rPr>
              <w:t>颗粒物、二氧化硫、氮氧化物</w:t>
            </w:r>
          </w:p>
        </w:tc>
        <w:tc>
          <w:tcPr>
            <w:tcW w:w="1541" w:type="pct"/>
            <w:vAlign w:val="center"/>
          </w:tcPr>
          <w:p w14:paraId="17AC8FD2">
            <w:pPr>
              <w:pStyle w:val="15"/>
              <w:ind w:firstLine="0" w:firstLineChars="0"/>
              <w:rPr>
                <w:sz w:val="24"/>
                <w:szCs w:val="24"/>
              </w:rPr>
            </w:pPr>
            <w:r>
              <w:rPr>
                <w:sz w:val="24"/>
                <w:szCs w:val="24"/>
              </w:rPr>
              <w:t>经</w:t>
            </w:r>
            <w:r>
              <w:rPr>
                <w:rFonts w:hint="eastAsia"/>
                <w:color w:val="auto"/>
                <w:sz w:val="24"/>
                <w:szCs w:val="24"/>
                <w:highlight w:val="none"/>
                <w:lang w:eastAsia="zh-CN"/>
              </w:rPr>
              <w:t>脉冲布袋除尘</w:t>
            </w:r>
            <w:r>
              <w:rPr>
                <w:sz w:val="24"/>
                <w:szCs w:val="24"/>
              </w:rPr>
              <w:t>处理后</w:t>
            </w:r>
            <w:r>
              <w:rPr>
                <w:rFonts w:hint="eastAsia"/>
                <w:sz w:val="24"/>
                <w:szCs w:val="24"/>
                <w:lang w:val="en-US" w:eastAsia="zh-CN"/>
              </w:rPr>
              <w:t>15</w:t>
            </w:r>
            <w:r>
              <w:rPr>
                <w:sz w:val="24"/>
                <w:szCs w:val="24"/>
              </w:rPr>
              <w:t>m排气筒外排</w:t>
            </w:r>
          </w:p>
        </w:tc>
        <w:tc>
          <w:tcPr>
            <w:tcW w:w="1289" w:type="pct"/>
            <w:vAlign w:val="center"/>
          </w:tcPr>
          <w:p w14:paraId="188B2FAB">
            <w:pPr>
              <w:pStyle w:val="5"/>
            </w:pPr>
            <w:r>
              <w:rPr>
                <w:rFonts w:hint="eastAsia"/>
                <w:u w:val="none"/>
              </w:rPr>
              <w:t>《湖南省工业炉窑大气污染综合治理实施方案》</w:t>
            </w:r>
          </w:p>
        </w:tc>
      </w:tr>
      <w:tr w14:paraId="2A27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Merge w:val="continue"/>
            <w:vAlign w:val="center"/>
          </w:tcPr>
          <w:p w14:paraId="4F82366A">
            <w:pPr>
              <w:pStyle w:val="5"/>
            </w:pPr>
          </w:p>
        </w:tc>
        <w:tc>
          <w:tcPr>
            <w:tcW w:w="784" w:type="pct"/>
            <w:vAlign w:val="center"/>
          </w:tcPr>
          <w:p w14:paraId="55B723F2">
            <w:pPr>
              <w:pStyle w:val="15"/>
              <w:ind w:firstLine="0" w:firstLineChars="0"/>
              <w:rPr>
                <w:sz w:val="24"/>
                <w:szCs w:val="24"/>
              </w:rPr>
            </w:pPr>
            <w:r>
              <w:rPr>
                <w:rFonts w:hint="eastAsia"/>
                <w:sz w:val="24"/>
                <w:szCs w:val="24"/>
                <w:u w:val="none"/>
                <w:lang w:val="en-US" w:eastAsia="zh-CN"/>
              </w:rPr>
              <w:t>粉碎挤出废气</w:t>
            </w:r>
          </w:p>
        </w:tc>
        <w:tc>
          <w:tcPr>
            <w:tcW w:w="784" w:type="pct"/>
            <w:vAlign w:val="center"/>
          </w:tcPr>
          <w:p w14:paraId="09B5399A">
            <w:pPr>
              <w:pStyle w:val="5"/>
              <w:rPr>
                <w:rFonts w:hint="default" w:eastAsia="宋体"/>
                <w:lang w:val="en-US" w:eastAsia="zh-CN"/>
              </w:rPr>
            </w:pPr>
            <w:r>
              <w:rPr>
                <w:rFonts w:hint="eastAsia"/>
                <w:lang w:val="en-US" w:eastAsia="zh-CN"/>
              </w:rPr>
              <w:t>颗粒物、非甲烷总烃</w:t>
            </w:r>
          </w:p>
        </w:tc>
        <w:tc>
          <w:tcPr>
            <w:tcW w:w="1541" w:type="pct"/>
            <w:vMerge w:val="restart"/>
            <w:vAlign w:val="center"/>
          </w:tcPr>
          <w:p w14:paraId="17D88A7B">
            <w:pPr>
              <w:pStyle w:val="15"/>
              <w:ind w:firstLine="0" w:firstLineChars="0"/>
              <w:rPr>
                <w:rFonts w:hint="eastAsia" w:eastAsia="宋体"/>
                <w:sz w:val="24"/>
                <w:szCs w:val="24"/>
                <w:lang w:eastAsia="zh-CN"/>
              </w:rPr>
            </w:pPr>
            <w:r>
              <w:rPr>
                <w:rFonts w:hint="eastAsia"/>
                <w:sz w:val="24"/>
                <w:szCs w:val="24"/>
                <w:u w:val="none"/>
                <w:lang w:val="en-US" w:eastAsia="zh-CN"/>
              </w:rPr>
              <w:t>集气罩收集后水喷淋+活性炭+15m排气筒外排</w:t>
            </w:r>
          </w:p>
        </w:tc>
        <w:tc>
          <w:tcPr>
            <w:tcW w:w="1289" w:type="pct"/>
            <w:vMerge w:val="restart"/>
            <w:vAlign w:val="center"/>
          </w:tcPr>
          <w:p w14:paraId="79641D57">
            <w:pPr>
              <w:pStyle w:val="5"/>
            </w:pPr>
            <w:r>
              <w:rPr>
                <w:rFonts w:hint="eastAsia"/>
              </w:rPr>
              <w:t>《玻璃工业大气污染物排放标准》（GB26453-2022）</w:t>
            </w:r>
          </w:p>
        </w:tc>
      </w:tr>
      <w:tr w14:paraId="2AD8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Merge w:val="continue"/>
            <w:vAlign w:val="center"/>
          </w:tcPr>
          <w:p w14:paraId="4DFD1667">
            <w:pPr>
              <w:pStyle w:val="5"/>
            </w:pPr>
          </w:p>
        </w:tc>
        <w:tc>
          <w:tcPr>
            <w:tcW w:w="784" w:type="pct"/>
            <w:vAlign w:val="center"/>
          </w:tcPr>
          <w:p w14:paraId="1F46F242">
            <w:pPr>
              <w:pStyle w:val="15"/>
              <w:ind w:firstLine="0" w:firstLineChars="0"/>
              <w:rPr>
                <w:rFonts w:hint="eastAsia"/>
                <w:sz w:val="24"/>
                <w:szCs w:val="24"/>
              </w:rPr>
            </w:pPr>
            <w:r>
              <w:rPr>
                <w:rFonts w:hint="eastAsia"/>
                <w:sz w:val="24"/>
                <w:szCs w:val="24"/>
                <w:lang w:val="en-US" w:eastAsia="zh-CN"/>
              </w:rPr>
              <w:t>烘干废气</w:t>
            </w:r>
          </w:p>
        </w:tc>
        <w:tc>
          <w:tcPr>
            <w:tcW w:w="784" w:type="pct"/>
            <w:vAlign w:val="center"/>
          </w:tcPr>
          <w:p w14:paraId="2DE325EE">
            <w:pPr>
              <w:pStyle w:val="5"/>
              <w:rPr>
                <w:rFonts w:hint="eastAsia"/>
              </w:rPr>
            </w:pPr>
            <w:r>
              <w:rPr>
                <w:rFonts w:hint="eastAsia"/>
                <w:lang w:val="en-US" w:eastAsia="zh-CN"/>
              </w:rPr>
              <w:t>非甲烷总烃</w:t>
            </w:r>
          </w:p>
        </w:tc>
        <w:tc>
          <w:tcPr>
            <w:tcW w:w="1541" w:type="pct"/>
            <w:vMerge w:val="continue"/>
            <w:vAlign w:val="center"/>
          </w:tcPr>
          <w:p w14:paraId="35CA5EB0">
            <w:pPr>
              <w:pStyle w:val="15"/>
              <w:ind w:firstLine="0" w:firstLineChars="0"/>
              <w:rPr>
                <w:rFonts w:hint="eastAsia"/>
                <w:sz w:val="24"/>
                <w:szCs w:val="24"/>
              </w:rPr>
            </w:pPr>
          </w:p>
        </w:tc>
        <w:tc>
          <w:tcPr>
            <w:tcW w:w="1289" w:type="pct"/>
            <w:vMerge w:val="continue"/>
            <w:vAlign w:val="center"/>
          </w:tcPr>
          <w:p w14:paraId="73E5FD21">
            <w:pPr>
              <w:pStyle w:val="5"/>
              <w:rPr>
                <w:rFonts w:hint="eastAsia"/>
              </w:rPr>
            </w:pPr>
          </w:p>
        </w:tc>
      </w:tr>
      <w:tr w14:paraId="6CAB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0DF6A9D9">
            <w:pPr>
              <w:pStyle w:val="5"/>
            </w:pPr>
            <w:r>
              <w:t>地表水环境</w:t>
            </w:r>
          </w:p>
        </w:tc>
        <w:tc>
          <w:tcPr>
            <w:tcW w:w="784" w:type="pct"/>
            <w:vAlign w:val="center"/>
          </w:tcPr>
          <w:p w14:paraId="73E24B15">
            <w:pPr>
              <w:pStyle w:val="5"/>
            </w:pPr>
            <w:r>
              <w:t>生活污水</w:t>
            </w:r>
          </w:p>
        </w:tc>
        <w:tc>
          <w:tcPr>
            <w:tcW w:w="784" w:type="pct"/>
            <w:vAlign w:val="center"/>
          </w:tcPr>
          <w:p w14:paraId="642658AC">
            <w:pPr>
              <w:pStyle w:val="5"/>
            </w:pPr>
            <w:r>
              <w:t>COD</w:t>
            </w:r>
            <w:r>
              <w:rPr>
                <w:vertAlign w:val="subscript"/>
              </w:rPr>
              <w:t>5</w:t>
            </w:r>
            <w:r>
              <w:t>、</w:t>
            </w:r>
          </w:p>
          <w:p w14:paraId="74F84322">
            <w:pPr>
              <w:pStyle w:val="5"/>
            </w:pPr>
            <w:r>
              <w:rPr>
                <w:rFonts w:hint="eastAsia"/>
              </w:rPr>
              <w:t>NH</w:t>
            </w:r>
            <w:r>
              <w:rPr>
                <w:rFonts w:hint="eastAsia"/>
                <w:vertAlign w:val="subscript"/>
              </w:rPr>
              <w:t>3</w:t>
            </w:r>
            <w:r>
              <w:rPr>
                <w:rFonts w:hint="eastAsia"/>
              </w:rPr>
              <w:t>-N</w:t>
            </w:r>
            <w:r>
              <w:t>等</w:t>
            </w:r>
          </w:p>
        </w:tc>
        <w:tc>
          <w:tcPr>
            <w:tcW w:w="1541" w:type="pct"/>
            <w:vAlign w:val="center"/>
          </w:tcPr>
          <w:p w14:paraId="7DAF26CE">
            <w:pPr>
              <w:pStyle w:val="5"/>
              <w:rPr>
                <w:rFonts w:hint="default" w:eastAsia="宋体"/>
                <w:lang w:val="en-US" w:eastAsia="zh-CN"/>
              </w:rPr>
            </w:pPr>
            <w:r>
              <w:rPr>
                <w:rFonts w:hint="eastAsia"/>
                <w:lang w:val="en-US" w:eastAsia="zh-CN"/>
              </w:rPr>
              <w:t>经</w:t>
            </w:r>
            <w:r>
              <w:t>化粪池</w:t>
            </w:r>
            <w:r>
              <w:rPr>
                <w:rFonts w:hint="eastAsia"/>
              </w:rPr>
              <w:t>处理后</w:t>
            </w:r>
            <w:r>
              <w:rPr>
                <w:rFonts w:hint="eastAsia"/>
                <w:lang w:val="en-US" w:eastAsia="zh-CN"/>
              </w:rPr>
              <w:t>用作农肥</w:t>
            </w:r>
          </w:p>
        </w:tc>
        <w:tc>
          <w:tcPr>
            <w:tcW w:w="1289" w:type="pct"/>
            <w:vAlign w:val="center"/>
          </w:tcPr>
          <w:p w14:paraId="1A0907AC">
            <w:pPr>
              <w:pStyle w:val="5"/>
            </w:pPr>
            <w:r>
              <w:t>不外排</w:t>
            </w:r>
          </w:p>
        </w:tc>
      </w:tr>
      <w:tr w14:paraId="1A5A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6753DF37">
            <w:pPr>
              <w:pStyle w:val="5"/>
            </w:pPr>
            <w:r>
              <w:t>声环境</w:t>
            </w:r>
          </w:p>
        </w:tc>
        <w:tc>
          <w:tcPr>
            <w:tcW w:w="784" w:type="pct"/>
            <w:vAlign w:val="center"/>
          </w:tcPr>
          <w:p w14:paraId="7DDA4314">
            <w:pPr>
              <w:pStyle w:val="5"/>
            </w:pPr>
            <w:r>
              <w:t>生产</w:t>
            </w:r>
          </w:p>
          <w:p w14:paraId="6C7BB2A4">
            <w:pPr>
              <w:pStyle w:val="5"/>
            </w:pPr>
            <w:r>
              <w:t>设备</w:t>
            </w:r>
          </w:p>
        </w:tc>
        <w:tc>
          <w:tcPr>
            <w:tcW w:w="784" w:type="pct"/>
            <w:vAlign w:val="center"/>
          </w:tcPr>
          <w:p w14:paraId="0227984A">
            <w:pPr>
              <w:pStyle w:val="5"/>
            </w:pPr>
            <w:r>
              <w:t>Leq(dBA)</w:t>
            </w:r>
          </w:p>
        </w:tc>
        <w:tc>
          <w:tcPr>
            <w:tcW w:w="1541" w:type="pct"/>
            <w:vAlign w:val="center"/>
          </w:tcPr>
          <w:p w14:paraId="710EDBD0">
            <w:pPr>
              <w:pStyle w:val="5"/>
            </w:pPr>
            <w:r>
              <w:t>基础减振</w:t>
            </w:r>
            <w:r>
              <w:rPr>
                <w:rFonts w:hint="eastAsia"/>
              </w:rPr>
              <w:t>、</w:t>
            </w:r>
            <w:r>
              <w:t>厂房隔声</w:t>
            </w:r>
            <w:r>
              <w:rPr>
                <w:rFonts w:hint="eastAsia"/>
              </w:rPr>
              <w:t>，</w:t>
            </w:r>
            <w:r>
              <w:t>加强管理</w:t>
            </w:r>
          </w:p>
        </w:tc>
        <w:tc>
          <w:tcPr>
            <w:tcW w:w="1289" w:type="pct"/>
            <w:vAlign w:val="center"/>
          </w:tcPr>
          <w:p w14:paraId="345F3F60">
            <w:pPr>
              <w:pStyle w:val="5"/>
            </w:pPr>
            <w:r>
              <w:rPr>
                <w:rFonts w:hint="eastAsia"/>
              </w:rPr>
              <w:t>《工业企业厂界环境噪声排放标准》（GB12348-2008）</w:t>
            </w:r>
          </w:p>
        </w:tc>
      </w:tr>
      <w:tr w14:paraId="6E38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2D8B1A45">
            <w:pPr>
              <w:pStyle w:val="5"/>
            </w:pPr>
            <w:r>
              <w:t>固体</w:t>
            </w:r>
          </w:p>
          <w:p w14:paraId="7A7ACA8D">
            <w:pPr>
              <w:pStyle w:val="5"/>
            </w:pPr>
            <w:r>
              <w:t>废物</w:t>
            </w:r>
          </w:p>
        </w:tc>
        <w:tc>
          <w:tcPr>
            <w:tcW w:w="4399" w:type="pct"/>
            <w:gridSpan w:val="4"/>
            <w:vAlign w:val="center"/>
          </w:tcPr>
          <w:p w14:paraId="061966C1">
            <w:pPr>
              <w:pStyle w:val="5"/>
              <w:rPr>
                <w:rFonts w:hint="eastAsia" w:eastAsia="宋体"/>
                <w:lang w:eastAsia="zh-CN"/>
              </w:rPr>
            </w:pPr>
            <w:r>
              <w:rPr>
                <w:rFonts w:hint="eastAsia"/>
              </w:rPr>
              <w:t>生活垃圾收集后交由环卫部门处理；热风炉灰渣和除尘器收集的粉尘收集后交由周边农户做肥料</w:t>
            </w:r>
            <w:r>
              <w:rPr>
                <w:rFonts w:hint="eastAsia"/>
                <w:lang w:eastAsia="zh-CN"/>
              </w:rPr>
              <w:t>；废活性炭暂存于危废暂存间，定期交由有资质单位处理</w:t>
            </w:r>
          </w:p>
        </w:tc>
      </w:tr>
      <w:tr w14:paraId="2FEC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4E578C73">
            <w:pPr>
              <w:pStyle w:val="5"/>
            </w:pPr>
            <w:r>
              <w:t>土壤及地下水污染防治措施</w:t>
            </w:r>
          </w:p>
        </w:tc>
        <w:tc>
          <w:tcPr>
            <w:tcW w:w="4399" w:type="pct"/>
            <w:gridSpan w:val="4"/>
            <w:vAlign w:val="center"/>
          </w:tcPr>
          <w:p w14:paraId="2C9122A2">
            <w:pPr>
              <w:pStyle w:val="5"/>
            </w:pPr>
            <w:r>
              <w:rPr>
                <w:sz w:val="24"/>
                <w:szCs w:val="24"/>
                <w:u w:val="none" w:color="auto"/>
              </w:rPr>
              <w:t>危废暂存间</w:t>
            </w:r>
            <w:r>
              <w:rPr>
                <w:rFonts w:hint="eastAsia"/>
                <w:sz w:val="24"/>
                <w:szCs w:val="24"/>
                <w:u w:val="none" w:color="auto"/>
                <w:lang w:val="en-US" w:eastAsia="zh-CN"/>
              </w:rPr>
              <w:t>进行重点防渗，采取有效的</w:t>
            </w:r>
            <w:r>
              <w:rPr>
                <w:sz w:val="24"/>
                <w:szCs w:val="24"/>
                <w:u w:val="none" w:color="auto"/>
              </w:rPr>
              <w:t>防雨、防渗漏、防溢流</w:t>
            </w:r>
            <w:r>
              <w:rPr>
                <w:rFonts w:hint="eastAsia"/>
                <w:sz w:val="24"/>
                <w:szCs w:val="24"/>
                <w:u w:val="none" w:color="auto"/>
                <w:lang w:val="en-US" w:eastAsia="zh-CN"/>
              </w:rPr>
              <w:t>措施，加强危险废物收集、贮存的管理；生产车间地面、化粪池</w:t>
            </w:r>
            <w:r>
              <w:rPr>
                <w:rFonts w:hint="eastAsia"/>
                <w:sz w:val="24"/>
                <w:szCs w:val="24"/>
                <w:u w:val="none" w:color="auto"/>
                <w:lang w:eastAsia="zh-CN"/>
              </w:rPr>
              <w:t>采取</w:t>
            </w:r>
            <w:r>
              <w:rPr>
                <w:rFonts w:hint="eastAsia"/>
                <w:sz w:val="24"/>
                <w:szCs w:val="24"/>
                <w:u w:val="none" w:color="auto"/>
                <w:lang w:val="en-US" w:eastAsia="zh-CN"/>
              </w:rPr>
              <w:t>一般</w:t>
            </w:r>
            <w:r>
              <w:rPr>
                <w:rFonts w:hint="eastAsia"/>
                <w:sz w:val="24"/>
                <w:szCs w:val="24"/>
                <w:u w:val="none" w:color="auto"/>
                <w:lang w:eastAsia="zh-CN"/>
              </w:rPr>
              <w:t>防渗措施。</w:t>
            </w:r>
          </w:p>
        </w:tc>
      </w:tr>
      <w:tr w14:paraId="6B15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2901F330">
            <w:pPr>
              <w:pStyle w:val="5"/>
            </w:pPr>
            <w:r>
              <w:t>环境风险防范措施</w:t>
            </w:r>
          </w:p>
        </w:tc>
        <w:tc>
          <w:tcPr>
            <w:tcW w:w="4399" w:type="pct"/>
            <w:gridSpan w:val="4"/>
            <w:vAlign w:val="center"/>
          </w:tcPr>
          <w:p w14:paraId="4F0B7594">
            <w:pPr>
              <w:pStyle w:val="5"/>
            </w:pPr>
            <w:r>
              <w:rPr>
                <w:rFonts w:hint="eastAsia"/>
              </w:rPr>
              <w:t>①制定风险防范管理制度；②危险废物设置危险废物暂存间暂存，明确各类废弃物标识，分类堆放，设置导流沟或者托盘防止泄漏，暂存间做好相应防渗等措施。③加强设备保养和维护，保证设备的正常</w:t>
            </w:r>
          </w:p>
        </w:tc>
      </w:tr>
      <w:tr w14:paraId="67FD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0" w:type="pct"/>
            <w:vAlign w:val="center"/>
          </w:tcPr>
          <w:p w14:paraId="63ABF8F5">
            <w:pPr>
              <w:pStyle w:val="5"/>
            </w:pPr>
            <w:r>
              <w:t>其他环境管理要求</w:t>
            </w:r>
          </w:p>
        </w:tc>
        <w:tc>
          <w:tcPr>
            <w:tcW w:w="4399" w:type="pct"/>
            <w:gridSpan w:val="4"/>
            <w:vAlign w:val="center"/>
          </w:tcPr>
          <w:p w14:paraId="3EDD15FA">
            <w:pPr>
              <w:pStyle w:val="5"/>
              <w:ind w:firstLine="480" w:firstLineChars="200"/>
              <w:jc w:val="both"/>
            </w:pPr>
            <w:r>
              <w:t>①环境管理</w:t>
            </w:r>
          </w:p>
          <w:p w14:paraId="27FAC329">
            <w:pPr>
              <w:pStyle w:val="5"/>
              <w:ind w:firstLine="480" w:firstLineChars="200"/>
              <w:jc w:val="both"/>
            </w:pPr>
            <w:r>
              <w:t>根据《关于开展排放口规范化整治工作的通知》（国家环境保护总局环发[1999]24号）及《排放口规范化整治技术》（国家环境保护总局环发[1999]24 号文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54F89874">
            <w:pPr>
              <w:pStyle w:val="5"/>
              <w:ind w:firstLine="480" w:firstLineChars="200"/>
              <w:jc w:val="both"/>
            </w:pPr>
            <w: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1A41371D">
            <w:pPr>
              <w:pStyle w:val="5"/>
              <w:ind w:firstLine="480" w:firstLineChars="200"/>
              <w:jc w:val="both"/>
            </w:pPr>
            <w:r>
              <w:t>②</w:t>
            </w:r>
            <w:r>
              <w:rPr>
                <w:rFonts w:hint="eastAsia"/>
              </w:rPr>
              <w:t>排污许可</w:t>
            </w:r>
          </w:p>
          <w:p w14:paraId="7E3DD80E">
            <w:pPr>
              <w:pStyle w:val="5"/>
              <w:ind w:firstLine="480" w:firstLineChars="200"/>
              <w:jc w:val="both"/>
            </w:pPr>
            <w:r>
              <w:t>根据《排污许可证申请与核发技术规范</w:t>
            </w:r>
            <w:r>
              <w:rPr>
                <w:rFonts w:hint="eastAsia"/>
              </w:rPr>
              <w:t xml:space="preserve">  </w:t>
            </w:r>
            <w:r>
              <w:t>总则》（HJ942-2018）、《排污许可管理办法（试行）》（环保部令第48号）及</w:t>
            </w:r>
            <w:r>
              <w:rPr>
                <w:highlight w:val="none"/>
              </w:rPr>
              <w:t>《</w:t>
            </w:r>
            <w:r>
              <w:rPr>
                <w:rFonts w:hint="eastAsia"/>
                <w:highlight w:val="none"/>
                <w:lang w:val="en-US" w:eastAsia="zh-CN"/>
              </w:rPr>
              <w:t>2020年纳入排污许可管理的行业和管理类别表</w:t>
            </w:r>
            <w:r>
              <w:rPr>
                <w:highlight w:val="none"/>
              </w:rPr>
              <w:t>》</w:t>
            </w:r>
            <w:r>
              <w:t>，</w:t>
            </w:r>
            <w:r>
              <w:rPr>
                <w:b w:val="0"/>
                <w:bCs w:val="0"/>
                <w:color w:val="auto"/>
              </w:rPr>
              <w:t>本项目</w:t>
            </w:r>
            <w:r>
              <w:rPr>
                <w:rFonts w:hint="eastAsia"/>
                <w:b w:val="0"/>
                <w:bCs w:val="0"/>
                <w:color w:val="auto"/>
                <w:lang w:val="en-US" w:eastAsia="zh-CN"/>
              </w:rPr>
              <w:t>属于</w:t>
            </w:r>
            <w:r>
              <w:rPr>
                <w:rFonts w:hint="eastAsia"/>
                <w:b w:val="0"/>
                <w:bCs w:val="0"/>
                <w:color w:val="auto"/>
                <w:lang w:eastAsia="zh-CN"/>
              </w:rPr>
              <w:t>“</w:t>
            </w:r>
            <w:r>
              <w:rPr>
                <w:rFonts w:hint="eastAsia"/>
                <w:b w:val="0"/>
                <w:bCs w:val="0"/>
                <w:color w:val="auto"/>
                <w:lang w:val="en-US" w:eastAsia="zh-CN"/>
              </w:rPr>
              <w:t>二十五、非金属矿物制品业30 玻璃纤维和玻璃纤维增强塑料制品制造306</w:t>
            </w:r>
            <w:r>
              <w:rPr>
                <w:rFonts w:hint="eastAsia"/>
                <w:b w:val="0"/>
                <w:bCs w:val="0"/>
                <w:color w:val="auto"/>
                <w:lang w:eastAsia="zh-CN"/>
              </w:rPr>
              <w:t>”</w:t>
            </w:r>
            <w:r>
              <w:rPr>
                <w:b w:val="0"/>
                <w:bCs w:val="0"/>
                <w:color w:val="auto"/>
              </w:rPr>
              <w:t>，</w:t>
            </w:r>
            <w:r>
              <w:rPr>
                <w:rFonts w:hint="eastAsia"/>
                <w:b w:val="0"/>
                <w:bCs w:val="0"/>
                <w:color w:val="auto"/>
                <w:lang w:val="en-US" w:eastAsia="zh-CN"/>
              </w:rPr>
              <w:t>不涉及“以煤、石油焦、油和发生炉煤气为燃料的、以天然气为燃料的”</w:t>
            </w:r>
            <w:r>
              <w:rPr>
                <w:rFonts w:hint="eastAsia"/>
                <w:b w:val="0"/>
                <w:bCs w:val="0"/>
                <w:color w:val="auto"/>
              </w:rPr>
              <w:t>，为</w:t>
            </w:r>
            <w:r>
              <w:rPr>
                <w:rFonts w:hint="eastAsia"/>
                <w:b w:val="0"/>
                <w:bCs w:val="0"/>
                <w:color w:val="auto"/>
                <w:lang w:eastAsia="zh-CN"/>
              </w:rPr>
              <w:t>“</w:t>
            </w:r>
            <w:r>
              <w:rPr>
                <w:rFonts w:hint="eastAsia"/>
                <w:b w:val="0"/>
                <w:bCs w:val="0"/>
                <w:color w:val="auto"/>
                <w:lang w:val="en-US" w:eastAsia="zh-CN"/>
              </w:rPr>
              <w:t>登记</w:t>
            </w:r>
            <w:r>
              <w:rPr>
                <w:b w:val="0"/>
                <w:bCs w:val="0"/>
                <w:color w:val="auto"/>
              </w:rPr>
              <w:t>管理</w:t>
            </w:r>
            <w:r>
              <w:rPr>
                <w:rFonts w:hint="eastAsia"/>
                <w:b w:val="0"/>
                <w:bCs w:val="0"/>
                <w:color w:val="auto"/>
                <w:lang w:eastAsia="zh-CN"/>
              </w:rPr>
              <w:t>”</w:t>
            </w:r>
            <w:r>
              <w:rPr>
                <w:rFonts w:hint="eastAsia"/>
                <w:b w:val="0"/>
                <w:bCs w:val="0"/>
                <w:color w:val="auto"/>
              </w:rPr>
              <w:t>，</w:t>
            </w:r>
            <w:r>
              <w:t>在排污前须</w:t>
            </w:r>
            <w:r>
              <w:rPr>
                <w:rFonts w:hint="eastAsia"/>
              </w:rPr>
              <w:t>依法</w:t>
            </w:r>
            <w:r>
              <w:t>履行排污许可手续。</w:t>
            </w:r>
          </w:p>
          <w:p w14:paraId="097A597C">
            <w:pPr>
              <w:pStyle w:val="5"/>
              <w:ind w:firstLine="480" w:firstLineChars="200"/>
              <w:jc w:val="both"/>
            </w:pPr>
            <w:r>
              <w:t>③排污口及标识标牌规范化</w:t>
            </w:r>
          </w:p>
          <w:p w14:paraId="5E30706F">
            <w:pPr>
              <w:pStyle w:val="5"/>
              <w:ind w:firstLine="480" w:firstLineChars="200"/>
              <w:jc w:val="both"/>
            </w:pPr>
            <w:r>
              <w:t>企业根据《排污口规范化整治技术要求（试行）》（环监[1996]470号）和《&lt;环境保护图形标志&gt;实施细则（试行）》（环监[1996]463 号）等文件的规定，各废气和废水排放口均设置标准化采样孔或者采样口，各固废暂存场、主要噪声源均应设置规范化的标志牌。</w:t>
            </w:r>
          </w:p>
          <w:p w14:paraId="699E4E8B">
            <w:pPr>
              <w:pStyle w:val="5"/>
              <w:ind w:firstLine="480" w:firstLineChars="200"/>
              <w:jc w:val="both"/>
            </w:pPr>
            <w:r>
              <w:rPr>
                <w:rFonts w:hint="eastAsia"/>
              </w:rPr>
              <w:t>A、</w:t>
            </w:r>
            <w:r>
              <w:t>排污口管理。建设单位应在各个排污口处竖立标志牌，并如实填《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782DB690">
            <w:pPr>
              <w:pStyle w:val="5"/>
              <w:ind w:firstLine="480" w:firstLineChars="200"/>
              <w:jc w:val="both"/>
            </w:pPr>
            <w:r>
              <w:rPr>
                <w:rFonts w:hint="eastAsia"/>
              </w:rPr>
              <w:t>B、</w:t>
            </w:r>
            <w:r>
              <w:t>环境保护图形标志在厂区的废气排放源、固体废物贮存处置场应设置环境保护图形标志，图形符号分为提示图形和警告图形符号两种，分别按GB15562.1-1995、GB15562.2-1995执行。</w:t>
            </w:r>
          </w:p>
          <w:p w14:paraId="16C2B170">
            <w:pPr>
              <w:pStyle w:val="17"/>
            </w:pPr>
            <w:r>
              <w:t>表5-1</w:t>
            </w:r>
            <w:r>
              <w:rPr>
                <w:rFonts w:hint="eastAsia"/>
              </w:rPr>
              <w:t xml:space="preserve">  </w:t>
            </w:r>
            <w:r>
              <w:t>环境保护图形符号</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2440"/>
              <w:gridCol w:w="1960"/>
              <w:gridCol w:w="978"/>
              <w:gridCol w:w="1257"/>
            </w:tblGrid>
            <w:tr w14:paraId="1102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067D34C8">
                  <w:pPr>
                    <w:pStyle w:val="15"/>
                  </w:pPr>
                  <w:r>
                    <w:t>序号</w:t>
                  </w:r>
                </w:p>
              </w:tc>
              <w:tc>
                <w:tcPr>
                  <w:tcW w:w="1677" w:type="pct"/>
                  <w:vAlign w:val="center"/>
                </w:tcPr>
                <w:p w14:paraId="3C30699F">
                  <w:pPr>
                    <w:pStyle w:val="15"/>
                  </w:pPr>
                  <w:r>
                    <w:t>提示图形符号</w:t>
                  </w:r>
                </w:p>
              </w:tc>
              <w:tc>
                <w:tcPr>
                  <w:tcW w:w="1347" w:type="pct"/>
                  <w:vAlign w:val="center"/>
                </w:tcPr>
                <w:p w14:paraId="6C699E77">
                  <w:pPr>
                    <w:pStyle w:val="15"/>
                  </w:pPr>
                  <w:r>
                    <w:t>警告图形符号</w:t>
                  </w:r>
                </w:p>
              </w:tc>
              <w:tc>
                <w:tcPr>
                  <w:tcW w:w="672" w:type="pct"/>
                  <w:vAlign w:val="center"/>
                </w:tcPr>
                <w:p w14:paraId="2FE6B13D">
                  <w:pPr>
                    <w:pStyle w:val="15"/>
                  </w:pPr>
                  <w:r>
                    <w:t>名称</w:t>
                  </w:r>
                </w:p>
              </w:tc>
              <w:tc>
                <w:tcPr>
                  <w:tcW w:w="864" w:type="pct"/>
                  <w:vAlign w:val="center"/>
                </w:tcPr>
                <w:p w14:paraId="5A46A972">
                  <w:pPr>
                    <w:pStyle w:val="15"/>
                  </w:pPr>
                  <w:r>
                    <w:t>功能</w:t>
                  </w:r>
                </w:p>
              </w:tc>
            </w:tr>
            <w:tr w14:paraId="78E0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2E69EEA">
                  <w:pPr>
                    <w:pStyle w:val="15"/>
                  </w:pPr>
                  <w:r>
                    <w:rPr>
                      <w:rFonts w:hint="eastAsia"/>
                    </w:rPr>
                    <w:t>1</w:t>
                  </w:r>
                </w:p>
              </w:tc>
              <w:tc>
                <w:tcPr>
                  <w:tcW w:w="1677" w:type="pct"/>
                  <w:vAlign w:val="center"/>
                </w:tcPr>
                <w:p w14:paraId="6CDAF25F">
                  <w:pPr>
                    <w:pStyle w:val="15"/>
                  </w:pPr>
                  <w:r>
                    <w:rPr>
                      <w:szCs w:val="21"/>
                    </w:rPr>
                    <w:drawing>
                      <wp:inline distT="0" distB="0" distL="114300" distR="114300">
                        <wp:extent cx="1407795" cy="880110"/>
                        <wp:effectExtent l="0" t="0" r="1905" b="1524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8"/>
                                <a:stretch>
                                  <a:fillRect/>
                                </a:stretch>
                              </pic:blipFill>
                              <pic:spPr>
                                <a:xfrm>
                                  <a:off x="0" y="0"/>
                                  <a:ext cx="1407795" cy="880110"/>
                                </a:xfrm>
                                <a:prstGeom prst="rect">
                                  <a:avLst/>
                                </a:prstGeom>
                                <a:noFill/>
                                <a:ln>
                                  <a:noFill/>
                                </a:ln>
                              </pic:spPr>
                            </pic:pic>
                          </a:graphicData>
                        </a:graphic>
                      </wp:inline>
                    </w:drawing>
                  </w:r>
                </w:p>
              </w:tc>
              <w:tc>
                <w:tcPr>
                  <w:tcW w:w="1347" w:type="pct"/>
                  <w:vAlign w:val="center"/>
                </w:tcPr>
                <w:p w14:paraId="4AD1A65D">
                  <w:pPr>
                    <w:pStyle w:val="15"/>
                  </w:pPr>
                  <w:r>
                    <w:rPr>
                      <w:rFonts w:hint="eastAsia"/>
                      <w:szCs w:val="21"/>
                    </w:rPr>
                    <w:drawing>
                      <wp:inline distT="0" distB="0" distL="114300" distR="114300">
                        <wp:extent cx="992505" cy="883920"/>
                        <wp:effectExtent l="0" t="0" r="17145" b="11430"/>
                        <wp:docPr id="25" name="图片 9" descr="171090277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1710902773317"/>
                                <pic:cNvPicPr>
                                  <a:picLocks noChangeAspect="1"/>
                                </pic:cNvPicPr>
                              </pic:nvPicPr>
                              <pic:blipFill>
                                <a:blip r:embed="rId19"/>
                                <a:stretch>
                                  <a:fillRect/>
                                </a:stretch>
                              </pic:blipFill>
                              <pic:spPr>
                                <a:xfrm>
                                  <a:off x="0" y="0"/>
                                  <a:ext cx="992505" cy="883920"/>
                                </a:xfrm>
                                <a:prstGeom prst="rect">
                                  <a:avLst/>
                                </a:prstGeom>
                                <a:noFill/>
                                <a:ln>
                                  <a:noFill/>
                                </a:ln>
                              </pic:spPr>
                            </pic:pic>
                          </a:graphicData>
                        </a:graphic>
                      </wp:inline>
                    </w:drawing>
                  </w:r>
                </w:p>
              </w:tc>
              <w:tc>
                <w:tcPr>
                  <w:tcW w:w="672" w:type="pct"/>
                  <w:vAlign w:val="center"/>
                </w:tcPr>
                <w:p w14:paraId="298E4F0B">
                  <w:pPr>
                    <w:pStyle w:val="15"/>
                  </w:pPr>
                  <w:r>
                    <w:t>废气排放口</w:t>
                  </w:r>
                </w:p>
              </w:tc>
              <w:tc>
                <w:tcPr>
                  <w:tcW w:w="864" w:type="pct"/>
                  <w:vAlign w:val="center"/>
                </w:tcPr>
                <w:p w14:paraId="25B581CA">
                  <w:pPr>
                    <w:pStyle w:val="15"/>
                  </w:pPr>
                  <w:r>
                    <w:t>表示废气向大气环境排放</w:t>
                  </w:r>
                </w:p>
              </w:tc>
            </w:tr>
            <w:tr w14:paraId="697D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60704580">
                  <w:pPr>
                    <w:pStyle w:val="15"/>
                  </w:pPr>
                  <w:r>
                    <w:rPr>
                      <w:rFonts w:hint="eastAsia"/>
                    </w:rPr>
                    <w:t>2</w:t>
                  </w:r>
                </w:p>
              </w:tc>
              <w:tc>
                <w:tcPr>
                  <w:tcW w:w="1677" w:type="pct"/>
                  <w:vAlign w:val="center"/>
                </w:tcPr>
                <w:p w14:paraId="5C059F4B">
                  <w:pPr>
                    <w:pStyle w:val="15"/>
                  </w:pPr>
                  <w:r>
                    <w:rPr>
                      <w:szCs w:val="21"/>
                    </w:rPr>
                    <w:drawing>
                      <wp:inline distT="0" distB="0" distL="114300" distR="114300">
                        <wp:extent cx="1382395" cy="864235"/>
                        <wp:effectExtent l="0" t="0" r="8255" b="1206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20"/>
                                <a:stretch>
                                  <a:fillRect/>
                                </a:stretch>
                              </pic:blipFill>
                              <pic:spPr>
                                <a:xfrm>
                                  <a:off x="0" y="0"/>
                                  <a:ext cx="1382395" cy="864235"/>
                                </a:xfrm>
                                <a:prstGeom prst="rect">
                                  <a:avLst/>
                                </a:prstGeom>
                                <a:noFill/>
                                <a:ln>
                                  <a:noFill/>
                                </a:ln>
                              </pic:spPr>
                            </pic:pic>
                          </a:graphicData>
                        </a:graphic>
                      </wp:inline>
                    </w:drawing>
                  </w:r>
                </w:p>
              </w:tc>
              <w:tc>
                <w:tcPr>
                  <w:tcW w:w="1347" w:type="pct"/>
                  <w:vAlign w:val="center"/>
                </w:tcPr>
                <w:p w14:paraId="224C6AE1">
                  <w:pPr>
                    <w:pStyle w:val="15"/>
                  </w:pPr>
                  <w:r>
                    <w:rPr>
                      <w:rFonts w:hint="eastAsia"/>
                      <w:szCs w:val="21"/>
                    </w:rPr>
                    <w:drawing>
                      <wp:inline distT="0" distB="0" distL="114300" distR="114300">
                        <wp:extent cx="1014095" cy="878840"/>
                        <wp:effectExtent l="0" t="0" r="14605" b="16510"/>
                        <wp:docPr id="36" name="图片 11" descr="17109028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1710902844529"/>
                                <pic:cNvPicPr>
                                  <a:picLocks noChangeAspect="1"/>
                                </pic:cNvPicPr>
                              </pic:nvPicPr>
                              <pic:blipFill>
                                <a:blip r:embed="rId21"/>
                                <a:stretch>
                                  <a:fillRect/>
                                </a:stretch>
                              </pic:blipFill>
                              <pic:spPr>
                                <a:xfrm>
                                  <a:off x="0" y="0"/>
                                  <a:ext cx="1014095" cy="878840"/>
                                </a:xfrm>
                                <a:prstGeom prst="rect">
                                  <a:avLst/>
                                </a:prstGeom>
                                <a:noFill/>
                                <a:ln>
                                  <a:noFill/>
                                </a:ln>
                              </pic:spPr>
                            </pic:pic>
                          </a:graphicData>
                        </a:graphic>
                      </wp:inline>
                    </w:drawing>
                  </w:r>
                </w:p>
              </w:tc>
              <w:tc>
                <w:tcPr>
                  <w:tcW w:w="672" w:type="pct"/>
                  <w:vAlign w:val="center"/>
                </w:tcPr>
                <w:p w14:paraId="023E44C7">
                  <w:pPr>
                    <w:pStyle w:val="15"/>
                  </w:pPr>
                  <w:r>
                    <w:rPr>
                      <w:rFonts w:hint="eastAsia"/>
                      <w:szCs w:val="21"/>
                    </w:rPr>
                    <w:t>噪声排放源</w:t>
                  </w:r>
                </w:p>
              </w:tc>
              <w:tc>
                <w:tcPr>
                  <w:tcW w:w="864" w:type="pct"/>
                  <w:vAlign w:val="center"/>
                </w:tcPr>
                <w:p w14:paraId="57CF5AAD">
                  <w:pPr>
                    <w:pStyle w:val="15"/>
                  </w:pPr>
                  <w:r>
                    <w:rPr>
                      <w:rFonts w:hint="eastAsia"/>
                      <w:szCs w:val="21"/>
                    </w:rPr>
                    <w:t>表示噪声向外环境排放</w:t>
                  </w:r>
                </w:p>
              </w:tc>
            </w:tr>
            <w:tr w14:paraId="1A1F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191A271">
                  <w:pPr>
                    <w:pStyle w:val="15"/>
                  </w:pPr>
                  <w:r>
                    <w:rPr>
                      <w:rFonts w:hint="eastAsia"/>
                    </w:rPr>
                    <w:t>3</w:t>
                  </w:r>
                </w:p>
              </w:tc>
              <w:tc>
                <w:tcPr>
                  <w:tcW w:w="1677" w:type="pct"/>
                  <w:vAlign w:val="center"/>
                </w:tcPr>
                <w:p w14:paraId="0987656E">
                  <w:pPr>
                    <w:pStyle w:val="15"/>
                  </w:pPr>
                  <w:r>
                    <w:rPr>
                      <w:rFonts w:hint="eastAsia"/>
                      <w:szCs w:val="21"/>
                    </w:rPr>
                    <w:drawing>
                      <wp:inline distT="0" distB="0" distL="114300" distR="114300">
                        <wp:extent cx="1365250" cy="915670"/>
                        <wp:effectExtent l="0" t="0" r="6350" b="1778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22"/>
                                <a:stretch>
                                  <a:fillRect/>
                                </a:stretch>
                              </pic:blipFill>
                              <pic:spPr>
                                <a:xfrm>
                                  <a:off x="0" y="0"/>
                                  <a:ext cx="1365250" cy="915670"/>
                                </a:xfrm>
                                <a:prstGeom prst="rect">
                                  <a:avLst/>
                                </a:prstGeom>
                                <a:noFill/>
                                <a:ln>
                                  <a:noFill/>
                                </a:ln>
                              </pic:spPr>
                            </pic:pic>
                          </a:graphicData>
                        </a:graphic>
                      </wp:inline>
                    </w:drawing>
                  </w:r>
                </w:p>
              </w:tc>
              <w:tc>
                <w:tcPr>
                  <w:tcW w:w="1347" w:type="pct"/>
                  <w:vAlign w:val="center"/>
                </w:tcPr>
                <w:p w14:paraId="6CBA9643">
                  <w:pPr>
                    <w:pStyle w:val="15"/>
                  </w:pPr>
                  <w:r>
                    <w:rPr>
                      <w:rFonts w:hint="eastAsia"/>
                      <w:szCs w:val="21"/>
                    </w:rPr>
                    <w:drawing>
                      <wp:inline distT="0" distB="0" distL="114300" distR="114300">
                        <wp:extent cx="1039495" cy="887730"/>
                        <wp:effectExtent l="0" t="0" r="8255" b="7620"/>
                        <wp:docPr id="39" name="图片 13" descr="171090292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 descr="1710902921779"/>
                                <pic:cNvPicPr>
                                  <a:picLocks noChangeAspect="1"/>
                                </pic:cNvPicPr>
                              </pic:nvPicPr>
                              <pic:blipFill>
                                <a:blip r:embed="rId23"/>
                                <a:stretch>
                                  <a:fillRect/>
                                </a:stretch>
                              </pic:blipFill>
                              <pic:spPr>
                                <a:xfrm>
                                  <a:off x="0" y="0"/>
                                  <a:ext cx="1039495" cy="887730"/>
                                </a:xfrm>
                                <a:prstGeom prst="rect">
                                  <a:avLst/>
                                </a:prstGeom>
                                <a:noFill/>
                                <a:ln>
                                  <a:noFill/>
                                </a:ln>
                              </pic:spPr>
                            </pic:pic>
                          </a:graphicData>
                        </a:graphic>
                      </wp:inline>
                    </w:drawing>
                  </w:r>
                </w:p>
              </w:tc>
              <w:tc>
                <w:tcPr>
                  <w:tcW w:w="672" w:type="pct"/>
                  <w:vAlign w:val="center"/>
                </w:tcPr>
                <w:p w14:paraId="63730646">
                  <w:pPr>
                    <w:pStyle w:val="15"/>
                  </w:pPr>
                  <w:r>
                    <w:rPr>
                      <w:rFonts w:hint="eastAsia"/>
                      <w:szCs w:val="21"/>
                    </w:rPr>
                    <w:t>一般固体废物</w:t>
                  </w:r>
                </w:p>
              </w:tc>
              <w:tc>
                <w:tcPr>
                  <w:tcW w:w="864" w:type="pct"/>
                  <w:vAlign w:val="center"/>
                </w:tcPr>
                <w:p w14:paraId="4836A8A3">
                  <w:pPr>
                    <w:pStyle w:val="15"/>
                  </w:pPr>
                  <w:r>
                    <w:t>表示一般固体废物贮存、处置</w:t>
                  </w:r>
                </w:p>
              </w:tc>
            </w:tr>
          </w:tbl>
          <w:p w14:paraId="55A8A95E">
            <w:pPr>
              <w:pStyle w:val="17"/>
            </w:pPr>
          </w:p>
          <w:p w14:paraId="4C01852C">
            <w:pPr>
              <w:pStyle w:val="5"/>
              <w:ind w:firstLine="480" w:firstLineChars="200"/>
              <w:jc w:val="both"/>
            </w:pPr>
            <w:r>
              <w:t>④竣工环境保护验收</w:t>
            </w:r>
            <w:r>
              <w:rPr>
                <w:rFonts w:hint="eastAsia"/>
              </w:rPr>
              <w:t>内容和要求</w:t>
            </w:r>
          </w:p>
          <w:p w14:paraId="768CE54E">
            <w:pPr>
              <w:pStyle w:val="5"/>
              <w:ind w:firstLine="480" w:firstLineChars="200"/>
              <w:jc w:val="both"/>
            </w:pPr>
            <w:r>
              <w:t>建设项目竣工环境保护企业自行验收工作程序：</w:t>
            </w:r>
          </w:p>
          <w:p w14:paraId="2655B61A">
            <w:pPr>
              <w:pStyle w:val="5"/>
              <w:ind w:firstLine="480" w:firstLineChars="200"/>
              <w:jc w:val="both"/>
            </w:pPr>
            <w:r>
              <w:rPr>
                <w:rFonts w:hint="eastAsia"/>
              </w:rPr>
              <w:t>A、</w:t>
            </w:r>
            <w:r>
              <w:t>在建设项目竣工后、正式投入生产或运行前，企业按照环境影响报告表及其批复文件要求，对与主体工程配套建设的环境保护设施落实情况进行查验，落实“三同时”监督管理要求。同时在竣工验收之前，完成企业突发环境事件应急预案编制，并报主管部门备案。</w:t>
            </w:r>
          </w:p>
          <w:p w14:paraId="4C51B48D">
            <w:pPr>
              <w:pStyle w:val="5"/>
              <w:ind w:firstLine="480" w:firstLineChars="200"/>
              <w:jc w:val="both"/>
            </w:pPr>
            <w:r>
              <w:rPr>
                <w:rFonts w:hint="eastAsia"/>
              </w:rPr>
              <w:t>B、</w:t>
            </w:r>
            <w:r>
              <w:t>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5F42A799">
            <w:pPr>
              <w:pStyle w:val="5"/>
              <w:ind w:firstLine="480" w:firstLineChars="200"/>
              <w:jc w:val="both"/>
            </w:pPr>
            <w:r>
              <w:rPr>
                <w:rFonts w:hint="eastAsia"/>
              </w:rPr>
              <w:t>C、</w:t>
            </w:r>
            <w:r>
              <w:t>验收调查（监测）报告编制完成后，由企业法人组织对建设项目环境保护设施和环境保护措施进行验收，形成书面报告备查，并向社会公开。</w:t>
            </w:r>
          </w:p>
          <w:p w14:paraId="37BAEB26">
            <w:pPr>
              <w:pStyle w:val="5"/>
              <w:ind w:firstLine="480" w:firstLineChars="200"/>
              <w:jc w:val="both"/>
            </w:pPr>
            <w:r>
              <w:rPr>
                <w:rFonts w:hint="eastAsia"/>
              </w:rPr>
              <w:t>D、</w:t>
            </w:r>
            <w:r>
              <w:t>企业自行组织竣工环境保护验收时，应成立验收组，对建设项目环境保护设施及其他环境保护措施进行资料审查、现场踏勘，形成验收意见，验收组成员名单附后。</w:t>
            </w:r>
          </w:p>
        </w:tc>
      </w:tr>
    </w:tbl>
    <w:p w14:paraId="58D63F2A">
      <w:pPr>
        <w:ind w:firstLine="480"/>
      </w:pPr>
      <w:r>
        <w:rPr>
          <w:rFonts w:hint="eastAsia"/>
        </w:rPr>
        <w:br w:type="page"/>
      </w:r>
    </w:p>
    <w:p w14:paraId="3998ADE5">
      <w:pPr>
        <w:pStyle w:val="2"/>
        <w:numPr>
          <w:ilvl w:val="0"/>
          <w:numId w:val="3"/>
        </w:numPr>
      </w:pPr>
      <w:bookmarkStart w:id="16" w:name="_Toc17199"/>
      <w:bookmarkStart w:id="17" w:name="_Toc18087"/>
      <w:r>
        <w:rPr>
          <w:rFonts w:hint="eastAsia"/>
        </w:rPr>
        <w:t>结论</w:t>
      </w:r>
      <w:bookmarkEnd w:id="1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E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867503">
            <w:pPr>
              <w:pStyle w:val="3"/>
              <w:ind w:firstLine="480"/>
            </w:pPr>
            <w:r>
              <w:rPr>
                <w:rFonts w:hint="eastAsia"/>
                <w:lang w:eastAsia="zh-CN"/>
              </w:rPr>
              <w:t>年产6000吨玻璃纤维颗粒建设项目</w:t>
            </w:r>
            <w:r>
              <w:rPr>
                <w:rFonts w:hint="eastAsia"/>
              </w:rPr>
              <w:t>建设符合现行国家产业政策要求，选址地不占用生态红线，符合当地“三线一单”生态环境分区管控要求。通过严格落实报告表提出的各项污染防治措施和环境风险防控措施前提下，排放的污染物均能达标排放，其对周边区域环境影响较小。从环境保护的角度考虑，建设项目环境影响可行。</w:t>
            </w:r>
          </w:p>
          <w:p w14:paraId="30DAA942">
            <w:pPr>
              <w:ind w:firstLine="480"/>
            </w:pPr>
          </w:p>
          <w:p w14:paraId="56548925">
            <w:pPr>
              <w:ind w:firstLine="480"/>
            </w:pPr>
          </w:p>
          <w:p w14:paraId="1A0F508B">
            <w:pPr>
              <w:ind w:firstLine="480"/>
            </w:pPr>
          </w:p>
          <w:p w14:paraId="4853F623">
            <w:pPr>
              <w:ind w:firstLine="480"/>
            </w:pPr>
          </w:p>
          <w:p w14:paraId="3755898E">
            <w:pPr>
              <w:ind w:firstLine="480"/>
            </w:pPr>
          </w:p>
          <w:p w14:paraId="1CEEF9E1">
            <w:pPr>
              <w:ind w:firstLine="480"/>
            </w:pPr>
          </w:p>
          <w:p w14:paraId="5ED039C2">
            <w:pPr>
              <w:ind w:firstLine="480"/>
            </w:pPr>
          </w:p>
          <w:p w14:paraId="3857C398">
            <w:pPr>
              <w:ind w:firstLine="480"/>
            </w:pPr>
          </w:p>
          <w:p w14:paraId="137456F0">
            <w:pPr>
              <w:ind w:firstLine="480"/>
            </w:pPr>
          </w:p>
          <w:p w14:paraId="54A170F9">
            <w:pPr>
              <w:ind w:firstLine="480"/>
            </w:pPr>
          </w:p>
          <w:p w14:paraId="7B17F0B1">
            <w:pPr>
              <w:ind w:firstLine="480"/>
            </w:pPr>
          </w:p>
          <w:p w14:paraId="4507F6C6">
            <w:pPr>
              <w:ind w:firstLine="480"/>
            </w:pPr>
          </w:p>
          <w:p w14:paraId="433481A8">
            <w:pPr>
              <w:ind w:firstLine="480"/>
            </w:pPr>
          </w:p>
          <w:p w14:paraId="586B05EC">
            <w:pPr>
              <w:ind w:firstLine="480"/>
            </w:pPr>
          </w:p>
          <w:p w14:paraId="5C8ABD8E">
            <w:pPr>
              <w:ind w:firstLine="480"/>
            </w:pPr>
          </w:p>
          <w:p w14:paraId="761DF15E">
            <w:pPr>
              <w:ind w:firstLine="480"/>
            </w:pPr>
          </w:p>
          <w:p w14:paraId="5DFDEDCF">
            <w:pPr>
              <w:ind w:firstLine="480"/>
            </w:pPr>
          </w:p>
          <w:p w14:paraId="77DDDCCF">
            <w:pPr>
              <w:ind w:firstLine="480"/>
            </w:pPr>
          </w:p>
          <w:p w14:paraId="4A04D5ED">
            <w:pPr>
              <w:ind w:firstLine="480"/>
            </w:pPr>
          </w:p>
          <w:p w14:paraId="43647287">
            <w:pPr>
              <w:ind w:firstLine="480"/>
            </w:pPr>
          </w:p>
          <w:p w14:paraId="1D292BC4">
            <w:pPr>
              <w:ind w:firstLine="480"/>
            </w:pPr>
          </w:p>
          <w:p w14:paraId="4F83D0D7">
            <w:pPr>
              <w:ind w:firstLine="480"/>
            </w:pPr>
          </w:p>
          <w:p w14:paraId="71F4ADA4">
            <w:pPr>
              <w:ind w:firstLine="480"/>
            </w:pPr>
          </w:p>
        </w:tc>
      </w:tr>
    </w:tbl>
    <w:p w14:paraId="69C3FB7F">
      <w:pPr>
        <w:ind w:firstLine="0" w:firstLineChars="0"/>
        <w:sectPr>
          <w:footerReference r:id="rId11" w:type="default"/>
          <w:pgSz w:w="11906" w:h="16838"/>
          <w:pgMar w:top="1440" w:right="1800" w:bottom="1440" w:left="1800" w:header="851" w:footer="992" w:gutter="0"/>
          <w:pgNumType w:start="1"/>
          <w:cols w:space="425" w:num="1"/>
          <w:docGrid w:type="lines" w:linePitch="312" w:charSpace="0"/>
        </w:sectPr>
      </w:pPr>
    </w:p>
    <w:p w14:paraId="65D36366">
      <w:pPr>
        <w:pStyle w:val="2"/>
      </w:pPr>
      <w:r>
        <w:rPr>
          <w:rFonts w:hint="eastAsia"/>
        </w:rPr>
        <w:t>建设项目污染物排放量汇总表</w:t>
      </w:r>
      <w:bookmarkEnd w:id="17"/>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808"/>
        <w:gridCol w:w="1476"/>
        <w:gridCol w:w="1229"/>
        <w:gridCol w:w="1638"/>
        <w:gridCol w:w="1502"/>
        <w:gridCol w:w="1697"/>
        <w:gridCol w:w="1888"/>
        <w:gridCol w:w="795"/>
      </w:tblGrid>
      <w:tr w14:paraId="6B2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0" w:type="pct"/>
            <w:tcBorders>
              <w:tl2br w:val="nil"/>
              <w:tr2bl w:val="nil"/>
            </w:tcBorders>
            <w:tcMar>
              <w:top w:w="0" w:type="dxa"/>
              <w:left w:w="28" w:type="dxa"/>
              <w:bottom w:w="0" w:type="dxa"/>
              <w:right w:w="28" w:type="dxa"/>
            </w:tcMar>
            <w:vAlign w:val="center"/>
          </w:tcPr>
          <w:p w14:paraId="0FEAE4D5">
            <w:pPr>
              <w:pStyle w:val="5"/>
            </w:pP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16510</wp:posOffset>
                      </wp:positionV>
                      <wp:extent cx="779145" cy="578485"/>
                      <wp:effectExtent l="2540" t="3810" r="18415" b="8255"/>
                      <wp:wrapNone/>
                      <wp:docPr id="3" name="直接连接符 3"/>
                      <wp:cNvGraphicFramePr/>
                      <a:graphic xmlns:a="http://schemas.openxmlformats.org/drawingml/2006/main">
                        <a:graphicData uri="http://schemas.microsoft.com/office/word/2010/wordprocessingShape">
                          <wps:wsp>
                            <wps:cNvCnPr/>
                            <wps:spPr>
                              <a:xfrm>
                                <a:off x="1136015" y="1332230"/>
                                <a:ext cx="779145" cy="578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3pt;height:45.55pt;width:61.35pt;z-index:251660288;mso-width-relative:page;mso-height-relative:page;" filled="f" stroked="t" coordsize="21600,21600" o:gfxdata="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QX51QAAAAcBAAAPAAAAAAAAAAEAIAAAACIAAABkcnMvZG93bnJldi54bWxQSwECFAAU&#10;AAAACACHTuJAw9iVO/QBAADBAwAADgAAAAAAAAABACAAAAAkAQAAZHJzL2Uyb0RvYy54bWxQSwUG&#10;AAAAAAYABgBZAQAAigUAAAAA&#10;">
                      <v:fill on="f" focussize="0,0"/>
                      <v:stroke weight="0.5pt" color="#000000 [3213]" miterlimit="8" joinstyle="miter"/>
                      <v:imagedata o:title=""/>
                      <o:lock v:ext="edit" aspectratio="f"/>
                    </v:line>
                  </w:pict>
                </mc:Fallback>
              </mc:AlternateContent>
            </w:r>
            <w:r>
              <w:t>项目</w:t>
            </w:r>
          </w:p>
          <w:p w14:paraId="5D721433">
            <w:pPr>
              <w:pStyle w:val="5"/>
            </w:pPr>
          </w:p>
          <w:p w14:paraId="2C8D5FCE">
            <w:pPr>
              <w:pStyle w:val="5"/>
              <w:jc w:val="both"/>
            </w:pPr>
            <w:r>
              <w:t>分类</w:t>
            </w:r>
          </w:p>
        </w:tc>
        <w:tc>
          <w:tcPr>
            <w:tcW w:w="680" w:type="pct"/>
            <w:tcBorders>
              <w:tl2br w:val="nil"/>
              <w:tr2bl w:val="nil"/>
            </w:tcBorders>
            <w:tcMar>
              <w:top w:w="0" w:type="dxa"/>
              <w:left w:w="28" w:type="dxa"/>
              <w:bottom w:w="0" w:type="dxa"/>
              <w:right w:w="28" w:type="dxa"/>
            </w:tcMar>
            <w:vAlign w:val="center"/>
          </w:tcPr>
          <w:p w14:paraId="3E4CA691">
            <w:pPr>
              <w:pStyle w:val="5"/>
            </w:pPr>
            <w:r>
              <w:t>污染物名称</w:t>
            </w:r>
          </w:p>
        </w:tc>
        <w:tc>
          <w:tcPr>
            <w:tcW w:w="555" w:type="pct"/>
            <w:tcBorders>
              <w:tl2br w:val="nil"/>
              <w:tr2bl w:val="nil"/>
            </w:tcBorders>
            <w:tcMar>
              <w:top w:w="0" w:type="dxa"/>
              <w:left w:w="28" w:type="dxa"/>
              <w:bottom w:w="0" w:type="dxa"/>
              <w:right w:w="28" w:type="dxa"/>
            </w:tcMar>
            <w:vAlign w:val="center"/>
          </w:tcPr>
          <w:p w14:paraId="18E53947">
            <w:pPr>
              <w:pStyle w:val="5"/>
            </w:pPr>
            <w:r>
              <w:t>现有工程排放量（固体废物产生量）</w:t>
            </w:r>
            <w:r>
              <w:fldChar w:fldCharType="begin"/>
            </w:r>
            <w:r>
              <w:instrText xml:space="preserve"> = 1 \* GB3 \* MERGEFORMAT </w:instrText>
            </w:r>
            <w:r>
              <w:fldChar w:fldCharType="separate"/>
            </w:r>
            <w:r>
              <w:t>①</w:t>
            </w:r>
            <w:r>
              <w:fldChar w:fldCharType="end"/>
            </w:r>
          </w:p>
        </w:tc>
        <w:tc>
          <w:tcPr>
            <w:tcW w:w="462" w:type="pct"/>
            <w:tcBorders>
              <w:tl2br w:val="nil"/>
              <w:tr2bl w:val="nil"/>
            </w:tcBorders>
            <w:tcMar>
              <w:top w:w="0" w:type="dxa"/>
              <w:left w:w="28" w:type="dxa"/>
              <w:bottom w:w="0" w:type="dxa"/>
              <w:right w:w="28" w:type="dxa"/>
            </w:tcMar>
            <w:vAlign w:val="center"/>
          </w:tcPr>
          <w:p w14:paraId="59FE8D59">
            <w:pPr>
              <w:pStyle w:val="5"/>
            </w:pPr>
            <w:r>
              <w:t>现有工程</w:t>
            </w:r>
          </w:p>
          <w:p w14:paraId="42E2EFDD">
            <w:pPr>
              <w:pStyle w:val="5"/>
            </w:pPr>
            <w:r>
              <w:t>许可排放量</w:t>
            </w:r>
            <w:r>
              <w:fldChar w:fldCharType="begin"/>
            </w:r>
            <w:r>
              <w:instrText xml:space="preserve"> = 2 \* GB3 \* MERGEFORMAT </w:instrText>
            </w:r>
            <w:r>
              <w:fldChar w:fldCharType="separate"/>
            </w:r>
            <w:r>
              <w:t>②</w:t>
            </w:r>
            <w:r>
              <w:fldChar w:fldCharType="end"/>
            </w:r>
          </w:p>
        </w:tc>
        <w:tc>
          <w:tcPr>
            <w:tcW w:w="616" w:type="pct"/>
            <w:tcBorders>
              <w:tl2br w:val="nil"/>
              <w:tr2bl w:val="nil"/>
            </w:tcBorders>
            <w:tcMar>
              <w:top w:w="0" w:type="dxa"/>
              <w:left w:w="28" w:type="dxa"/>
              <w:bottom w:w="0" w:type="dxa"/>
              <w:right w:w="28" w:type="dxa"/>
            </w:tcMar>
            <w:vAlign w:val="center"/>
          </w:tcPr>
          <w:p w14:paraId="7AB3936D">
            <w:pPr>
              <w:pStyle w:val="5"/>
            </w:pPr>
            <w:r>
              <w:t>在建工程排放量（固体废物产生量）</w:t>
            </w:r>
            <w:r>
              <w:fldChar w:fldCharType="begin"/>
            </w:r>
            <w:r>
              <w:instrText xml:space="preserve"> = 3 \* GB3 \* MERGEFORMAT </w:instrText>
            </w:r>
            <w:r>
              <w:fldChar w:fldCharType="separate"/>
            </w:r>
            <w:r>
              <w:t>③</w:t>
            </w:r>
            <w:r>
              <w:fldChar w:fldCharType="end"/>
            </w:r>
          </w:p>
        </w:tc>
        <w:tc>
          <w:tcPr>
            <w:tcW w:w="565" w:type="pct"/>
            <w:tcBorders>
              <w:tl2br w:val="nil"/>
              <w:tr2bl w:val="nil"/>
            </w:tcBorders>
            <w:tcMar>
              <w:top w:w="0" w:type="dxa"/>
              <w:left w:w="28" w:type="dxa"/>
              <w:bottom w:w="0" w:type="dxa"/>
              <w:right w:w="28" w:type="dxa"/>
            </w:tcMar>
            <w:vAlign w:val="center"/>
          </w:tcPr>
          <w:p w14:paraId="764C6FC7">
            <w:pPr>
              <w:pStyle w:val="5"/>
            </w:pPr>
            <w:r>
              <w:t>本项目排放量（固体废物产生量）</w:t>
            </w:r>
            <w:r>
              <w:fldChar w:fldCharType="begin"/>
            </w:r>
            <w:r>
              <w:instrText xml:space="preserve"> = 4 \* GB3 \* MERGEFORMAT </w:instrText>
            </w:r>
            <w:r>
              <w:fldChar w:fldCharType="separate"/>
            </w:r>
            <w:r>
              <w:t>④</w:t>
            </w:r>
            <w:r>
              <w:fldChar w:fldCharType="end"/>
            </w:r>
          </w:p>
        </w:tc>
        <w:tc>
          <w:tcPr>
            <w:tcW w:w="638" w:type="pct"/>
            <w:tcBorders>
              <w:tl2br w:val="nil"/>
              <w:tr2bl w:val="nil"/>
            </w:tcBorders>
            <w:tcMar>
              <w:top w:w="0" w:type="dxa"/>
              <w:left w:w="28" w:type="dxa"/>
              <w:bottom w:w="0" w:type="dxa"/>
              <w:right w:w="28" w:type="dxa"/>
            </w:tcMar>
            <w:vAlign w:val="center"/>
          </w:tcPr>
          <w:p w14:paraId="045EF960">
            <w:pPr>
              <w:pStyle w:val="5"/>
            </w:pPr>
            <w:r>
              <w:t>以新带老削减量（新建项目不填）</w:t>
            </w:r>
            <w:r>
              <w:fldChar w:fldCharType="begin"/>
            </w:r>
            <w:r>
              <w:instrText xml:space="preserve"> = 5 \* GB3 \* MERGEFORMAT </w:instrText>
            </w:r>
            <w:r>
              <w:fldChar w:fldCharType="separate"/>
            </w:r>
            <w:r>
              <w:t>⑤</w:t>
            </w:r>
            <w:r>
              <w:fldChar w:fldCharType="end"/>
            </w:r>
          </w:p>
        </w:tc>
        <w:tc>
          <w:tcPr>
            <w:tcW w:w="710" w:type="pct"/>
            <w:tcBorders>
              <w:tl2br w:val="nil"/>
              <w:tr2bl w:val="nil"/>
            </w:tcBorders>
            <w:tcMar>
              <w:top w:w="0" w:type="dxa"/>
              <w:left w:w="28" w:type="dxa"/>
              <w:bottom w:w="0" w:type="dxa"/>
              <w:right w:w="28" w:type="dxa"/>
            </w:tcMar>
            <w:vAlign w:val="center"/>
          </w:tcPr>
          <w:p w14:paraId="712BDE9C">
            <w:pPr>
              <w:pStyle w:val="5"/>
            </w:pPr>
            <w:r>
              <w:t>本项目建成后</w:t>
            </w:r>
          </w:p>
          <w:p w14:paraId="226EC7C5">
            <w:pPr>
              <w:pStyle w:val="5"/>
            </w:pPr>
            <w:r>
              <w:t>全厂排放量（固体废物产生量）</w:t>
            </w:r>
            <w:r>
              <w:fldChar w:fldCharType="begin"/>
            </w:r>
            <w:r>
              <w:instrText xml:space="preserve"> = 6 \* GB3 \* MERGEFORMAT </w:instrText>
            </w:r>
            <w:r>
              <w:fldChar w:fldCharType="separate"/>
            </w:r>
            <w:r>
              <w:t>⑥</w:t>
            </w:r>
            <w:r>
              <w:fldChar w:fldCharType="end"/>
            </w:r>
          </w:p>
        </w:tc>
        <w:tc>
          <w:tcPr>
            <w:tcW w:w="299" w:type="pct"/>
            <w:tcBorders>
              <w:tl2br w:val="nil"/>
              <w:tr2bl w:val="nil"/>
            </w:tcBorders>
            <w:tcMar>
              <w:top w:w="0" w:type="dxa"/>
              <w:left w:w="28" w:type="dxa"/>
              <w:bottom w:w="0" w:type="dxa"/>
              <w:right w:w="28" w:type="dxa"/>
            </w:tcMar>
            <w:vAlign w:val="center"/>
          </w:tcPr>
          <w:p w14:paraId="2EA03BBA">
            <w:pPr>
              <w:pStyle w:val="5"/>
            </w:pPr>
            <w:r>
              <w:t>变化量</w:t>
            </w:r>
          </w:p>
          <w:p w14:paraId="173828D9">
            <w:pPr>
              <w:pStyle w:val="5"/>
            </w:pPr>
            <w:r>
              <w:fldChar w:fldCharType="begin"/>
            </w:r>
            <w:r>
              <w:instrText xml:space="preserve"> = 7 \* GB3 \* MERGEFORMAT </w:instrText>
            </w:r>
            <w:r>
              <w:fldChar w:fldCharType="separate"/>
            </w:r>
            <w:r>
              <w:t>⑦</w:t>
            </w:r>
            <w:r>
              <w:fldChar w:fldCharType="end"/>
            </w:r>
          </w:p>
        </w:tc>
      </w:tr>
      <w:tr w14:paraId="02E0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30BE5277">
            <w:pPr>
              <w:pStyle w:val="5"/>
            </w:pPr>
            <w:r>
              <w:t>废气</w:t>
            </w:r>
          </w:p>
        </w:tc>
        <w:tc>
          <w:tcPr>
            <w:tcW w:w="680" w:type="pct"/>
            <w:tcBorders>
              <w:tl2br w:val="nil"/>
              <w:tr2bl w:val="nil"/>
            </w:tcBorders>
            <w:vAlign w:val="center"/>
          </w:tcPr>
          <w:p w14:paraId="23CAF8BB">
            <w:pPr>
              <w:pStyle w:val="5"/>
            </w:pPr>
            <w:r>
              <w:rPr>
                <w:rFonts w:hint="eastAsia"/>
              </w:rPr>
              <w:t>颗粒物</w:t>
            </w:r>
          </w:p>
        </w:tc>
        <w:tc>
          <w:tcPr>
            <w:tcW w:w="555" w:type="pct"/>
            <w:tcBorders>
              <w:tl2br w:val="nil"/>
              <w:tr2bl w:val="nil"/>
            </w:tcBorders>
            <w:vAlign w:val="center"/>
          </w:tcPr>
          <w:p w14:paraId="62AFEEE2">
            <w:pPr>
              <w:pStyle w:val="5"/>
            </w:pPr>
            <w:r>
              <w:rPr>
                <w:rFonts w:hint="eastAsia"/>
              </w:rPr>
              <w:t>/</w:t>
            </w:r>
          </w:p>
        </w:tc>
        <w:tc>
          <w:tcPr>
            <w:tcW w:w="462" w:type="pct"/>
            <w:tcBorders>
              <w:tl2br w:val="nil"/>
              <w:tr2bl w:val="nil"/>
            </w:tcBorders>
            <w:vAlign w:val="center"/>
          </w:tcPr>
          <w:p w14:paraId="5BABBCF0">
            <w:pPr>
              <w:pStyle w:val="5"/>
            </w:pPr>
            <w:r>
              <w:rPr>
                <w:rFonts w:hint="eastAsia"/>
              </w:rPr>
              <w:t>/</w:t>
            </w:r>
          </w:p>
        </w:tc>
        <w:tc>
          <w:tcPr>
            <w:tcW w:w="616" w:type="pct"/>
            <w:tcBorders>
              <w:tl2br w:val="nil"/>
              <w:tr2bl w:val="nil"/>
            </w:tcBorders>
            <w:vAlign w:val="center"/>
          </w:tcPr>
          <w:p w14:paraId="35D72233">
            <w:pPr>
              <w:pStyle w:val="5"/>
            </w:pPr>
            <w:r>
              <w:rPr>
                <w:rFonts w:hint="eastAsia"/>
              </w:rPr>
              <w:t>/</w:t>
            </w:r>
          </w:p>
        </w:tc>
        <w:tc>
          <w:tcPr>
            <w:tcW w:w="565" w:type="pct"/>
            <w:tcBorders>
              <w:tl2br w:val="nil"/>
              <w:tr2bl w:val="nil"/>
            </w:tcBorders>
            <w:vAlign w:val="center"/>
          </w:tcPr>
          <w:p w14:paraId="654B813E">
            <w:pPr>
              <w:pStyle w:val="15"/>
              <w:rPr>
                <w:rFonts w:hint="default" w:eastAsia="宋体"/>
                <w:sz w:val="24"/>
                <w:lang w:val="en-US" w:eastAsia="zh-CN"/>
              </w:rPr>
            </w:pPr>
            <w:r>
              <w:rPr>
                <w:rFonts w:hint="eastAsia"/>
                <w:sz w:val="24"/>
              </w:rPr>
              <w:t>0.</w:t>
            </w:r>
            <w:r>
              <w:rPr>
                <w:rFonts w:hint="eastAsia"/>
                <w:sz w:val="24"/>
                <w:lang w:val="en-US" w:eastAsia="zh-CN"/>
              </w:rPr>
              <w:t>308</w:t>
            </w:r>
          </w:p>
        </w:tc>
        <w:tc>
          <w:tcPr>
            <w:tcW w:w="638" w:type="pct"/>
            <w:tcBorders>
              <w:tl2br w:val="nil"/>
              <w:tr2bl w:val="nil"/>
            </w:tcBorders>
            <w:vAlign w:val="center"/>
          </w:tcPr>
          <w:p w14:paraId="1CABAC91">
            <w:pPr>
              <w:pStyle w:val="5"/>
            </w:pPr>
            <w:r>
              <w:rPr>
                <w:rFonts w:hint="eastAsia"/>
              </w:rPr>
              <w:t>/</w:t>
            </w:r>
          </w:p>
        </w:tc>
        <w:tc>
          <w:tcPr>
            <w:tcW w:w="710" w:type="pct"/>
            <w:tcBorders>
              <w:tl2br w:val="nil"/>
              <w:tr2bl w:val="nil"/>
            </w:tcBorders>
            <w:vAlign w:val="center"/>
          </w:tcPr>
          <w:p w14:paraId="0F1D46AB">
            <w:pPr>
              <w:pStyle w:val="15"/>
              <w:rPr>
                <w:rFonts w:hint="default" w:eastAsia="宋体"/>
                <w:sz w:val="24"/>
                <w:lang w:val="en-US" w:eastAsia="zh-CN"/>
              </w:rPr>
            </w:pPr>
            <w:r>
              <w:rPr>
                <w:rFonts w:hint="eastAsia"/>
                <w:sz w:val="24"/>
              </w:rPr>
              <w:t>0.0</w:t>
            </w:r>
            <w:r>
              <w:rPr>
                <w:rFonts w:hint="eastAsia"/>
                <w:sz w:val="24"/>
                <w:lang w:val="en-US" w:eastAsia="zh-CN"/>
              </w:rPr>
              <w:t>05</w:t>
            </w:r>
          </w:p>
        </w:tc>
        <w:tc>
          <w:tcPr>
            <w:tcW w:w="299" w:type="pct"/>
            <w:tcBorders>
              <w:tl2br w:val="nil"/>
              <w:tr2bl w:val="nil"/>
            </w:tcBorders>
            <w:vAlign w:val="center"/>
          </w:tcPr>
          <w:p w14:paraId="1E934D31">
            <w:pPr>
              <w:pStyle w:val="5"/>
            </w:pPr>
            <w:r>
              <w:rPr>
                <w:rFonts w:hint="eastAsia"/>
              </w:rPr>
              <w:t>/</w:t>
            </w:r>
          </w:p>
        </w:tc>
      </w:tr>
      <w:tr w14:paraId="08D0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3670594D">
            <w:pPr>
              <w:pStyle w:val="5"/>
            </w:pPr>
          </w:p>
        </w:tc>
        <w:tc>
          <w:tcPr>
            <w:tcW w:w="680" w:type="pct"/>
            <w:tcBorders>
              <w:tl2br w:val="nil"/>
              <w:tr2bl w:val="nil"/>
            </w:tcBorders>
            <w:vAlign w:val="center"/>
          </w:tcPr>
          <w:p w14:paraId="13161699">
            <w:pPr>
              <w:pStyle w:val="5"/>
            </w:pPr>
            <w:r>
              <w:rPr>
                <w:rFonts w:hint="eastAsia"/>
              </w:rPr>
              <w:t>二氧化硫</w:t>
            </w:r>
          </w:p>
        </w:tc>
        <w:tc>
          <w:tcPr>
            <w:tcW w:w="555" w:type="pct"/>
            <w:tcBorders>
              <w:tl2br w:val="nil"/>
              <w:tr2bl w:val="nil"/>
            </w:tcBorders>
            <w:vAlign w:val="center"/>
          </w:tcPr>
          <w:p w14:paraId="34965896">
            <w:pPr>
              <w:pStyle w:val="5"/>
            </w:pPr>
            <w:r>
              <w:rPr>
                <w:rFonts w:hint="eastAsia"/>
              </w:rPr>
              <w:t>/</w:t>
            </w:r>
          </w:p>
        </w:tc>
        <w:tc>
          <w:tcPr>
            <w:tcW w:w="462" w:type="pct"/>
            <w:tcBorders>
              <w:tl2br w:val="nil"/>
              <w:tr2bl w:val="nil"/>
            </w:tcBorders>
            <w:vAlign w:val="center"/>
          </w:tcPr>
          <w:p w14:paraId="4A1FCBD9">
            <w:pPr>
              <w:pStyle w:val="5"/>
            </w:pPr>
            <w:r>
              <w:rPr>
                <w:rFonts w:hint="eastAsia"/>
              </w:rPr>
              <w:t>/</w:t>
            </w:r>
          </w:p>
        </w:tc>
        <w:tc>
          <w:tcPr>
            <w:tcW w:w="616" w:type="pct"/>
            <w:tcBorders>
              <w:tl2br w:val="nil"/>
              <w:tr2bl w:val="nil"/>
            </w:tcBorders>
            <w:vAlign w:val="center"/>
          </w:tcPr>
          <w:p w14:paraId="750CC06A">
            <w:pPr>
              <w:pStyle w:val="5"/>
            </w:pPr>
            <w:r>
              <w:rPr>
                <w:rFonts w:hint="eastAsia"/>
              </w:rPr>
              <w:t>/</w:t>
            </w:r>
          </w:p>
        </w:tc>
        <w:tc>
          <w:tcPr>
            <w:tcW w:w="565" w:type="pct"/>
            <w:tcBorders>
              <w:tl2br w:val="nil"/>
              <w:tr2bl w:val="nil"/>
            </w:tcBorders>
            <w:vAlign w:val="center"/>
          </w:tcPr>
          <w:p w14:paraId="3120ED76">
            <w:pPr>
              <w:pStyle w:val="15"/>
              <w:rPr>
                <w:rFonts w:hint="default" w:eastAsia="宋体"/>
                <w:sz w:val="24"/>
                <w:lang w:val="en-US" w:eastAsia="zh-CN"/>
              </w:rPr>
            </w:pPr>
            <w:r>
              <w:rPr>
                <w:rFonts w:hint="eastAsia"/>
                <w:sz w:val="24"/>
              </w:rPr>
              <w:t>0.</w:t>
            </w:r>
            <w:r>
              <w:rPr>
                <w:rFonts w:hint="eastAsia"/>
                <w:sz w:val="24"/>
                <w:lang w:val="en-US" w:eastAsia="zh-CN"/>
              </w:rPr>
              <w:t>02</w:t>
            </w:r>
          </w:p>
        </w:tc>
        <w:tc>
          <w:tcPr>
            <w:tcW w:w="638" w:type="pct"/>
            <w:tcBorders>
              <w:tl2br w:val="nil"/>
              <w:tr2bl w:val="nil"/>
            </w:tcBorders>
            <w:vAlign w:val="center"/>
          </w:tcPr>
          <w:p w14:paraId="1EB4E707">
            <w:pPr>
              <w:pStyle w:val="5"/>
            </w:pPr>
            <w:r>
              <w:rPr>
                <w:rFonts w:hint="eastAsia"/>
              </w:rPr>
              <w:t>/</w:t>
            </w:r>
          </w:p>
        </w:tc>
        <w:tc>
          <w:tcPr>
            <w:tcW w:w="710" w:type="pct"/>
            <w:tcBorders>
              <w:tl2br w:val="nil"/>
              <w:tr2bl w:val="nil"/>
            </w:tcBorders>
            <w:vAlign w:val="center"/>
          </w:tcPr>
          <w:p w14:paraId="2D4A95F1">
            <w:pPr>
              <w:pStyle w:val="15"/>
              <w:ind w:firstLine="0" w:firstLineChars="0"/>
              <w:rPr>
                <w:rFonts w:hint="default"/>
                <w:sz w:val="24"/>
                <w:lang w:val="en-US"/>
              </w:rPr>
            </w:pPr>
            <w:r>
              <w:rPr>
                <w:rFonts w:hint="eastAsia"/>
                <w:sz w:val="24"/>
              </w:rPr>
              <w:t>0.</w:t>
            </w:r>
            <w:r>
              <w:rPr>
                <w:rFonts w:hint="eastAsia"/>
                <w:sz w:val="24"/>
                <w:lang w:val="en-US" w:eastAsia="zh-CN"/>
              </w:rPr>
              <w:t>21</w:t>
            </w:r>
          </w:p>
        </w:tc>
        <w:tc>
          <w:tcPr>
            <w:tcW w:w="299" w:type="pct"/>
            <w:tcBorders>
              <w:tl2br w:val="nil"/>
              <w:tr2bl w:val="nil"/>
            </w:tcBorders>
            <w:vAlign w:val="center"/>
          </w:tcPr>
          <w:p w14:paraId="5A3DE495">
            <w:pPr>
              <w:pStyle w:val="5"/>
            </w:pPr>
            <w:r>
              <w:rPr>
                <w:rFonts w:hint="eastAsia"/>
              </w:rPr>
              <w:t>/</w:t>
            </w:r>
          </w:p>
        </w:tc>
      </w:tr>
      <w:tr w14:paraId="6FA4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1C10987E">
            <w:pPr>
              <w:pStyle w:val="5"/>
            </w:pPr>
          </w:p>
        </w:tc>
        <w:tc>
          <w:tcPr>
            <w:tcW w:w="680" w:type="pct"/>
            <w:tcBorders>
              <w:tl2br w:val="nil"/>
              <w:tr2bl w:val="nil"/>
            </w:tcBorders>
            <w:vAlign w:val="center"/>
          </w:tcPr>
          <w:p w14:paraId="0F19713D">
            <w:pPr>
              <w:pStyle w:val="5"/>
            </w:pPr>
            <w:r>
              <w:rPr>
                <w:rFonts w:hint="eastAsia"/>
              </w:rPr>
              <w:t>氮氧化物</w:t>
            </w:r>
          </w:p>
        </w:tc>
        <w:tc>
          <w:tcPr>
            <w:tcW w:w="555" w:type="pct"/>
            <w:tcBorders>
              <w:tl2br w:val="nil"/>
              <w:tr2bl w:val="nil"/>
            </w:tcBorders>
            <w:vAlign w:val="center"/>
          </w:tcPr>
          <w:p w14:paraId="79FB706A">
            <w:pPr>
              <w:pStyle w:val="5"/>
            </w:pPr>
            <w:r>
              <w:rPr>
                <w:rFonts w:hint="eastAsia"/>
              </w:rPr>
              <w:t>/</w:t>
            </w:r>
          </w:p>
        </w:tc>
        <w:tc>
          <w:tcPr>
            <w:tcW w:w="462" w:type="pct"/>
            <w:tcBorders>
              <w:tl2br w:val="nil"/>
              <w:tr2bl w:val="nil"/>
            </w:tcBorders>
            <w:vAlign w:val="center"/>
          </w:tcPr>
          <w:p w14:paraId="6585EE87">
            <w:pPr>
              <w:pStyle w:val="5"/>
            </w:pPr>
            <w:r>
              <w:rPr>
                <w:rFonts w:hint="eastAsia"/>
              </w:rPr>
              <w:t>/</w:t>
            </w:r>
          </w:p>
        </w:tc>
        <w:tc>
          <w:tcPr>
            <w:tcW w:w="616" w:type="pct"/>
            <w:tcBorders>
              <w:tl2br w:val="nil"/>
              <w:tr2bl w:val="nil"/>
            </w:tcBorders>
            <w:vAlign w:val="center"/>
          </w:tcPr>
          <w:p w14:paraId="5534BABC">
            <w:pPr>
              <w:pStyle w:val="5"/>
            </w:pPr>
            <w:r>
              <w:rPr>
                <w:rFonts w:hint="eastAsia"/>
              </w:rPr>
              <w:t>/</w:t>
            </w:r>
          </w:p>
        </w:tc>
        <w:tc>
          <w:tcPr>
            <w:tcW w:w="565" w:type="pct"/>
            <w:tcBorders>
              <w:tl2br w:val="nil"/>
              <w:tr2bl w:val="nil"/>
            </w:tcBorders>
            <w:vAlign w:val="center"/>
          </w:tcPr>
          <w:p w14:paraId="552709F6">
            <w:pPr>
              <w:pStyle w:val="15"/>
              <w:rPr>
                <w:rFonts w:hint="default" w:eastAsia="宋体"/>
                <w:sz w:val="24"/>
                <w:lang w:val="en-US" w:eastAsia="zh-CN"/>
              </w:rPr>
            </w:pPr>
            <w:r>
              <w:rPr>
                <w:rFonts w:hint="eastAsia"/>
                <w:sz w:val="24"/>
                <w:lang w:val="en-US" w:eastAsia="zh-CN"/>
              </w:rPr>
              <w:t>0.55</w:t>
            </w:r>
          </w:p>
        </w:tc>
        <w:tc>
          <w:tcPr>
            <w:tcW w:w="638" w:type="pct"/>
            <w:tcBorders>
              <w:tl2br w:val="nil"/>
              <w:tr2bl w:val="nil"/>
            </w:tcBorders>
            <w:vAlign w:val="center"/>
          </w:tcPr>
          <w:p w14:paraId="2ED72C0B">
            <w:pPr>
              <w:pStyle w:val="5"/>
            </w:pPr>
            <w:r>
              <w:rPr>
                <w:rFonts w:hint="eastAsia"/>
              </w:rPr>
              <w:t>/</w:t>
            </w:r>
          </w:p>
        </w:tc>
        <w:tc>
          <w:tcPr>
            <w:tcW w:w="710" w:type="pct"/>
            <w:tcBorders>
              <w:tl2br w:val="nil"/>
              <w:tr2bl w:val="nil"/>
            </w:tcBorders>
            <w:vAlign w:val="center"/>
          </w:tcPr>
          <w:p w14:paraId="7118361C">
            <w:pPr>
              <w:pStyle w:val="15"/>
              <w:ind w:firstLine="0" w:firstLineChars="0"/>
              <w:rPr>
                <w:rFonts w:hint="default"/>
                <w:sz w:val="24"/>
                <w:lang w:val="en-US"/>
              </w:rPr>
            </w:pPr>
            <w:r>
              <w:rPr>
                <w:rFonts w:hint="eastAsia"/>
                <w:sz w:val="24"/>
                <w:lang w:val="en-US" w:eastAsia="zh-CN"/>
              </w:rPr>
              <w:t>0.62</w:t>
            </w:r>
          </w:p>
        </w:tc>
        <w:tc>
          <w:tcPr>
            <w:tcW w:w="299" w:type="pct"/>
            <w:tcBorders>
              <w:tl2br w:val="nil"/>
              <w:tr2bl w:val="nil"/>
            </w:tcBorders>
            <w:vAlign w:val="center"/>
          </w:tcPr>
          <w:p w14:paraId="222E917C">
            <w:pPr>
              <w:pStyle w:val="5"/>
            </w:pPr>
            <w:r>
              <w:rPr>
                <w:rFonts w:hint="eastAsia"/>
              </w:rPr>
              <w:t>/</w:t>
            </w:r>
          </w:p>
        </w:tc>
      </w:tr>
      <w:tr w14:paraId="06EC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14C342C9">
            <w:pPr>
              <w:pStyle w:val="5"/>
            </w:pPr>
          </w:p>
        </w:tc>
        <w:tc>
          <w:tcPr>
            <w:tcW w:w="680" w:type="pct"/>
            <w:tcBorders>
              <w:tl2br w:val="nil"/>
              <w:tr2bl w:val="nil"/>
            </w:tcBorders>
            <w:vAlign w:val="center"/>
          </w:tcPr>
          <w:p w14:paraId="0077F288">
            <w:pPr>
              <w:pStyle w:val="5"/>
              <w:rPr>
                <w:rFonts w:hint="eastAsia" w:eastAsia="宋体"/>
                <w:lang w:val="en-US" w:eastAsia="zh-CN"/>
              </w:rPr>
            </w:pPr>
            <w:r>
              <w:rPr>
                <w:rFonts w:hint="eastAsia"/>
                <w:lang w:val="en-US" w:eastAsia="zh-CN"/>
              </w:rPr>
              <w:t>非甲烷总烃</w:t>
            </w:r>
          </w:p>
        </w:tc>
        <w:tc>
          <w:tcPr>
            <w:tcW w:w="555" w:type="pct"/>
            <w:tcBorders>
              <w:tl2br w:val="nil"/>
              <w:tr2bl w:val="nil"/>
            </w:tcBorders>
            <w:vAlign w:val="center"/>
          </w:tcPr>
          <w:p w14:paraId="0FB966B2">
            <w:pPr>
              <w:pStyle w:val="5"/>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04B85228">
            <w:pPr>
              <w:pStyle w:val="5"/>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7F8FB89A">
            <w:pPr>
              <w:pStyle w:val="5"/>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214F2A28">
            <w:pPr>
              <w:pStyle w:val="15"/>
              <w:rPr>
                <w:rFonts w:hint="default"/>
                <w:sz w:val="24"/>
                <w:lang w:val="en-US" w:eastAsia="zh-CN"/>
              </w:rPr>
            </w:pPr>
            <w:r>
              <w:rPr>
                <w:rFonts w:hint="eastAsia"/>
                <w:sz w:val="24"/>
                <w:lang w:val="en-US" w:eastAsia="zh-CN"/>
              </w:rPr>
              <w:t>0.176</w:t>
            </w:r>
          </w:p>
        </w:tc>
        <w:tc>
          <w:tcPr>
            <w:tcW w:w="638" w:type="pct"/>
            <w:tcBorders>
              <w:tl2br w:val="nil"/>
              <w:tr2bl w:val="nil"/>
            </w:tcBorders>
            <w:vAlign w:val="center"/>
          </w:tcPr>
          <w:p w14:paraId="195BE540">
            <w:pPr>
              <w:pStyle w:val="5"/>
              <w:rPr>
                <w:rFonts w:hint="eastAsia" w:eastAsia="宋体"/>
                <w:lang w:val="en-US" w:eastAsia="zh-CN"/>
              </w:rPr>
            </w:pPr>
            <w:r>
              <w:rPr>
                <w:rFonts w:hint="eastAsia"/>
                <w:lang w:val="en-US" w:eastAsia="zh-CN"/>
              </w:rPr>
              <w:t>/</w:t>
            </w:r>
          </w:p>
        </w:tc>
        <w:tc>
          <w:tcPr>
            <w:tcW w:w="710" w:type="pct"/>
            <w:tcBorders>
              <w:tl2br w:val="nil"/>
              <w:tr2bl w:val="nil"/>
            </w:tcBorders>
            <w:vAlign w:val="center"/>
          </w:tcPr>
          <w:p w14:paraId="02B12814">
            <w:pPr>
              <w:pStyle w:val="15"/>
              <w:ind w:firstLine="0" w:firstLineChars="0"/>
              <w:rPr>
                <w:rFonts w:hint="default"/>
                <w:sz w:val="24"/>
                <w:lang w:val="en-US" w:eastAsia="zh-CN"/>
              </w:rPr>
            </w:pPr>
            <w:r>
              <w:rPr>
                <w:rFonts w:hint="eastAsia"/>
                <w:sz w:val="24"/>
                <w:lang w:val="en-US" w:eastAsia="zh-CN"/>
              </w:rPr>
              <w:t>0.176</w:t>
            </w:r>
          </w:p>
        </w:tc>
        <w:tc>
          <w:tcPr>
            <w:tcW w:w="299" w:type="pct"/>
            <w:tcBorders>
              <w:tl2br w:val="nil"/>
              <w:tr2bl w:val="nil"/>
            </w:tcBorders>
            <w:vAlign w:val="center"/>
          </w:tcPr>
          <w:p w14:paraId="74046F8C">
            <w:pPr>
              <w:pStyle w:val="5"/>
              <w:rPr>
                <w:rFonts w:hint="eastAsia" w:eastAsia="宋体"/>
                <w:lang w:val="en-US" w:eastAsia="zh-CN"/>
              </w:rPr>
            </w:pPr>
            <w:r>
              <w:rPr>
                <w:rFonts w:hint="eastAsia"/>
                <w:lang w:val="en-US" w:eastAsia="zh-CN"/>
              </w:rPr>
              <w:t>/</w:t>
            </w:r>
          </w:p>
        </w:tc>
      </w:tr>
      <w:tr w14:paraId="1E1A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69F00814">
            <w:pPr>
              <w:pStyle w:val="5"/>
            </w:pPr>
            <w:r>
              <w:t>废水</w:t>
            </w:r>
          </w:p>
        </w:tc>
        <w:tc>
          <w:tcPr>
            <w:tcW w:w="680" w:type="pct"/>
            <w:tcBorders>
              <w:tl2br w:val="nil"/>
              <w:tr2bl w:val="nil"/>
            </w:tcBorders>
            <w:vAlign w:val="center"/>
          </w:tcPr>
          <w:p w14:paraId="056102A4">
            <w:pPr>
              <w:pStyle w:val="5"/>
              <w:rPr>
                <w:rFonts w:hint="default" w:eastAsia="宋体"/>
                <w:lang w:val="en-US" w:eastAsia="zh-CN"/>
              </w:rPr>
            </w:pPr>
            <w:r>
              <w:rPr>
                <w:rFonts w:hint="eastAsia"/>
                <w:lang w:val="en-US" w:eastAsia="zh-CN"/>
              </w:rPr>
              <w:t>COD</w:t>
            </w:r>
          </w:p>
        </w:tc>
        <w:tc>
          <w:tcPr>
            <w:tcW w:w="555" w:type="pct"/>
            <w:tcBorders>
              <w:tl2br w:val="nil"/>
              <w:tr2bl w:val="nil"/>
            </w:tcBorders>
            <w:vAlign w:val="center"/>
          </w:tcPr>
          <w:p w14:paraId="67C40A62">
            <w:pPr>
              <w:pStyle w:val="5"/>
            </w:pPr>
            <w:r>
              <w:rPr>
                <w:rFonts w:hint="eastAsia"/>
              </w:rPr>
              <w:t>/</w:t>
            </w:r>
          </w:p>
        </w:tc>
        <w:tc>
          <w:tcPr>
            <w:tcW w:w="462" w:type="pct"/>
            <w:tcBorders>
              <w:tl2br w:val="nil"/>
              <w:tr2bl w:val="nil"/>
            </w:tcBorders>
            <w:vAlign w:val="center"/>
          </w:tcPr>
          <w:p w14:paraId="16F939E7">
            <w:pPr>
              <w:pStyle w:val="5"/>
            </w:pPr>
            <w:r>
              <w:rPr>
                <w:rFonts w:hint="eastAsia"/>
              </w:rPr>
              <w:t>/</w:t>
            </w:r>
          </w:p>
        </w:tc>
        <w:tc>
          <w:tcPr>
            <w:tcW w:w="616" w:type="pct"/>
            <w:tcBorders>
              <w:tl2br w:val="nil"/>
              <w:tr2bl w:val="nil"/>
            </w:tcBorders>
            <w:vAlign w:val="center"/>
          </w:tcPr>
          <w:p w14:paraId="3A060C28">
            <w:pPr>
              <w:pStyle w:val="5"/>
            </w:pPr>
            <w:r>
              <w:rPr>
                <w:rFonts w:hint="eastAsia"/>
              </w:rPr>
              <w:t>/</w:t>
            </w:r>
          </w:p>
        </w:tc>
        <w:tc>
          <w:tcPr>
            <w:tcW w:w="565" w:type="pct"/>
            <w:tcBorders>
              <w:tl2br w:val="nil"/>
              <w:tr2bl w:val="nil"/>
            </w:tcBorders>
            <w:vAlign w:val="center"/>
          </w:tcPr>
          <w:p w14:paraId="703FC2FF">
            <w:pPr>
              <w:pStyle w:val="5"/>
              <w:rPr>
                <w:rFonts w:hint="default" w:eastAsia="宋体"/>
                <w:lang w:val="en-US" w:eastAsia="zh-CN"/>
              </w:rPr>
            </w:pPr>
            <w:r>
              <w:rPr>
                <w:rFonts w:hint="eastAsia"/>
                <w:lang w:val="en-US" w:eastAsia="zh-CN"/>
              </w:rPr>
              <w:t>/</w:t>
            </w:r>
          </w:p>
        </w:tc>
        <w:tc>
          <w:tcPr>
            <w:tcW w:w="638" w:type="pct"/>
            <w:tcBorders>
              <w:tl2br w:val="nil"/>
              <w:tr2bl w:val="nil"/>
            </w:tcBorders>
            <w:vAlign w:val="center"/>
          </w:tcPr>
          <w:p w14:paraId="310AA3AA">
            <w:pPr>
              <w:pStyle w:val="5"/>
            </w:pPr>
            <w:r>
              <w:rPr>
                <w:rFonts w:hint="eastAsia"/>
              </w:rPr>
              <w:t>/</w:t>
            </w:r>
          </w:p>
        </w:tc>
        <w:tc>
          <w:tcPr>
            <w:tcW w:w="710" w:type="pct"/>
            <w:tcBorders>
              <w:tl2br w:val="nil"/>
              <w:tr2bl w:val="nil"/>
            </w:tcBorders>
            <w:vAlign w:val="center"/>
          </w:tcPr>
          <w:p w14:paraId="72D43E2A">
            <w:pPr>
              <w:pStyle w:val="5"/>
              <w:rPr>
                <w:rFonts w:hint="default" w:eastAsia="宋体"/>
                <w:lang w:val="en-US" w:eastAsia="zh-CN"/>
              </w:rPr>
            </w:pPr>
            <w:r>
              <w:rPr>
                <w:rFonts w:hint="eastAsia"/>
                <w:lang w:val="en-US" w:eastAsia="zh-CN"/>
              </w:rPr>
              <w:t>/</w:t>
            </w:r>
          </w:p>
        </w:tc>
        <w:tc>
          <w:tcPr>
            <w:tcW w:w="299" w:type="pct"/>
            <w:tcBorders>
              <w:tl2br w:val="nil"/>
              <w:tr2bl w:val="nil"/>
            </w:tcBorders>
            <w:vAlign w:val="center"/>
          </w:tcPr>
          <w:p w14:paraId="74F380F1">
            <w:pPr>
              <w:pStyle w:val="5"/>
            </w:pPr>
            <w:r>
              <w:rPr>
                <w:rFonts w:hint="eastAsia"/>
              </w:rPr>
              <w:t>/</w:t>
            </w:r>
          </w:p>
        </w:tc>
      </w:tr>
      <w:tr w14:paraId="1D7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47E41BA3">
            <w:pPr>
              <w:pStyle w:val="5"/>
            </w:pPr>
          </w:p>
        </w:tc>
        <w:tc>
          <w:tcPr>
            <w:tcW w:w="680" w:type="pct"/>
            <w:tcBorders>
              <w:tl2br w:val="nil"/>
              <w:tr2bl w:val="nil"/>
            </w:tcBorders>
            <w:vAlign w:val="center"/>
          </w:tcPr>
          <w:p w14:paraId="6668E6C4">
            <w:pPr>
              <w:pStyle w:val="5"/>
              <w:rPr>
                <w:rFonts w:hint="eastAsia" w:eastAsia="宋体"/>
                <w:lang w:val="en-US" w:eastAsia="zh-CN"/>
              </w:rPr>
            </w:pPr>
            <w:r>
              <w:rPr>
                <w:rFonts w:hint="eastAsia"/>
                <w:lang w:val="en-US" w:eastAsia="zh-CN"/>
              </w:rPr>
              <w:t>氨氮</w:t>
            </w:r>
          </w:p>
        </w:tc>
        <w:tc>
          <w:tcPr>
            <w:tcW w:w="555" w:type="pct"/>
            <w:tcBorders>
              <w:tl2br w:val="nil"/>
              <w:tr2bl w:val="nil"/>
            </w:tcBorders>
            <w:vAlign w:val="center"/>
          </w:tcPr>
          <w:p w14:paraId="0AEAF5B3">
            <w:pPr>
              <w:pStyle w:val="5"/>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55AB9D91">
            <w:pPr>
              <w:pStyle w:val="5"/>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39E71B35">
            <w:pPr>
              <w:pStyle w:val="5"/>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791921D6">
            <w:pPr>
              <w:pStyle w:val="5"/>
              <w:rPr>
                <w:rFonts w:hint="default" w:eastAsia="宋体"/>
                <w:lang w:val="en-US" w:eastAsia="zh-CN"/>
              </w:rPr>
            </w:pPr>
            <w:r>
              <w:rPr>
                <w:rFonts w:hint="eastAsia"/>
                <w:lang w:val="en-US" w:eastAsia="zh-CN"/>
              </w:rPr>
              <w:t>/</w:t>
            </w:r>
          </w:p>
        </w:tc>
        <w:tc>
          <w:tcPr>
            <w:tcW w:w="638" w:type="pct"/>
            <w:tcBorders>
              <w:tl2br w:val="nil"/>
              <w:tr2bl w:val="nil"/>
            </w:tcBorders>
            <w:vAlign w:val="center"/>
          </w:tcPr>
          <w:p w14:paraId="5C82B6C5">
            <w:pPr>
              <w:pStyle w:val="5"/>
              <w:rPr>
                <w:rFonts w:hint="eastAsia" w:eastAsia="宋体"/>
                <w:lang w:val="en-US" w:eastAsia="zh-CN"/>
              </w:rPr>
            </w:pPr>
            <w:r>
              <w:rPr>
                <w:rFonts w:hint="eastAsia"/>
                <w:lang w:val="en-US" w:eastAsia="zh-CN"/>
              </w:rPr>
              <w:t>/</w:t>
            </w:r>
          </w:p>
        </w:tc>
        <w:tc>
          <w:tcPr>
            <w:tcW w:w="710" w:type="pct"/>
            <w:tcBorders>
              <w:tl2br w:val="nil"/>
              <w:tr2bl w:val="nil"/>
            </w:tcBorders>
            <w:vAlign w:val="center"/>
          </w:tcPr>
          <w:p w14:paraId="38EEBC65">
            <w:pPr>
              <w:pStyle w:val="5"/>
              <w:rPr>
                <w:rFonts w:hint="default" w:eastAsia="宋体"/>
                <w:lang w:val="en-US" w:eastAsia="zh-CN"/>
              </w:rPr>
            </w:pPr>
            <w:r>
              <w:rPr>
                <w:rFonts w:hint="eastAsia"/>
                <w:lang w:val="en-US" w:eastAsia="zh-CN"/>
              </w:rPr>
              <w:t>/</w:t>
            </w:r>
          </w:p>
        </w:tc>
        <w:tc>
          <w:tcPr>
            <w:tcW w:w="299" w:type="pct"/>
            <w:tcBorders>
              <w:tl2br w:val="nil"/>
              <w:tr2bl w:val="nil"/>
            </w:tcBorders>
            <w:vAlign w:val="center"/>
          </w:tcPr>
          <w:p w14:paraId="61E79F9B">
            <w:pPr>
              <w:pStyle w:val="5"/>
              <w:rPr>
                <w:rFonts w:hint="eastAsia" w:eastAsia="宋体"/>
                <w:lang w:val="en-US" w:eastAsia="zh-CN"/>
              </w:rPr>
            </w:pPr>
            <w:r>
              <w:rPr>
                <w:rFonts w:hint="eastAsia"/>
                <w:lang w:val="en-US" w:eastAsia="zh-CN"/>
              </w:rPr>
              <w:t>/</w:t>
            </w:r>
          </w:p>
        </w:tc>
      </w:tr>
      <w:tr w14:paraId="694D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restart"/>
            <w:tcBorders>
              <w:tl2br w:val="nil"/>
              <w:tr2bl w:val="nil"/>
            </w:tcBorders>
            <w:vAlign w:val="center"/>
          </w:tcPr>
          <w:p w14:paraId="3E70AE49">
            <w:pPr>
              <w:pStyle w:val="5"/>
            </w:pPr>
            <w:r>
              <w:t>一般工业</w:t>
            </w:r>
          </w:p>
          <w:p w14:paraId="6BC2484A">
            <w:pPr>
              <w:pStyle w:val="5"/>
            </w:pPr>
            <w:r>
              <w:t>固体废物</w:t>
            </w:r>
          </w:p>
        </w:tc>
        <w:tc>
          <w:tcPr>
            <w:tcW w:w="680" w:type="pct"/>
            <w:tcBorders>
              <w:tl2br w:val="nil"/>
              <w:tr2bl w:val="nil"/>
            </w:tcBorders>
            <w:vAlign w:val="center"/>
          </w:tcPr>
          <w:p w14:paraId="7340D0AD">
            <w:pPr>
              <w:pStyle w:val="15"/>
              <w:rPr>
                <w:sz w:val="24"/>
              </w:rPr>
            </w:pPr>
            <w:r>
              <w:rPr>
                <w:rFonts w:hint="eastAsia"/>
                <w:sz w:val="24"/>
              </w:rPr>
              <w:t>灰渣</w:t>
            </w:r>
          </w:p>
        </w:tc>
        <w:tc>
          <w:tcPr>
            <w:tcW w:w="555" w:type="pct"/>
            <w:tcBorders>
              <w:tl2br w:val="nil"/>
              <w:tr2bl w:val="nil"/>
            </w:tcBorders>
            <w:vAlign w:val="center"/>
          </w:tcPr>
          <w:p w14:paraId="49A37015">
            <w:pPr>
              <w:pStyle w:val="5"/>
            </w:pPr>
            <w:r>
              <w:rPr>
                <w:rFonts w:hint="eastAsia"/>
              </w:rPr>
              <w:t>/</w:t>
            </w:r>
          </w:p>
        </w:tc>
        <w:tc>
          <w:tcPr>
            <w:tcW w:w="462" w:type="pct"/>
            <w:tcBorders>
              <w:tl2br w:val="nil"/>
              <w:tr2bl w:val="nil"/>
            </w:tcBorders>
            <w:vAlign w:val="center"/>
          </w:tcPr>
          <w:p w14:paraId="7480B6E8">
            <w:pPr>
              <w:pStyle w:val="5"/>
            </w:pPr>
            <w:r>
              <w:rPr>
                <w:rFonts w:hint="eastAsia"/>
              </w:rPr>
              <w:t>/</w:t>
            </w:r>
          </w:p>
        </w:tc>
        <w:tc>
          <w:tcPr>
            <w:tcW w:w="616" w:type="pct"/>
            <w:tcBorders>
              <w:tl2br w:val="nil"/>
              <w:tr2bl w:val="nil"/>
            </w:tcBorders>
            <w:vAlign w:val="center"/>
          </w:tcPr>
          <w:p w14:paraId="52CD59B3">
            <w:pPr>
              <w:pStyle w:val="5"/>
            </w:pPr>
            <w:r>
              <w:rPr>
                <w:rFonts w:hint="eastAsia"/>
              </w:rPr>
              <w:t>/</w:t>
            </w:r>
          </w:p>
        </w:tc>
        <w:tc>
          <w:tcPr>
            <w:tcW w:w="565" w:type="pct"/>
            <w:tcBorders>
              <w:tl2br w:val="nil"/>
              <w:tr2bl w:val="nil"/>
            </w:tcBorders>
            <w:vAlign w:val="center"/>
          </w:tcPr>
          <w:p w14:paraId="207231F6">
            <w:pPr>
              <w:pStyle w:val="15"/>
              <w:rPr>
                <w:rFonts w:hint="default" w:eastAsia="宋体"/>
                <w:sz w:val="24"/>
                <w:lang w:val="en-US" w:eastAsia="zh-CN"/>
              </w:rPr>
            </w:pPr>
            <w:r>
              <w:rPr>
                <w:rFonts w:hint="eastAsia"/>
                <w:sz w:val="24"/>
                <w:lang w:val="en-US" w:eastAsia="zh-CN"/>
              </w:rPr>
              <w:t>0.82</w:t>
            </w:r>
          </w:p>
        </w:tc>
        <w:tc>
          <w:tcPr>
            <w:tcW w:w="638" w:type="pct"/>
            <w:tcBorders>
              <w:tl2br w:val="nil"/>
              <w:tr2bl w:val="nil"/>
            </w:tcBorders>
            <w:vAlign w:val="center"/>
          </w:tcPr>
          <w:p w14:paraId="5AEA7C5E">
            <w:pPr>
              <w:pStyle w:val="5"/>
            </w:pPr>
            <w:r>
              <w:rPr>
                <w:rFonts w:hint="eastAsia"/>
              </w:rPr>
              <w:t>/</w:t>
            </w:r>
          </w:p>
        </w:tc>
        <w:tc>
          <w:tcPr>
            <w:tcW w:w="1888" w:type="dxa"/>
            <w:tcBorders>
              <w:tl2br w:val="nil"/>
              <w:tr2bl w:val="nil"/>
            </w:tcBorders>
            <w:vAlign w:val="center"/>
          </w:tcPr>
          <w:p w14:paraId="6B51D54C">
            <w:pPr>
              <w:pStyle w:val="15"/>
              <w:ind w:firstLine="0" w:firstLineChars="0"/>
            </w:pPr>
            <w:r>
              <w:rPr>
                <w:rFonts w:hint="eastAsia"/>
                <w:sz w:val="24"/>
                <w:lang w:val="en-US" w:eastAsia="zh-CN"/>
              </w:rPr>
              <w:t>0.82</w:t>
            </w:r>
          </w:p>
        </w:tc>
        <w:tc>
          <w:tcPr>
            <w:tcW w:w="299" w:type="pct"/>
            <w:tcBorders>
              <w:tl2br w:val="nil"/>
              <w:tr2bl w:val="nil"/>
            </w:tcBorders>
            <w:vAlign w:val="center"/>
          </w:tcPr>
          <w:p w14:paraId="28B84C0B">
            <w:pPr>
              <w:pStyle w:val="5"/>
            </w:pPr>
            <w:r>
              <w:rPr>
                <w:rFonts w:hint="eastAsia"/>
              </w:rPr>
              <w:t>/</w:t>
            </w:r>
          </w:p>
        </w:tc>
      </w:tr>
      <w:tr w14:paraId="6FA3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vMerge w:val="continue"/>
            <w:tcBorders>
              <w:tl2br w:val="nil"/>
              <w:tr2bl w:val="nil"/>
            </w:tcBorders>
            <w:vAlign w:val="center"/>
          </w:tcPr>
          <w:p w14:paraId="74C60D90">
            <w:pPr>
              <w:pStyle w:val="5"/>
            </w:pPr>
          </w:p>
        </w:tc>
        <w:tc>
          <w:tcPr>
            <w:tcW w:w="680" w:type="pct"/>
            <w:tcBorders>
              <w:tl2br w:val="nil"/>
              <w:tr2bl w:val="nil"/>
            </w:tcBorders>
            <w:vAlign w:val="center"/>
          </w:tcPr>
          <w:p w14:paraId="1866B500">
            <w:pPr>
              <w:pStyle w:val="15"/>
              <w:rPr>
                <w:sz w:val="24"/>
              </w:rPr>
            </w:pPr>
            <w:r>
              <w:rPr>
                <w:rFonts w:hint="eastAsia"/>
                <w:sz w:val="24"/>
              </w:rPr>
              <w:t>除尘</w:t>
            </w:r>
            <w:r>
              <w:rPr>
                <w:rFonts w:hint="eastAsia"/>
                <w:sz w:val="24"/>
                <w:lang w:val="en-US" w:eastAsia="zh-CN"/>
              </w:rPr>
              <w:t>器</w:t>
            </w:r>
            <w:r>
              <w:rPr>
                <w:rFonts w:hint="eastAsia"/>
                <w:sz w:val="24"/>
              </w:rPr>
              <w:t>收集的粉尘</w:t>
            </w:r>
          </w:p>
        </w:tc>
        <w:tc>
          <w:tcPr>
            <w:tcW w:w="555" w:type="pct"/>
            <w:tcBorders>
              <w:tl2br w:val="nil"/>
              <w:tr2bl w:val="nil"/>
            </w:tcBorders>
            <w:vAlign w:val="center"/>
          </w:tcPr>
          <w:p w14:paraId="5F2D036A">
            <w:pPr>
              <w:pStyle w:val="5"/>
            </w:pPr>
            <w:r>
              <w:rPr>
                <w:rFonts w:hint="eastAsia"/>
              </w:rPr>
              <w:t>/</w:t>
            </w:r>
          </w:p>
        </w:tc>
        <w:tc>
          <w:tcPr>
            <w:tcW w:w="462" w:type="pct"/>
            <w:tcBorders>
              <w:tl2br w:val="nil"/>
              <w:tr2bl w:val="nil"/>
            </w:tcBorders>
            <w:vAlign w:val="center"/>
          </w:tcPr>
          <w:p w14:paraId="6AAB1FF2">
            <w:pPr>
              <w:pStyle w:val="5"/>
            </w:pPr>
            <w:r>
              <w:rPr>
                <w:rFonts w:hint="eastAsia"/>
              </w:rPr>
              <w:t>/</w:t>
            </w:r>
          </w:p>
        </w:tc>
        <w:tc>
          <w:tcPr>
            <w:tcW w:w="616" w:type="pct"/>
            <w:tcBorders>
              <w:tl2br w:val="nil"/>
              <w:tr2bl w:val="nil"/>
            </w:tcBorders>
            <w:vAlign w:val="center"/>
          </w:tcPr>
          <w:p w14:paraId="0B449A7D">
            <w:pPr>
              <w:pStyle w:val="5"/>
            </w:pPr>
            <w:r>
              <w:rPr>
                <w:rFonts w:hint="eastAsia"/>
              </w:rPr>
              <w:t>/</w:t>
            </w:r>
          </w:p>
        </w:tc>
        <w:tc>
          <w:tcPr>
            <w:tcW w:w="565" w:type="pct"/>
            <w:tcBorders>
              <w:tl2br w:val="nil"/>
              <w:tr2bl w:val="nil"/>
            </w:tcBorders>
            <w:vAlign w:val="center"/>
          </w:tcPr>
          <w:p w14:paraId="7702BA44">
            <w:pPr>
              <w:pStyle w:val="15"/>
              <w:rPr>
                <w:rFonts w:hint="default" w:eastAsia="宋体"/>
                <w:sz w:val="24"/>
                <w:lang w:val="en-US" w:eastAsia="zh-CN"/>
              </w:rPr>
            </w:pPr>
            <w:r>
              <w:rPr>
                <w:rFonts w:hint="eastAsia"/>
                <w:sz w:val="24"/>
                <w:lang w:val="en-US" w:eastAsia="zh-CN"/>
              </w:rPr>
              <w:t>1.31</w:t>
            </w:r>
          </w:p>
        </w:tc>
        <w:tc>
          <w:tcPr>
            <w:tcW w:w="638" w:type="pct"/>
            <w:tcBorders>
              <w:tl2br w:val="nil"/>
              <w:tr2bl w:val="nil"/>
            </w:tcBorders>
            <w:vAlign w:val="center"/>
          </w:tcPr>
          <w:p w14:paraId="08B0774F">
            <w:pPr>
              <w:pStyle w:val="5"/>
            </w:pPr>
            <w:r>
              <w:rPr>
                <w:rFonts w:hint="eastAsia"/>
              </w:rPr>
              <w:t>/</w:t>
            </w:r>
          </w:p>
        </w:tc>
        <w:tc>
          <w:tcPr>
            <w:tcW w:w="1888" w:type="dxa"/>
            <w:tcBorders>
              <w:tl2br w:val="nil"/>
              <w:tr2bl w:val="nil"/>
            </w:tcBorders>
            <w:vAlign w:val="center"/>
          </w:tcPr>
          <w:p w14:paraId="5834B1D5">
            <w:pPr>
              <w:pStyle w:val="15"/>
              <w:ind w:firstLine="0" w:firstLineChars="0"/>
              <w:rPr>
                <w:rFonts w:hint="default" w:eastAsia="宋体"/>
                <w:lang w:val="en-US" w:eastAsia="zh-CN"/>
              </w:rPr>
            </w:pPr>
            <w:r>
              <w:rPr>
                <w:rFonts w:hint="eastAsia"/>
                <w:sz w:val="24"/>
                <w:lang w:val="en-US" w:eastAsia="zh-CN"/>
              </w:rPr>
              <w:t>1.31</w:t>
            </w:r>
          </w:p>
        </w:tc>
        <w:tc>
          <w:tcPr>
            <w:tcW w:w="299" w:type="pct"/>
            <w:tcBorders>
              <w:tl2br w:val="nil"/>
              <w:tr2bl w:val="nil"/>
            </w:tcBorders>
            <w:vAlign w:val="center"/>
          </w:tcPr>
          <w:p w14:paraId="600A2C45">
            <w:pPr>
              <w:pStyle w:val="5"/>
            </w:pPr>
            <w:r>
              <w:rPr>
                <w:rFonts w:hint="eastAsia"/>
              </w:rPr>
              <w:t>/</w:t>
            </w:r>
          </w:p>
        </w:tc>
      </w:tr>
      <w:tr w14:paraId="256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1C68D384">
            <w:pPr>
              <w:pStyle w:val="5"/>
              <w:rPr>
                <w:rFonts w:hint="default" w:eastAsia="宋体"/>
                <w:lang w:val="en-US" w:eastAsia="zh-CN"/>
              </w:rPr>
            </w:pPr>
            <w:r>
              <w:rPr>
                <w:rFonts w:hint="eastAsia"/>
                <w:lang w:val="en-US" w:eastAsia="zh-CN"/>
              </w:rPr>
              <w:t>危险废物</w:t>
            </w:r>
          </w:p>
        </w:tc>
        <w:tc>
          <w:tcPr>
            <w:tcW w:w="680" w:type="pct"/>
            <w:tcBorders>
              <w:tl2br w:val="nil"/>
              <w:tr2bl w:val="nil"/>
            </w:tcBorders>
            <w:vAlign w:val="center"/>
          </w:tcPr>
          <w:p w14:paraId="25C73B45">
            <w:pPr>
              <w:pStyle w:val="15"/>
              <w:rPr>
                <w:rFonts w:hint="default" w:eastAsia="宋体"/>
                <w:sz w:val="24"/>
                <w:lang w:val="en-US" w:eastAsia="zh-CN"/>
              </w:rPr>
            </w:pPr>
            <w:r>
              <w:rPr>
                <w:rFonts w:hint="eastAsia"/>
                <w:sz w:val="24"/>
                <w:lang w:val="en-US" w:eastAsia="zh-CN"/>
              </w:rPr>
              <w:t>废活性炭</w:t>
            </w:r>
          </w:p>
        </w:tc>
        <w:tc>
          <w:tcPr>
            <w:tcW w:w="555" w:type="pct"/>
            <w:tcBorders>
              <w:tl2br w:val="nil"/>
              <w:tr2bl w:val="nil"/>
            </w:tcBorders>
            <w:vAlign w:val="center"/>
          </w:tcPr>
          <w:p w14:paraId="74F1E6EC">
            <w:pPr>
              <w:pStyle w:val="5"/>
              <w:rPr>
                <w:rFonts w:hint="eastAsia" w:eastAsia="宋体"/>
                <w:lang w:val="en-US" w:eastAsia="zh-CN"/>
              </w:rPr>
            </w:pPr>
            <w:r>
              <w:rPr>
                <w:rFonts w:hint="eastAsia"/>
                <w:lang w:val="en-US" w:eastAsia="zh-CN"/>
              </w:rPr>
              <w:t>/</w:t>
            </w:r>
          </w:p>
        </w:tc>
        <w:tc>
          <w:tcPr>
            <w:tcW w:w="462" w:type="pct"/>
            <w:tcBorders>
              <w:tl2br w:val="nil"/>
              <w:tr2bl w:val="nil"/>
            </w:tcBorders>
            <w:vAlign w:val="center"/>
          </w:tcPr>
          <w:p w14:paraId="4BE095D8">
            <w:pPr>
              <w:pStyle w:val="5"/>
              <w:rPr>
                <w:rFonts w:hint="eastAsia" w:eastAsia="宋体"/>
                <w:lang w:val="en-US" w:eastAsia="zh-CN"/>
              </w:rPr>
            </w:pPr>
            <w:r>
              <w:rPr>
                <w:rFonts w:hint="eastAsia"/>
                <w:lang w:val="en-US" w:eastAsia="zh-CN"/>
              </w:rPr>
              <w:t>/</w:t>
            </w:r>
          </w:p>
        </w:tc>
        <w:tc>
          <w:tcPr>
            <w:tcW w:w="616" w:type="pct"/>
            <w:tcBorders>
              <w:tl2br w:val="nil"/>
              <w:tr2bl w:val="nil"/>
            </w:tcBorders>
            <w:vAlign w:val="center"/>
          </w:tcPr>
          <w:p w14:paraId="08E33D16">
            <w:pPr>
              <w:pStyle w:val="5"/>
              <w:rPr>
                <w:rFonts w:hint="eastAsia" w:eastAsia="宋体"/>
                <w:lang w:val="en-US" w:eastAsia="zh-CN"/>
              </w:rPr>
            </w:pPr>
            <w:r>
              <w:rPr>
                <w:rFonts w:hint="eastAsia"/>
                <w:lang w:val="en-US" w:eastAsia="zh-CN"/>
              </w:rPr>
              <w:t>/</w:t>
            </w:r>
          </w:p>
        </w:tc>
        <w:tc>
          <w:tcPr>
            <w:tcW w:w="565" w:type="pct"/>
            <w:tcBorders>
              <w:tl2br w:val="nil"/>
              <w:tr2bl w:val="nil"/>
            </w:tcBorders>
            <w:vAlign w:val="center"/>
          </w:tcPr>
          <w:p w14:paraId="190D4706">
            <w:pPr>
              <w:pStyle w:val="15"/>
              <w:rPr>
                <w:rFonts w:hint="default"/>
                <w:sz w:val="24"/>
                <w:lang w:val="en-US" w:eastAsia="zh-CN"/>
              </w:rPr>
            </w:pPr>
            <w:r>
              <w:rPr>
                <w:rFonts w:hint="eastAsia"/>
                <w:sz w:val="24"/>
                <w:lang w:val="en-US" w:eastAsia="zh-CN"/>
              </w:rPr>
              <w:t>1.592</w:t>
            </w:r>
          </w:p>
        </w:tc>
        <w:tc>
          <w:tcPr>
            <w:tcW w:w="638" w:type="pct"/>
            <w:tcBorders>
              <w:tl2br w:val="nil"/>
              <w:tr2bl w:val="nil"/>
            </w:tcBorders>
            <w:vAlign w:val="center"/>
          </w:tcPr>
          <w:p w14:paraId="4766BB9B">
            <w:pPr>
              <w:pStyle w:val="5"/>
              <w:rPr>
                <w:rFonts w:hint="eastAsia" w:eastAsia="宋体"/>
                <w:lang w:val="en-US" w:eastAsia="zh-CN"/>
              </w:rPr>
            </w:pPr>
            <w:r>
              <w:rPr>
                <w:rFonts w:hint="eastAsia"/>
                <w:lang w:val="en-US" w:eastAsia="zh-CN"/>
              </w:rPr>
              <w:t>/</w:t>
            </w:r>
          </w:p>
        </w:tc>
        <w:tc>
          <w:tcPr>
            <w:tcW w:w="1888" w:type="dxa"/>
            <w:tcBorders>
              <w:tl2br w:val="nil"/>
              <w:tr2bl w:val="nil"/>
            </w:tcBorders>
            <w:vAlign w:val="center"/>
          </w:tcPr>
          <w:p w14:paraId="5FEA68F7">
            <w:pPr>
              <w:pStyle w:val="15"/>
              <w:ind w:firstLine="0" w:firstLineChars="0"/>
              <w:rPr>
                <w:rFonts w:hint="default"/>
                <w:sz w:val="24"/>
                <w:lang w:val="en-US" w:eastAsia="zh-CN"/>
              </w:rPr>
            </w:pPr>
            <w:r>
              <w:rPr>
                <w:rFonts w:hint="eastAsia"/>
                <w:sz w:val="24"/>
                <w:lang w:val="en-US" w:eastAsia="zh-CN"/>
              </w:rPr>
              <w:t>1.592</w:t>
            </w:r>
          </w:p>
        </w:tc>
        <w:tc>
          <w:tcPr>
            <w:tcW w:w="299" w:type="pct"/>
            <w:tcBorders>
              <w:tl2br w:val="nil"/>
              <w:tr2bl w:val="nil"/>
            </w:tcBorders>
            <w:vAlign w:val="center"/>
          </w:tcPr>
          <w:p w14:paraId="47DFEA85">
            <w:pPr>
              <w:pStyle w:val="5"/>
              <w:rPr>
                <w:rFonts w:hint="eastAsia" w:eastAsia="宋体"/>
                <w:lang w:val="en-US" w:eastAsia="zh-CN"/>
              </w:rPr>
            </w:pPr>
            <w:r>
              <w:rPr>
                <w:rFonts w:hint="eastAsia"/>
                <w:lang w:val="en-US" w:eastAsia="zh-CN"/>
              </w:rPr>
              <w:t>/</w:t>
            </w:r>
          </w:p>
        </w:tc>
      </w:tr>
      <w:tr w14:paraId="6C5B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0" w:type="pct"/>
            <w:tcBorders>
              <w:tl2br w:val="nil"/>
              <w:tr2bl w:val="nil"/>
            </w:tcBorders>
            <w:vAlign w:val="center"/>
          </w:tcPr>
          <w:p w14:paraId="28033380">
            <w:pPr>
              <w:pStyle w:val="5"/>
            </w:pPr>
            <w:r>
              <w:rPr>
                <w:rFonts w:hint="eastAsia"/>
              </w:rPr>
              <w:t>生活垃圾</w:t>
            </w:r>
          </w:p>
        </w:tc>
        <w:tc>
          <w:tcPr>
            <w:tcW w:w="680" w:type="pct"/>
            <w:tcBorders>
              <w:tl2br w:val="nil"/>
              <w:tr2bl w:val="nil"/>
            </w:tcBorders>
            <w:vAlign w:val="center"/>
          </w:tcPr>
          <w:p w14:paraId="725A924F">
            <w:pPr>
              <w:pStyle w:val="5"/>
            </w:pPr>
            <w:r>
              <w:rPr>
                <w:rFonts w:hint="eastAsia"/>
              </w:rPr>
              <w:t>生活垃圾</w:t>
            </w:r>
          </w:p>
        </w:tc>
        <w:tc>
          <w:tcPr>
            <w:tcW w:w="555" w:type="pct"/>
            <w:tcBorders>
              <w:tl2br w:val="nil"/>
              <w:tr2bl w:val="nil"/>
            </w:tcBorders>
            <w:vAlign w:val="center"/>
          </w:tcPr>
          <w:p w14:paraId="660D2D9B">
            <w:pPr>
              <w:pStyle w:val="5"/>
            </w:pPr>
            <w:r>
              <w:rPr>
                <w:rFonts w:hint="eastAsia"/>
              </w:rPr>
              <w:t>/</w:t>
            </w:r>
          </w:p>
        </w:tc>
        <w:tc>
          <w:tcPr>
            <w:tcW w:w="462" w:type="pct"/>
            <w:tcBorders>
              <w:tl2br w:val="nil"/>
              <w:tr2bl w:val="nil"/>
            </w:tcBorders>
            <w:vAlign w:val="center"/>
          </w:tcPr>
          <w:p w14:paraId="26744C9D">
            <w:pPr>
              <w:pStyle w:val="5"/>
            </w:pPr>
            <w:r>
              <w:rPr>
                <w:rFonts w:hint="eastAsia"/>
              </w:rPr>
              <w:t>/</w:t>
            </w:r>
          </w:p>
        </w:tc>
        <w:tc>
          <w:tcPr>
            <w:tcW w:w="616" w:type="pct"/>
            <w:tcBorders>
              <w:tl2br w:val="nil"/>
              <w:tr2bl w:val="nil"/>
            </w:tcBorders>
            <w:vAlign w:val="center"/>
          </w:tcPr>
          <w:p w14:paraId="24EEC419">
            <w:pPr>
              <w:pStyle w:val="5"/>
            </w:pPr>
            <w:r>
              <w:rPr>
                <w:rFonts w:hint="eastAsia"/>
              </w:rPr>
              <w:t>/</w:t>
            </w:r>
          </w:p>
        </w:tc>
        <w:tc>
          <w:tcPr>
            <w:tcW w:w="565" w:type="pct"/>
            <w:tcBorders>
              <w:tl2br w:val="nil"/>
              <w:tr2bl w:val="nil"/>
            </w:tcBorders>
            <w:vAlign w:val="center"/>
          </w:tcPr>
          <w:p w14:paraId="0823BFD8">
            <w:pPr>
              <w:pStyle w:val="5"/>
            </w:pPr>
            <w:r>
              <w:rPr>
                <w:rFonts w:hint="eastAsia"/>
              </w:rPr>
              <w:t>3</w:t>
            </w:r>
          </w:p>
        </w:tc>
        <w:tc>
          <w:tcPr>
            <w:tcW w:w="638" w:type="pct"/>
            <w:tcBorders>
              <w:tl2br w:val="nil"/>
              <w:tr2bl w:val="nil"/>
            </w:tcBorders>
            <w:vAlign w:val="center"/>
          </w:tcPr>
          <w:p w14:paraId="25DD8BA0">
            <w:pPr>
              <w:pStyle w:val="5"/>
            </w:pPr>
            <w:r>
              <w:rPr>
                <w:rFonts w:hint="eastAsia"/>
              </w:rPr>
              <w:t>/</w:t>
            </w:r>
          </w:p>
        </w:tc>
        <w:tc>
          <w:tcPr>
            <w:tcW w:w="1888" w:type="dxa"/>
            <w:tcBorders>
              <w:tl2br w:val="nil"/>
              <w:tr2bl w:val="nil"/>
            </w:tcBorders>
            <w:vAlign w:val="center"/>
          </w:tcPr>
          <w:p w14:paraId="5D9DA766">
            <w:pPr>
              <w:pStyle w:val="5"/>
              <w:ind w:firstLine="0" w:firstLineChars="0"/>
            </w:pPr>
            <w:r>
              <w:rPr>
                <w:rFonts w:hint="eastAsia"/>
              </w:rPr>
              <w:t>3</w:t>
            </w:r>
          </w:p>
        </w:tc>
        <w:tc>
          <w:tcPr>
            <w:tcW w:w="299" w:type="pct"/>
            <w:tcBorders>
              <w:tl2br w:val="nil"/>
              <w:tr2bl w:val="nil"/>
            </w:tcBorders>
            <w:vAlign w:val="center"/>
          </w:tcPr>
          <w:p w14:paraId="2781EAF3">
            <w:pPr>
              <w:pStyle w:val="5"/>
            </w:pPr>
            <w:r>
              <w:rPr>
                <w:rFonts w:hint="eastAsia"/>
              </w:rPr>
              <w:t>/</w:t>
            </w:r>
          </w:p>
        </w:tc>
      </w:tr>
    </w:tbl>
    <w:p w14:paraId="52040405">
      <w:pPr>
        <w:ind w:firstLine="480"/>
      </w:pPr>
      <w:r>
        <w:rPr>
          <w:rFonts w:hint="eastAsia"/>
        </w:rPr>
        <w:t>注：⑥=①+③+④-⑤；⑦=⑥-①</w:t>
      </w:r>
    </w:p>
    <w:p w14:paraId="479D3C19">
      <w:pPr>
        <w:jc w:val="center"/>
      </w:pPr>
      <w:bookmarkStart w:id="18" w:name="_GoBack"/>
      <w:bookmarkEnd w:id="18"/>
    </w:p>
    <w:sectPr>
      <w:footerReference r:id="rId12" w:type="default"/>
      <w:pgSz w:w="16838" w:h="11906" w:orient="landscape"/>
      <w:pgMar w:top="1440" w:right="1803" w:bottom="1440" w:left="1803" w:header="851" w:footer="992" w:gutter="0"/>
      <w:cols w:space="0" w:num="1"/>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9F1B">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8DC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8F47">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18C5">
    <w:pPr>
      <w:pStyle w:val="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BF45F">
                          <w:p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273BF45F">
                    <w:pPr>
                      <w:pStyle w:val="7"/>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8569">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DD944">
                          <w:pPr>
                            <w:pStyle w:val="7"/>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6DD944">
                    <w:pPr>
                      <w:pStyle w:val="7"/>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BAC6">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EE91">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B6CF">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E01A3"/>
    <w:multiLevelType w:val="singleLevel"/>
    <w:tmpl w:val="F46E01A3"/>
    <w:lvl w:ilvl="0" w:tentative="0">
      <w:start w:val="2"/>
      <w:numFmt w:val="decimal"/>
      <w:suff w:val="nothing"/>
      <w:lvlText w:val="%1）"/>
      <w:lvlJc w:val="left"/>
    </w:lvl>
  </w:abstractNum>
  <w:abstractNum w:abstractNumId="1">
    <w:nsid w:val="FBBCF7C6"/>
    <w:multiLevelType w:val="singleLevel"/>
    <w:tmpl w:val="FBBCF7C6"/>
    <w:lvl w:ilvl="0" w:tentative="0">
      <w:start w:val="1"/>
      <w:numFmt w:val="decimal"/>
      <w:suff w:val="nothing"/>
      <w:lvlText w:val="%1、"/>
      <w:lvlJc w:val="left"/>
    </w:lvl>
  </w:abstractNum>
  <w:abstractNum w:abstractNumId="2">
    <w:nsid w:val="0B9B45C2"/>
    <w:multiLevelType w:val="singleLevel"/>
    <w:tmpl w:val="0B9B45C2"/>
    <w:lvl w:ilvl="0" w:tentative="0">
      <w:start w:val="2"/>
      <w:numFmt w:val="decimal"/>
      <w:suff w:val="nothing"/>
      <w:lvlText w:val="（%1）"/>
      <w:lvlJc w:val="left"/>
    </w:lvl>
  </w:abstractNum>
  <w:abstractNum w:abstractNumId="3">
    <w:nsid w:val="71001F7E"/>
    <w:multiLevelType w:val="singleLevel"/>
    <w:tmpl w:val="71001F7E"/>
    <w:lvl w:ilvl="0" w:tentative="0">
      <w:start w:val="3"/>
      <w:numFmt w:val="chineseCounting"/>
      <w:suff w:val="nothing"/>
      <w:lvlText w:val="%1、"/>
      <w:lvlJc w:val="left"/>
      <w:rPr>
        <w:rFonts w:hint="eastAsia"/>
      </w:rPr>
    </w:lvl>
  </w:abstractNum>
  <w:abstractNum w:abstractNumId="4">
    <w:nsid w:val="7AD94DBD"/>
    <w:multiLevelType w:val="singleLevel"/>
    <w:tmpl w:val="7AD94DBD"/>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MjdhOGZhMWRmMWM5YTVmMjBkYTQxOTk0ZjkwODAifQ=="/>
  </w:docVars>
  <w:rsids>
    <w:rsidRoot w:val="5F7E1332"/>
    <w:rsid w:val="000534D0"/>
    <w:rsid w:val="000A3B03"/>
    <w:rsid w:val="000E0F23"/>
    <w:rsid w:val="000F7C1C"/>
    <w:rsid w:val="00216515"/>
    <w:rsid w:val="003F4382"/>
    <w:rsid w:val="0040705C"/>
    <w:rsid w:val="00437396"/>
    <w:rsid w:val="004C2EFD"/>
    <w:rsid w:val="004E6ECE"/>
    <w:rsid w:val="004F4C42"/>
    <w:rsid w:val="005A240E"/>
    <w:rsid w:val="005C6ED4"/>
    <w:rsid w:val="00644904"/>
    <w:rsid w:val="006911F9"/>
    <w:rsid w:val="006A0052"/>
    <w:rsid w:val="007A3C5C"/>
    <w:rsid w:val="007B034D"/>
    <w:rsid w:val="007D6196"/>
    <w:rsid w:val="00813FD6"/>
    <w:rsid w:val="008336A6"/>
    <w:rsid w:val="008F11DF"/>
    <w:rsid w:val="009364BC"/>
    <w:rsid w:val="00AC3EC9"/>
    <w:rsid w:val="00AD77D4"/>
    <w:rsid w:val="00B350EA"/>
    <w:rsid w:val="00C437AA"/>
    <w:rsid w:val="00D25665"/>
    <w:rsid w:val="00E00F73"/>
    <w:rsid w:val="00FE2C62"/>
    <w:rsid w:val="01021A57"/>
    <w:rsid w:val="0105508B"/>
    <w:rsid w:val="011028B3"/>
    <w:rsid w:val="011253ED"/>
    <w:rsid w:val="011C0325"/>
    <w:rsid w:val="011C4E4A"/>
    <w:rsid w:val="011D6DA8"/>
    <w:rsid w:val="013F211A"/>
    <w:rsid w:val="0154233F"/>
    <w:rsid w:val="015D0D5E"/>
    <w:rsid w:val="016D5719"/>
    <w:rsid w:val="017641DF"/>
    <w:rsid w:val="01840850"/>
    <w:rsid w:val="0184241E"/>
    <w:rsid w:val="018A7454"/>
    <w:rsid w:val="018F6A3E"/>
    <w:rsid w:val="01BC5F25"/>
    <w:rsid w:val="01D21C48"/>
    <w:rsid w:val="01D4575B"/>
    <w:rsid w:val="01D85C9C"/>
    <w:rsid w:val="01EA03A9"/>
    <w:rsid w:val="01FE5971"/>
    <w:rsid w:val="02034369"/>
    <w:rsid w:val="020C179E"/>
    <w:rsid w:val="02133E97"/>
    <w:rsid w:val="02240524"/>
    <w:rsid w:val="02410D23"/>
    <w:rsid w:val="02426589"/>
    <w:rsid w:val="02494536"/>
    <w:rsid w:val="024C4257"/>
    <w:rsid w:val="02520442"/>
    <w:rsid w:val="025E052D"/>
    <w:rsid w:val="0261789F"/>
    <w:rsid w:val="0270121F"/>
    <w:rsid w:val="027017B7"/>
    <w:rsid w:val="02827732"/>
    <w:rsid w:val="02832A46"/>
    <w:rsid w:val="028364F8"/>
    <w:rsid w:val="02A14EBF"/>
    <w:rsid w:val="02AF2F00"/>
    <w:rsid w:val="02B00016"/>
    <w:rsid w:val="02BC33D8"/>
    <w:rsid w:val="02C76E94"/>
    <w:rsid w:val="02D50705"/>
    <w:rsid w:val="02E81F67"/>
    <w:rsid w:val="02F8758C"/>
    <w:rsid w:val="02FB3323"/>
    <w:rsid w:val="02FC0103"/>
    <w:rsid w:val="03097A27"/>
    <w:rsid w:val="030E6C3D"/>
    <w:rsid w:val="030F6088"/>
    <w:rsid w:val="03104CE8"/>
    <w:rsid w:val="03175C6A"/>
    <w:rsid w:val="031D0406"/>
    <w:rsid w:val="032558AB"/>
    <w:rsid w:val="03280EF8"/>
    <w:rsid w:val="0337738D"/>
    <w:rsid w:val="03391357"/>
    <w:rsid w:val="034872E6"/>
    <w:rsid w:val="034B5B24"/>
    <w:rsid w:val="034D5288"/>
    <w:rsid w:val="035A4CAD"/>
    <w:rsid w:val="035C1D60"/>
    <w:rsid w:val="035D32DE"/>
    <w:rsid w:val="03647119"/>
    <w:rsid w:val="036A00E5"/>
    <w:rsid w:val="03737B70"/>
    <w:rsid w:val="038314D6"/>
    <w:rsid w:val="03AA0E0C"/>
    <w:rsid w:val="03AF445E"/>
    <w:rsid w:val="03B44A07"/>
    <w:rsid w:val="03B54992"/>
    <w:rsid w:val="03BD4AF9"/>
    <w:rsid w:val="03E00877"/>
    <w:rsid w:val="03F04AFA"/>
    <w:rsid w:val="03FA3578"/>
    <w:rsid w:val="04002526"/>
    <w:rsid w:val="040B7160"/>
    <w:rsid w:val="040C7938"/>
    <w:rsid w:val="04114082"/>
    <w:rsid w:val="0414147C"/>
    <w:rsid w:val="041D6583"/>
    <w:rsid w:val="04440EA5"/>
    <w:rsid w:val="044A4D98"/>
    <w:rsid w:val="04553F6E"/>
    <w:rsid w:val="046C392C"/>
    <w:rsid w:val="047B60DC"/>
    <w:rsid w:val="04842AA6"/>
    <w:rsid w:val="048B7990"/>
    <w:rsid w:val="04A32010"/>
    <w:rsid w:val="04B35E06"/>
    <w:rsid w:val="04BC0CE2"/>
    <w:rsid w:val="04BF456D"/>
    <w:rsid w:val="04D84BA6"/>
    <w:rsid w:val="04E65DEF"/>
    <w:rsid w:val="050218E8"/>
    <w:rsid w:val="050D36BF"/>
    <w:rsid w:val="050E2B4E"/>
    <w:rsid w:val="051E3087"/>
    <w:rsid w:val="052B16AF"/>
    <w:rsid w:val="05323B46"/>
    <w:rsid w:val="054115C5"/>
    <w:rsid w:val="0544739A"/>
    <w:rsid w:val="056445DF"/>
    <w:rsid w:val="056735C4"/>
    <w:rsid w:val="056761C0"/>
    <w:rsid w:val="057348B8"/>
    <w:rsid w:val="05784549"/>
    <w:rsid w:val="058A40EC"/>
    <w:rsid w:val="05922FA0"/>
    <w:rsid w:val="0598118A"/>
    <w:rsid w:val="059C3900"/>
    <w:rsid w:val="05AC345C"/>
    <w:rsid w:val="05C217CC"/>
    <w:rsid w:val="05C265A8"/>
    <w:rsid w:val="05D369A7"/>
    <w:rsid w:val="05DE0B37"/>
    <w:rsid w:val="05E46B6C"/>
    <w:rsid w:val="05E653C4"/>
    <w:rsid w:val="05EF03F3"/>
    <w:rsid w:val="05F20305"/>
    <w:rsid w:val="05F66FD8"/>
    <w:rsid w:val="05F70902"/>
    <w:rsid w:val="061B0A5F"/>
    <w:rsid w:val="061C5400"/>
    <w:rsid w:val="06252E2F"/>
    <w:rsid w:val="06327DA4"/>
    <w:rsid w:val="0635675A"/>
    <w:rsid w:val="063D218F"/>
    <w:rsid w:val="06475B39"/>
    <w:rsid w:val="064878CF"/>
    <w:rsid w:val="064A0656"/>
    <w:rsid w:val="065331DA"/>
    <w:rsid w:val="065A11DA"/>
    <w:rsid w:val="065C7563"/>
    <w:rsid w:val="066C01EC"/>
    <w:rsid w:val="066E1982"/>
    <w:rsid w:val="0687285C"/>
    <w:rsid w:val="068F79BB"/>
    <w:rsid w:val="06977A52"/>
    <w:rsid w:val="06A109A1"/>
    <w:rsid w:val="06A27213"/>
    <w:rsid w:val="06BA630B"/>
    <w:rsid w:val="06C228AB"/>
    <w:rsid w:val="06CC42EB"/>
    <w:rsid w:val="06EA3979"/>
    <w:rsid w:val="06EA6920"/>
    <w:rsid w:val="071015E4"/>
    <w:rsid w:val="071F2612"/>
    <w:rsid w:val="07397AB0"/>
    <w:rsid w:val="073B57B2"/>
    <w:rsid w:val="0758145B"/>
    <w:rsid w:val="07582367"/>
    <w:rsid w:val="075B7548"/>
    <w:rsid w:val="075C3866"/>
    <w:rsid w:val="07860F6D"/>
    <w:rsid w:val="07916C38"/>
    <w:rsid w:val="07B60D22"/>
    <w:rsid w:val="07BA7F4B"/>
    <w:rsid w:val="07CF7529"/>
    <w:rsid w:val="07F24777"/>
    <w:rsid w:val="08064DE0"/>
    <w:rsid w:val="081B4976"/>
    <w:rsid w:val="08236AD2"/>
    <w:rsid w:val="08354556"/>
    <w:rsid w:val="0837181B"/>
    <w:rsid w:val="08384945"/>
    <w:rsid w:val="08393BA7"/>
    <w:rsid w:val="083B49A8"/>
    <w:rsid w:val="08463629"/>
    <w:rsid w:val="08472B25"/>
    <w:rsid w:val="084C4F98"/>
    <w:rsid w:val="08542C0C"/>
    <w:rsid w:val="086527A2"/>
    <w:rsid w:val="086D1515"/>
    <w:rsid w:val="088272FC"/>
    <w:rsid w:val="088E3EF3"/>
    <w:rsid w:val="089239A0"/>
    <w:rsid w:val="08B4450F"/>
    <w:rsid w:val="08BC5CDE"/>
    <w:rsid w:val="08C00524"/>
    <w:rsid w:val="08C9422C"/>
    <w:rsid w:val="08DF426D"/>
    <w:rsid w:val="09041F23"/>
    <w:rsid w:val="0905407E"/>
    <w:rsid w:val="09114527"/>
    <w:rsid w:val="091D4F97"/>
    <w:rsid w:val="0921611A"/>
    <w:rsid w:val="092621BD"/>
    <w:rsid w:val="09265ED9"/>
    <w:rsid w:val="092678E9"/>
    <w:rsid w:val="0937357F"/>
    <w:rsid w:val="093A7267"/>
    <w:rsid w:val="094121B0"/>
    <w:rsid w:val="09423D0E"/>
    <w:rsid w:val="0955056D"/>
    <w:rsid w:val="096A1BAA"/>
    <w:rsid w:val="096C6D69"/>
    <w:rsid w:val="097430E9"/>
    <w:rsid w:val="097D7EA9"/>
    <w:rsid w:val="097E6C5B"/>
    <w:rsid w:val="09810AA5"/>
    <w:rsid w:val="09880946"/>
    <w:rsid w:val="09B41737"/>
    <w:rsid w:val="09BD0D3B"/>
    <w:rsid w:val="09C40DDC"/>
    <w:rsid w:val="09CE115A"/>
    <w:rsid w:val="09D34884"/>
    <w:rsid w:val="09D84692"/>
    <w:rsid w:val="0A0107ED"/>
    <w:rsid w:val="0A0D36A8"/>
    <w:rsid w:val="0A116BA1"/>
    <w:rsid w:val="0A1962AF"/>
    <w:rsid w:val="0A225CB5"/>
    <w:rsid w:val="0A2B4726"/>
    <w:rsid w:val="0A2F4F61"/>
    <w:rsid w:val="0A33524B"/>
    <w:rsid w:val="0A467527"/>
    <w:rsid w:val="0A48552D"/>
    <w:rsid w:val="0A495342"/>
    <w:rsid w:val="0A5359E5"/>
    <w:rsid w:val="0A5366A3"/>
    <w:rsid w:val="0A5B7DD0"/>
    <w:rsid w:val="0A5D22F3"/>
    <w:rsid w:val="0A5F7D48"/>
    <w:rsid w:val="0A6041E1"/>
    <w:rsid w:val="0A764688"/>
    <w:rsid w:val="0A8822FF"/>
    <w:rsid w:val="0A891319"/>
    <w:rsid w:val="0A943440"/>
    <w:rsid w:val="0AA946E4"/>
    <w:rsid w:val="0AB45767"/>
    <w:rsid w:val="0ADE32E1"/>
    <w:rsid w:val="0AEE75C3"/>
    <w:rsid w:val="0AF51110"/>
    <w:rsid w:val="0B0540B1"/>
    <w:rsid w:val="0B0577DC"/>
    <w:rsid w:val="0B1352B7"/>
    <w:rsid w:val="0B1407A8"/>
    <w:rsid w:val="0B14505D"/>
    <w:rsid w:val="0B1C7EC5"/>
    <w:rsid w:val="0B281DAE"/>
    <w:rsid w:val="0B290A73"/>
    <w:rsid w:val="0B2A5518"/>
    <w:rsid w:val="0B3429FC"/>
    <w:rsid w:val="0B374D82"/>
    <w:rsid w:val="0B4072D2"/>
    <w:rsid w:val="0B421C91"/>
    <w:rsid w:val="0B4831A2"/>
    <w:rsid w:val="0B507DED"/>
    <w:rsid w:val="0B510E78"/>
    <w:rsid w:val="0B516729"/>
    <w:rsid w:val="0B6700E1"/>
    <w:rsid w:val="0B6727D9"/>
    <w:rsid w:val="0B774DF2"/>
    <w:rsid w:val="0B8909A2"/>
    <w:rsid w:val="0B9263C7"/>
    <w:rsid w:val="0B97713F"/>
    <w:rsid w:val="0B9C5955"/>
    <w:rsid w:val="0BA10EFE"/>
    <w:rsid w:val="0BA86219"/>
    <w:rsid w:val="0BB7042D"/>
    <w:rsid w:val="0BB9554A"/>
    <w:rsid w:val="0BED7D3A"/>
    <w:rsid w:val="0BF6157C"/>
    <w:rsid w:val="0C0519D8"/>
    <w:rsid w:val="0C263DA4"/>
    <w:rsid w:val="0C2866A8"/>
    <w:rsid w:val="0C35268A"/>
    <w:rsid w:val="0C3949CC"/>
    <w:rsid w:val="0C39708D"/>
    <w:rsid w:val="0C3F2B8E"/>
    <w:rsid w:val="0C486E05"/>
    <w:rsid w:val="0C5B0590"/>
    <w:rsid w:val="0C654F6B"/>
    <w:rsid w:val="0C6D6779"/>
    <w:rsid w:val="0C6D7221"/>
    <w:rsid w:val="0C72039F"/>
    <w:rsid w:val="0C77305A"/>
    <w:rsid w:val="0C851ECC"/>
    <w:rsid w:val="0C94408B"/>
    <w:rsid w:val="0C9C3D53"/>
    <w:rsid w:val="0CA331A2"/>
    <w:rsid w:val="0CA54E50"/>
    <w:rsid w:val="0CDD08A4"/>
    <w:rsid w:val="0CDE7688"/>
    <w:rsid w:val="0CE5137D"/>
    <w:rsid w:val="0CFD367F"/>
    <w:rsid w:val="0CFE79E5"/>
    <w:rsid w:val="0D0117A2"/>
    <w:rsid w:val="0D1C4C35"/>
    <w:rsid w:val="0D2A4EDC"/>
    <w:rsid w:val="0D507A05"/>
    <w:rsid w:val="0D5200C9"/>
    <w:rsid w:val="0D611A31"/>
    <w:rsid w:val="0D783CF0"/>
    <w:rsid w:val="0D7E1682"/>
    <w:rsid w:val="0DB810F2"/>
    <w:rsid w:val="0DBA6F5E"/>
    <w:rsid w:val="0DC3019B"/>
    <w:rsid w:val="0DC42165"/>
    <w:rsid w:val="0DCA2386"/>
    <w:rsid w:val="0DCD0521"/>
    <w:rsid w:val="0DD9599C"/>
    <w:rsid w:val="0DEC29A2"/>
    <w:rsid w:val="0DF04637"/>
    <w:rsid w:val="0DF45990"/>
    <w:rsid w:val="0E004DA8"/>
    <w:rsid w:val="0E0908A4"/>
    <w:rsid w:val="0E0B0603"/>
    <w:rsid w:val="0E0D1416"/>
    <w:rsid w:val="0E0D2A9D"/>
    <w:rsid w:val="0E154344"/>
    <w:rsid w:val="0E16722B"/>
    <w:rsid w:val="0E175600"/>
    <w:rsid w:val="0E4B63E2"/>
    <w:rsid w:val="0E5C371A"/>
    <w:rsid w:val="0E650698"/>
    <w:rsid w:val="0E677959"/>
    <w:rsid w:val="0E6849F2"/>
    <w:rsid w:val="0E6F20D1"/>
    <w:rsid w:val="0E723D74"/>
    <w:rsid w:val="0E7616B1"/>
    <w:rsid w:val="0E7E3E81"/>
    <w:rsid w:val="0E8116C4"/>
    <w:rsid w:val="0E953034"/>
    <w:rsid w:val="0E9C279A"/>
    <w:rsid w:val="0EA75449"/>
    <w:rsid w:val="0EB21F75"/>
    <w:rsid w:val="0EBA1E4C"/>
    <w:rsid w:val="0EC33F20"/>
    <w:rsid w:val="0ECA193E"/>
    <w:rsid w:val="0ECA22C7"/>
    <w:rsid w:val="0ECE2228"/>
    <w:rsid w:val="0ED5066F"/>
    <w:rsid w:val="0EE214EC"/>
    <w:rsid w:val="0EE776F4"/>
    <w:rsid w:val="0EF72198"/>
    <w:rsid w:val="0F103E49"/>
    <w:rsid w:val="0F1174E8"/>
    <w:rsid w:val="0F186B4C"/>
    <w:rsid w:val="0F32294D"/>
    <w:rsid w:val="0F3427D8"/>
    <w:rsid w:val="0F390A43"/>
    <w:rsid w:val="0F3B1101"/>
    <w:rsid w:val="0F412176"/>
    <w:rsid w:val="0F4313D0"/>
    <w:rsid w:val="0F482D80"/>
    <w:rsid w:val="0F4F5A5E"/>
    <w:rsid w:val="0F503CB0"/>
    <w:rsid w:val="0F58315F"/>
    <w:rsid w:val="0F60286C"/>
    <w:rsid w:val="0F681F62"/>
    <w:rsid w:val="0F757FCC"/>
    <w:rsid w:val="0F854CFE"/>
    <w:rsid w:val="0F907D05"/>
    <w:rsid w:val="0F923720"/>
    <w:rsid w:val="0F99704C"/>
    <w:rsid w:val="0F9D2027"/>
    <w:rsid w:val="0FA20284"/>
    <w:rsid w:val="0FA47924"/>
    <w:rsid w:val="0FC85454"/>
    <w:rsid w:val="0FC90344"/>
    <w:rsid w:val="0FD117A2"/>
    <w:rsid w:val="0FD52480"/>
    <w:rsid w:val="0FDB1233"/>
    <w:rsid w:val="0FF83FE0"/>
    <w:rsid w:val="0FFE7553"/>
    <w:rsid w:val="10130FC8"/>
    <w:rsid w:val="101A3270"/>
    <w:rsid w:val="102858C5"/>
    <w:rsid w:val="102D5D9F"/>
    <w:rsid w:val="102E2A0D"/>
    <w:rsid w:val="10420916"/>
    <w:rsid w:val="10495B60"/>
    <w:rsid w:val="10646867"/>
    <w:rsid w:val="106A0A5C"/>
    <w:rsid w:val="106F1380"/>
    <w:rsid w:val="108434DD"/>
    <w:rsid w:val="10882251"/>
    <w:rsid w:val="10AB0662"/>
    <w:rsid w:val="10B93643"/>
    <w:rsid w:val="10D171B6"/>
    <w:rsid w:val="10E41D8B"/>
    <w:rsid w:val="10F0334D"/>
    <w:rsid w:val="10F10D27"/>
    <w:rsid w:val="10F56637"/>
    <w:rsid w:val="10FB43DC"/>
    <w:rsid w:val="1105322F"/>
    <w:rsid w:val="11344420"/>
    <w:rsid w:val="11380B03"/>
    <w:rsid w:val="113843A9"/>
    <w:rsid w:val="113969C6"/>
    <w:rsid w:val="113B74BE"/>
    <w:rsid w:val="115E2241"/>
    <w:rsid w:val="11615907"/>
    <w:rsid w:val="116847DF"/>
    <w:rsid w:val="116F17EB"/>
    <w:rsid w:val="11741071"/>
    <w:rsid w:val="118251BF"/>
    <w:rsid w:val="11847E94"/>
    <w:rsid w:val="1191235E"/>
    <w:rsid w:val="119657EE"/>
    <w:rsid w:val="11AF51D5"/>
    <w:rsid w:val="11B37630"/>
    <w:rsid w:val="11C37738"/>
    <w:rsid w:val="11CD62E0"/>
    <w:rsid w:val="11CE72AB"/>
    <w:rsid w:val="11DE7416"/>
    <w:rsid w:val="11DF4918"/>
    <w:rsid w:val="11E26D8A"/>
    <w:rsid w:val="11E67EA6"/>
    <w:rsid w:val="11EA3613"/>
    <w:rsid w:val="11FD5C45"/>
    <w:rsid w:val="11FF0228"/>
    <w:rsid w:val="12154D3D"/>
    <w:rsid w:val="12203B99"/>
    <w:rsid w:val="123262B2"/>
    <w:rsid w:val="1246626D"/>
    <w:rsid w:val="124B69B1"/>
    <w:rsid w:val="124E192F"/>
    <w:rsid w:val="12553912"/>
    <w:rsid w:val="12592F32"/>
    <w:rsid w:val="126A1FE6"/>
    <w:rsid w:val="126E7DE5"/>
    <w:rsid w:val="12756748"/>
    <w:rsid w:val="12771554"/>
    <w:rsid w:val="12796957"/>
    <w:rsid w:val="12A96A36"/>
    <w:rsid w:val="12D60970"/>
    <w:rsid w:val="12D61AC5"/>
    <w:rsid w:val="12DD5DCB"/>
    <w:rsid w:val="12F202E3"/>
    <w:rsid w:val="12FE7EC7"/>
    <w:rsid w:val="13021765"/>
    <w:rsid w:val="13055FA2"/>
    <w:rsid w:val="13076D7C"/>
    <w:rsid w:val="130E6C56"/>
    <w:rsid w:val="13185AFC"/>
    <w:rsid w:val="133E6515"/>
    <w:rsid w:val="134C733E"/>
    <w:rsid w:val="13631AD8"/>
    <w:rsid w:val="13794F34"/>
    <w:rsid w:val="138D1297"/>
    <w:rsid w:val="13A133A7"/>
    <w:rsid w:val="13AC5D60"/>
    <w:rsid w:val="13CB748E"/>
    <w:rsid w:val="13DA09FC"/>
    <w:rsid w:val="13E06287"/>
    <w:rsid w:val="13ED3850"/>
    <w:rsid w:val="13ED66B2"/>
    <w:rsid w:val="13F50CB0"/>
    <w:rsid w:val="140F6F95"/>
    <w:rsid w:val="14131750"/>
    <w:rsid w:val="14186D67"/>
    <w:rsid w:val="141F18B7"/>
    <w:rsid w:val="142A1199"/>
    <w:rsid w:val="142D4720"/>
    <w:rsid w:val="142D6727"/>
    <w:rsid w:val="1447741D"/>
    <w:rsid w:val="14490B4A"/>
    <w:rsid w:val="14515CFB"/>
    <w:rsid w:val="14611720"/>
    <w:rsid w:val="14612B0B"/>
    <w:rsid w:val="146947FA"/>
    <w:rsid w:val="146A104E"/>
    <w:rsid w:val="147527BF"/>
    <w:rsid w:val="14830B50"/>
    <w:rsid w:val="149923D7"/>
    <w:rsid w:val="149A2EA0"/>
    <w:rsid w:val="14A44AAD"/>
    <w:rsid w:val="14AA10DA"/>
    <w:rsid w:val="14B60460"/>
    <w:rsid w:val="14D25AD4"/>
    <w:rsid w:val="14D66C67"/>
    <w:rsid w:val="14D94748"/>
    <w:rsid w:val="14E14371"/>
    <w:rsid w:val="14E16399"/>
    <w:rsid w:val="14F61D8B"/>
    <w:rsid w:val="14FF447B"/>
    <w:rsid w:val="150B4BAC"/>
    <w:rsid w:val="150D68C3"/>
    <w:rsid w:val="150F3E36"/>
    <w:rsid w:val="151F47F0"/>
    <w:rsid w:val="152D0349"/>
    <w:rsid w:val="154E7960"/>
    <w:rsid w:val="15560812"/>
    <w:rsid w:val="15735EBE"/>
    <w:rsid w:val="157A2AC8"/>
    <w:rsid w:val="15837882"/>
    <w:rsid w:val="15864176"/>
    <w:rsid w:val="15884E79"/>
    <w:rsid w:val="158912B7"/>
    <w:rsid w:val="159565E6"/>
    <w:rsid w:val="15997A33"/>
    <w:rsid w:val="159C1339"/>
    <w:rsid w:val="15A21148"/>
    <w:rsid w:val="15A558D2"/>
    <w:rsid w:val="15A61B3B"/>
    <w:rsid w:val="15A811A8"/>
    <w:rsid w:val="15BD1974"/>
    <w:rsid w:val="15CE294C"/>
    <w:rsid w:val="15DF5CFC"/>
    <w:rsid w:val="15FF7782"/>
    <w:rsid w:val="1609726C"/>
    <w:rsid w:val="160C46A9"/>
    <w:rsid w:val="160E1B5C"/>
    <w:rsid w:val="161A09D7"/>
    <w:rsid w:val="161E6396"/>
    <w:rsid w:val="16347B72"/>
    <w:rsid w:val="163A1D57"/>
    <w:rsid w:val="16440701"/>
    <w:rsid w:val="16493655"/>
    <w:rsid w:val="164D7856"/>
    <w:rsid w:val="164E3C95"/>
    <w:rsid w:val="16596E92"/>
    <w:rsid w:val="165D7773"/>
    <w:rsid w:val="166409AA"/>
    <w:rsid w:val="16660238"/>
    <w:rsid w:val="16691AFB"/>
    <w:rsid w:val="166C1284"/>
    <w:rsid w:val="16757794"/>
    <w:rsid w:val="16774FC1"/>
    <w:rsid w:val="167900DB"/>
    <w:rsid w:val="16873D30"/>
    <w:rsid w:val="168D28EB"/>
    <w:rsid w:val="16930926"/>
    <w:rsid w:val="169514C1"/>
    <w:rsid w:val="169A3C25"/>
    <w:rsid w:val="169F376F"/>
    <w:rsid w:val="16AB688D"/>
    <w:rsid w:val="16C535C3"/>
    <w:rsid w:val="16CB2CD0"/>
    <w:rsid w:val="16CE0847"/>
    <w:rsid w:val="16DB0C82"/>
    <w:rsid w:val="16E105C8"/>
    <w:rsid w:val="16EF4623"/>
    <w:rsid w:val="16FA2AF2"/>
    <w:rsid w:val="16FC296F"/>
    <w:rsid w:val="16FF459B"/>
    <w:rsid w:val="170D31EA"/>
    <w:rsid w:val="17111838"/>
    <w:rsid w:val="17120E59"/>
    <w:rsid w:val="172F1D6D"/>
    <w:rsid w:val="17312274"/>
    <w:rsid w:val="173C5E4F"/>
    <w:rsid w:val="17594D48"/>
    <w:rsid w:val="1763479D"/>
    <w:rsid w:val="1766520F"/>
    <w:rsid w:val="17742B91"/>
    <w:rsid w:val="17772C1A"/>
    <w:rsid w:val="177F336A"/>
    <w:rsid w:val="178321B2"/>
    <w:rsid w:val="178503CB"/>
    <w:rsid w:val="17A5458D"/>
    <w:rsid w:val="17C05709"/>
    <w:rsid w:val="17C214C3"/>
    <w:rsid w:val="17CF0B1D"/>
    <w:rsid w:val="17D002B7"/>
    <w:rsid w:val="17D05227"/>
    <w:rsid w:val="17D271A4"/>
    <w:rsid w:val="17D66DF1"/>
    <w:rsid w:val="17D80CE7"/>
    <w:rsid w:val="17E70F2A"/>
    <w:rsid w:val="17F665A1"/>
    <w:rsid w:val="17FE1CAA"/>
    <w:rsid w:val="18057602"/>
    <w:rsid w:val="183604E7"/>
    <w:rsid w:val="18362096"/>
    <w:rsid w:val="183B0290"/>
    <w:rsid w:val="183D0B4A"/>
    <w:rsid w:val="18426965"/>
    <w:rsid w:val="18475E6C"/>
    <w:rsid w:val="184816AE"/>
    <w:rsid w:val="184F4096"/>
    <w:rsid w:val="1854313F"/>
    <w:rsid w:val="185C1D1C"/>
    <w:rsid w:val="186C2871"/>
    <w:rsid w:val="187314B2"/>
    <w:rsid w:val="18773511"/>
    <w:rsid w:val="187E20E9"/>
    <w:rsid w:val="188062D0"/>
    <w:rsid w:val="188D7D18"/>
    <w:rsid w:val="18963829"/>
    <w:rsid w:val="189D1475"/>
    <w:rsid w:val="18A87BA8"/>
    <w:rsid w:val="18BB470A"/>
    <w:rsid w:val="18BB6C9C"/>
    <w:rsid w:val="18D10600"/>
    <w:rsid w:val="18DA1A29"/>
    <w:rsid w:val="18DD7E77"/>
    <w:rsid w:val="18F356AC"/>
    <w:rsid w:val="18FB6063"/>
    <w:rsid w:val="191E4CF6"/>
    <w:rsid w:val="192C4886"/>
    <w:rsid w:val="192E7960"/>
    <w:rsid w:val="19331884"/>
    <w:rsid w:val="19411EA9"/>
    <w:rsid w:val="194E1E8B"/>
    <w:rsid w:val="197113F3"/>
    <w:rsid w:val="19727C40"/>
    <w:rsid w:val="1977360A"/>
    <w:rsid w:val="197C2A56"/>
    <w:rsid w:val="19834E30"/>
    <w:rsid w:val="19855F00"/>
    <w:rsid w:val="199668F6"/>
    <w:rsid w:val="199851FA"/>
    <w:rsid w:val="19987BCA"/>
    <w:rsid w:val="199F2B6E"/>
    <w:rsid w:val="19A70101"/>
    <w:rsid w:val="19A76508"/>
    <w:rsid w:val="19B3271D"/>
    <w:rsid w:val="19B45F23"/>
    <w:rsid w:val="19B47496"/>
    <w:rsid w:val="19DB686C"/>
    <w:rsid w:val="19F14713"/>
    <w:rsid w:val="19F17E3E"/>
    <w:rsid w:val="19FC0E84"/>
    <w:rsid w:val="1A0A7151"/>
    <w:rsid w:val="1A241497"/>
    <w:rsid w:val="1A2E1312"/>
    <w:rsid w:val="1A34694B"/>
    <w:rsid w:val="1A442663"/>
    <w:rsid w:val="1A443DEC"/>
    <w:rsid w:val="1A4D6AF8"/>
    <w:rsid w:val="1A6F1F56"/>
    <w:rsid w:val="1A7F1CED"/>
    <w:rsid w:val="1A9165C6"/>
    <w:rsid w:val="1A93076C"/>
    <w:rsid w:val="1A93534B"/>
    <w:rsid w:val="1A9D32A1"/>
    <w:rsid w:val="1ABC1257"/>
    <w:rsid w:val="1ACA37CD"/>
    <w:rsid w:val="1ACD167B"/>
    <w:rsid w:val="1AD655A0"/>
    <w:rsid w:val="1AD81468"/>
    <w:rsid w:val="1ADA6BAD"/>
    <w:rsid w:val="1ADC62D8"/>
    <w:rsid w:val="1AEE7796"/>
    <w:rsid w:val="1AF074BB"/>
    <w:rsid w:val="1B113107"/>
    <w:rsid w:val="1B162B24"/>
    <w:rsid w:val="1B1B2B52"/>
    <w:rsid w:val="1B2F50C2"/>
    <w:rsid w:val="1B344993"/>
    <w:rsid w:val="1B416F97"/>
    <w:rsid w:val="1B4B4B47"/>
    <w:rsid w:val="1B5872B4"/>
    <w:rsid w:val="1B5910DB"/>
    <w:rsid w:val="1B591161"/>
    <w:rsid w:val="1B5B1E66"/>
    <w:rsid w:val="1B642891"/>
    <w:rsid w:val="1B6D728E"/>
    <w:rsid w:val="1B7724A3"/>
    <w:rsid w:val="1B782A66"/>
    <w:rsid w:val="1B7A0EDF"/>
    <w:rsid w:val="1B7B585D"/>
    <w:rsid w:val="1B814380"/>
    <w:rsid w:val="1B872A58"/>
    <w:rsid w:val="1B891923"/>
    <w:rsid w:val="1B895475"/>
    <w:rsid w:val="1B8A5761"/>
    <w:rsid w:val="1B8B6883"/>
    <w:rsid w:val="1B9C5D53"/>
    <w:rsid w:val="1B9D7C6F"/>
    <w:rsid w:val="1BA64F6C"/>
    <w:rsid w:val="1BCB6AA7"/>
    <w:rsid w:val="1BD74B8D"/>
    <w:rsid w:val="1BDB0DA5"/>
    <w:rsid w:val="1BE12CA9"/>
    <w:rsid w:val="1BE16D7A"/>
    <w:rsid w:val="1BEB30BF"/>
    <w:rsid w:val="1BEE7E34"/>
    <w:rsid w:val="1BF845F2"/>
    <w:rsid w:val="1BF8721B"/>
    <w:rsid w:val="1BFA4B70"/>
    <w:rsid w:val="1BFB5B91"/>
    <w:rsid w:val="1C004D20"/>
    <w:rsid w:val="1C006499"/>
    <w:rsid w:val="1C0A3C7E"/>
    <w:rsid w:val="1C0F4155"/>
    <w:rsid w:val="1C1764BC"/>
    <w:rsid w:val="1C490985"/>
    <w:rsid w:val="1C5D575D"/>
    <w:rsid w:val="1C696D59"/>
    <w:rsid w:val="1C7132AD"/>
    <w:rsid w:val="1C7A574E"/>
    <w:rsid w:val="1C7F119E"/>
    <w:rsid w:val="1C8054A9"/>
    <w:rsid w:val="1C897E07"/>
    <w:rsid w:val="1C8A66C6"/>
    <w:rsid w:val="1C9B1116"/>
    <w:rsid w:val="1C9C4402"/>
    <w:rsid w:val="1CA653B3"/>
    <w:rsid w:val="1CD70E69"/>
    <w:rsid w:val="1CD71815"/>
    <w:rsid w:val="1CD937B8"/>
    <w:rsid w:val="1CDA5E97"/>
    <w:rsid w:val="1CE120D9"/>
    <w:rsid w:val="1CF46BC3"/>
    <w:rsid w:val="1CF62125"/>
    <w:rsid w:val="1D143D63"/>
    <w:rsid w:val="1D161FA0"/>
    <w:rsid w:val="1D3A622F"/>
    <w:rsid w:val="1D3C4002"/>
    <w:rsid w:val="1D4D67EE"/>
    <w:rsid w:val="1D55109C"/>
    <w:rsid w:val="1D756B60"/>
    <w:rsid w:val="1D76400B"/>
    <w:rsid w:val="1D806305"/>
    <w:rsid w:val="1D996ADE"/>
    <w:rsid w:val="1D9D71B6"/>
    <w:rsid w:val="1DC07ED2"/>
    <w:rsid w:val="1DCA7323"/>
    <w:rsid w:val="1DCB4E4A"/>
    <w:rsid w:val="1DE657E0"/>
    <w:rsid w:val="1DE7776B"/>
    <w:rsid w:val="1DF21C0B"/>
    <w:rsid w:val="1DFC761D"/>
    <w:rsid w:val="1E005055"/>
    <w:rsid w:val="1E043040"/>
    <w:rsid w:val="1E236A34"/>
    <w:rsid w:val="1E29622E"/>
    <w:rsid w:val="1E2F2C87"/>
    <w:rsid w:val="1E570CBF"/>
    <w:rsid w:val="1E57657F"/>
    <w:rsid w:val="1E5870F4"/>
    <w:rsid w:val="1E652798"/>
    <w:rsid w:val="1E6B1006"/>
    <w:rsid w:val="1E6B6A94"/>
    <w:rsid w:val="1E776C4D"/>
    <w:rsid w:val="1E7D50A7"/>
    <w:rsid w:val="1E7D7F05"/>
    <w:rsid w:val="1E820F20"/>
    <w:rsid w:val="1E9F4050"/>
    <w:rsid w:val="1EB00322"/>
    <w:rsid w:val="1EB148AD"/>
    <w:rsid w:val="1EDA5344"/>
    <w:rsid w:val="1EF87911"/>
    <w:rsid w:val="1F0C6F32"/>
    <w:rsid w:val="1F200BFF"/>
    <w:rsid w:val="1F374545"/>
    <w:rsid w:val="1F394646"/>
    <w:rsid w:val="1F537DE5"/>
    <w:rsid w:val="1F5A6C90"/>
    <w:rsid w:val="1F613081"/>
    <w:rsid w:val="1F675F90"/>
    <w:rsid w:val="1F6F13CF"/>
    <w:rsid w:val="1F802468"/>
    <w:rsid w:val="1F8B1D63"/>
    <w:rsid w:val="1FA3607E"/>
    <w:rsid w:val="1FB90A1C"/>
    <w:rsid w:val="1FE03E2B"/>
    <w:rsid w:val="1FE37A7E"/>
    <w:rsid w:val="1FF14949"/>
    <w:rsid w:val="1FFE1506"/>
    <w:rsid w:val="2006738C"/>
    <w:rsid w:val="20080E5C"/>
    <w:rsid w:val="201A057D"/>
    <w:rsid w:val="201C09AD"/>
    <w:rsid w:val="201D23A3"/>
    <w:rsid w:val="201E3957"/>
    <w:rsid w:val="203A4B4D"/>
    <w:rsid w:val="20490B12"/>
    <w:rsid w:val="204F1D62"/>
    <w:rsid w:val="205278D1"/>
    <w:rsid w:val="205D447F"/>
    <w:rsid w:val="20602E5A"/>
    <w:rsid w:val="2060784B"/>
    <w:rsid w:val="206550E2"/>
    <w:rsid w:val="20661A0C"/>
    <w:rsid w:val="20693422"/>
    <w:rsid w:val="20753213"/>
    <w:rsid w:val="207F06E8"/>
    <w:rsid w:val="20805EFE"/>
    <w:rsid w:val="20830D63"/>
    <w:rsid w:val="2083210F"/>
    <w:rsid w:val="20923CD9"/>
    <w:rsid w:val="20996958"/>
    <w:rsid w:val="209D20E5"/>
    <w:rsid w:val="20A92827"/>
    <w:rsid w:val="20B95B5F"/>
    <w:rsid w:val="20D236AA"/>
    <w:rsid w:val="20D67D8D"/>
    <w:rsid w:val="20D93FB0"/>
    <w:rsid w:val="20DE7DDC"/>
    <w:rsid w:val="20E701EC"/>
    <w:rsid w:val="21113C39"/>
    <w:rsid w:val="212A4048"/>
    <w:rsid w:val="21317460"/>
    <w:rsid w:val="213F5933"/>
    <w:rsid w:val="21501063"/>
    <w:rsid w:val="2154600F"/>
    <w:rsid w:val="216F7564"/>
    <w:rsid w:val="217C70D1"/>
    <w:rsid w:val="217F6677"/>
    <w:rsid w:val="218246D0"/>
    <w:rsid w:val="218E3BEC"/>
    <w:rsid w:val="219200B1"/>
    <w:rsid w:val="21A024BA"/>
    <w:rsid w:val="21AD0AEE"/>
    <w:rsid w:val="21BF7475"/>
    <w:rsid w:val="21C6111D"/>
    <w:rsid w:val="21E71C41"/>
    <w:rsid w:val="21F10302"/>
    <w:rsid w:val="21F726B1"/>
    <w:rsid w:val="2201740A"/>
    <w:rsid w:val="22110035"/>
    <w:rsid w:val="22121299"/>
    <w:rsid w:val="221D4F67"/>
    <w:rsid w:val="2221247E"/>
    <w:rsid w:val="224174B9"/>
    <w:rsid w:val="225720A3"/>
    <w:rsid w:val="22603BFE"/>
    <w:rsid w:val="226D325F"/>
    <w:rsid w:val="228252BC"/>
    <w:rsid w:val="2284238D"/>
    <w:rsid w:val="228A17B0"/>
    <w:rsid w:val="229B303C"/>
    <w:rsid w:val="22A7085F"/>
    <w:rsid w:val="22CA56D0"/>
    <w:rsid w:val="22DB2627"/>
    <w:rsid w:val="22DF568D"/>
    <w:rsid w:val="22E92FC1"/>
    <w:rsid w:val="22ED46CC"/>
    <w:rsid w:val="22EF3C60"/>
    <w:rsid w:val="23012244"/>
    <w:rsid w:val="230175D1"/>
    <w:rsid w:val="23250AF9"/>
    <w:rsid w:val="232C1EE7"/>
    <w:rsid w:val="23362FDC"/>
    <w:rsid w:val="233C7EDA"/>
    <w:rsid w:val="234C0FFE"/>
    <w:rsid w:val="234F7600"/>
    <w:rsid w:val="2351194D"/>
    <w:rsid w:val="235D3A5E"/>
    <w:rsid w:val="236B43DE"/>
    <w:rsid w:val="236C7B85"/>
    <w:rsid w:val="23737B15"/>
    <w:rsid w:val="237C2E6E"/>
    <w:rsid w:val="23835FEB"/>
    <w:rsid w:val="2388467E"/>
    <w:rsid w:val="23902475"/>
    <w:rsid w:val="23B045A6"/>
    <w:rsid w:val="23BD184C"/>
    <w:rsid w:val="23BE21BE"/>
    <w:rsid w:val="23C21FD8"/>
    <w:rsid w:val="23C8759D"/>
    <w:rsid w:val="23E20868"/>
    <w:rsid w:val="23EA3342"/>
    <w:rsid w:val="23F711EF"/>
    <w:rsid w:val="24042E63"/>
    <w:rsid w:val="240F3180"/>
    <w:rsid w:val="24124B1A"/>
    <w:rsid w:val="241A1E83"/>
    <w:rsid w:val="241C5450"/>
    <w:rsid w:val="242D5F16"/>
    <w:rsid w:val="24313629"/>
    <w:rsid w:val="244A58AB"/>
    <w:rsid w:val="245434CE"/>
    <w:rsid w:val="246D0CD8"/>
    <w:rsid w:val="24910197"/>
    <w:rsid w:val="249441E7"/>
    <w:rsid w:val="249B7324"/>
    <w:rsid w:val="24AA7567"/>
    <w:rsid w:val="24AF7273"/>
    <w:rsid w:val="24B208DF"/>
    <w:rsid w:val="24C525F3"/>
    <w:rsid w:val="24DE5462"/>
    <w:rsid w:val="24E36DD4"/>
    <w:rsid w:val="24E46A77"/>
    <w:rsid w:val="24E709E0"/>
    <w:rsid w:val="24ED3E00"/>
    <w:rsid w:val="24ED4581"/>
    <w:rsid w:val="25087C64"/>
    <w:rsid w:val="25096983"/>
    <w:rsid w:val="251A3E1D"/>
    <w:rsid w:val="25241B52"/>
    <w:rsid w:val="255D3E61"/>
    <w:rsid w:val="255F7774"/>
    <w:rsid w:val="256732C6"/>
    <w:rsid w:val="256736AA"/>
    <w:rsid w:val="256F3C14"/>
    <w:rsid w:val="257608E2"/>
    <w:rsid w:val="258B4548"/>
    <w:rsid w:val="258B500F"/>
    <w:rsid w:val="258C4C32"/>
    <w:rsid w:val="258F27CB"/>
    <w:rsid w:val="259A5476"/>
    <w:rsid w:val="25A50377"/>
    <w:rsid w:val="25B44393"/>
    <w:rsid w:val="25C32FD6"/>
    <w:rsid w:val="25C428AA"/>
    <w:rsid w:val="25C61493"/>
    <w:rsid w:val="25E12C94"/>
    <w:rsid w:val="25E52CDA"/>
    <w:rsid w:val="25E940BF"/>
    <w:rsid w:val="25ED3536"/>
    <w:rsid w:val="25EE610A"/>
    <w:rsid w:val="25F21DF8"/>
    <w:rsid w:val="25F61BA0"/>
    <w:rsid w:val="25F62749"/>
    <w:rsid w:val="25FE3775"/>
    <w:rsid w:val="26064C51"/>
    <w:rsid w:val="260F0767"/>
    <w:rsid w:val="26226DA0"/>
    <w:rsid w:val="26313084"/>
    <w:rsid w:val="263A5E5B"/>
    <w:rsid w:val="26440ABD"/>
    <w:rsid w:val="264A1FAF"/>
    <w:rsid w:val="26667E05"/>
    <w:rsid w:val="266F6CBA"/>
    <w:rsid w:val="267F4C94"/>
    <w:rsid w:val="267F67D1"/>
    <w:rsid w:val="268A7650"/>
    <w:rsid w:val="269E73A8"/>
    <w:rsid w:val="26C879A0"/>
    <w:rsid w:val="26C97A99"/>
    <w:rsid w:val="26D47839"/>
    <w:rsid w:val="26E92467"/>
    <w:rsid w:val="26F2099A"/>
    <w:rsid w:val="271B2D57"/>
    <w:rsid w:val="271B3285"/>
    <w:rsid w:val="27270858"/>
    <w:rsid w:val="2734593E"/>
    <w:rsid w:val="27457A1B"/>
    <w:rsid w:val="275F3FFD"/>
    <w:rsid w:val="27624129"/>
    <w:rsid w:val="277863D8"/>
    <w:rsid w:val="27790677"/>
    <w:rsid w:val="27A373D4"/>
    <w:rsid w:val="27B106F9"/>
    <w:rsid w:val="27B92596"/>
    <w:rsid w:val="27B9634F"/>
    <w:rsid w:val="27BA3246"/>
    <w:rsid w:val="27C724D1"/>
    <w:rsid w:val="27C828B7"/>
    <w:rsid w:val="27CF692B"/>
    <w:rsid w:val="27D1651B"/>
    <w:rsid w:val="27D84CE6"/>
    <w:rsid w:val="27DB221C"/>
    <w:rsid w:val="27E413AE"/>
    <w:rsid w:val="27E965F8"/>
    <w:rsid w:val="27FC6368"/>
    <w:rsid w:val="280264C3"/>
    <w:rsid w:val="28034FD9"/>
    <w:rsid w:val="280C52CA"/>
    <w:rsid w:val="28334781"/>
    <w:rsid w:val="283D461F"/>
    <w:rsid w:val="28523AFF"/>
    <w:rsid w:val="285B184B"/>
    <w:rsid w:val="28640A1C"/>
    <w:rsid w:val="28736DBF"/>
    <w:rsid w:val="2877137F"/>
    <w:rsid w:val="2888032F"/>
    <w:rsid w:val="28AA460A"/>
    <w:rsid w:val="28BE0987"/>
    <w:rsid w:val="28D948BF"/>
    <w:rsid w:val="28E21F0E"/>
    <w:rsid w:val="28EA61ED"/>
    <w:rsid w:val="28EB12EF"/>
    <w:rsid w:val="28EC5BE2"/>
    <w:rsid w:val="29040601"/>
    <w:rsid w:val="291A3A54"/>
    <w:rsid w:val="2927387C"/>
    <w:rsid w:val="292913D1"/>
    <w:rsid w:val="29307C15"/>
    <w:rsid w:val="2931282F"/>
    <w:rsid w:val="29321C8C"/>
    <w:rsid w:val="29364BAC"/>
    <w:rsid w:val="29427770"/>
    <w:rsid w:val="294436C0"/>
    <w:rsid w:val="29555448"/>
    <w:rsid w:val="295B068E"/>
    <w:rsid w:val="295B52D4"/>
    <w:rsid w:val="295E6B72"/>
    <w:rsid w:val="29753E5B"/>
    <w:rsid w:val="297E6BF0"/>
    <w:rsid w:val="29820AB2"/>
    <w:rsid w:val="29830A23"/>
    <w:rsid w:val="298505A2"/>
    <w:rsid w:val="299719DF"/>
    <w:rsid w:val="29AD1B69"/>
    <w:rsid w:val="29B56A34"/>
    <w:rsid w:val="29C25353"/>
    <w:rsid w:val="29C454C5"/>
    <w:rsid w:val="29CC1CFC"/>
    <w:rsid w:val="29CD34E8"/>
    <w:rsid w:val="29DF4CE2"/>
    <w:rsid w:val="29E54A64"/>
    <w:rsid w:val="2A0635A2"/>
    <w:rsid w:val="2A162B62"/>
    <w:rsid w:val="2A1910AD"/>
    <w:rsid w:val="2A2C3B54"/>
    <w:rsid w:val="2A2D69AF"/>
    <w:rsid w:val="2A383867"/>
    <w:rsid w:val="2A515941"/>
    <w:rsid w:val="2A763ACC"/>
    <w:rsid w:val="2A7A3E7F"/>
    <w:rsid w:val="2A870C89"/>
    <w:rsid w:val="2A90718F"/>
    <w:rsid w:val="2AA131BA"/>
    <w:rsid w:val="2AA23D32"/>
    <w:rsid w:val="2AA86F56"/>
    <w:rsid w:val="2AAA703B"/>
    <w:rsid w:val="2ABB69E6"/>
    <w:rsid w:val="2AC902C8"/>
    <w:rsid w:val="2AC973CA"/>
    <w:rsid w:val="2ADD08E9"/>
    <w:rsid w:val="2ADE6FBF"/>
    <w:rsid w:val="2AE13B88"/>
    <w:rsid w:val="2AE60D1A"/>
    <w:rsid w:val="2AE80B7A"/>
    <w:rsid w:val="2B0705B1"/>
    <w:rsid w:val="2B0F3150"/>
    <w:rsid w:val="2B1B15F8"/>
    <w:rsid w:val="2B1F02A6"/>
    <w:rsid w:val="2B400DAF"/>
    <w:rsid w:val="2B492DBB"/>
    <w:rsid w:val="2B4C0C79"/>
    <w:rsid w:val="2B620B9B"/>
    <w:rsid w:val="2B6C2E05"/>
    <w:rsid w:val="2B793E3B"/>
    <w:rsid w:val="2B9335CA"/>
    <w:rsid w:val="2B9614C0"/>
    <w:rsid w:val="2BB02A37"/>
    <w:rsid w:val="2BB60206"/>
    <w:rsid w:val="2BBF5C96"/>
    <w:rsid w:val="2BC172BB"/>
    <w:rsid w:val="2BCD0AC5"/>
    <w:rsid w:val="2BCE08EC"/>
    <w:rsid w:val="2BDA1BE3"/>
    <w:rsid w:val="2BE02C40"/>
    <w:rsid w:val="2BE45A54"/>
    <w:rsid w:val="2BE84159"/>
    <w:rsid w:val="2BF05038"/>
    <w:rsid w:val="2BF5472F"/>
    <w:rsid w:val="2C103AD8"/>
    <w:rsid w:val="2C143C59"/>
    <w:rsid w:val="2C216280"/>
    <w:rsid w:val="2C2D1DE5"/>
    <w:rsid w:val="2C2E6CCF"/>
    <w:rsid w:val="2C361D24"/>
    <w:rsid w:val="2C384359"/>
    <w:rsid w:val="2C3F2300"/>
    <w:rsid w:val="2C472C8F"/>
    <w:rsid w:val="2C4B6F74"/>
    <w:rsid w:val="2C555293"/>
    <w:rsid w:val="2C5A1872"/>
    <w:rsid w:val="2C6D3C9C"/>
    <w:rsid w:val="2C723109"/>
    <w:rsid w:val="2C736DD8"/>
    <w:rsid w:val="2C742F1C"/>
    <w:rsid w:val="2C772F4A"/>
    <w:rsid w:val="2C7D4FE4"/>
    <w:rsid w:val="2C864E97"/>
    <w:rsid w:val="2C873750"/>
    <w:rsid w:val="2C874703"/>
    <w:rsid w:val="2C876629"/>
    <w:rsid w:val="2C877BB5"/>
    <w:rsid w:val="2C9C4F27"/>
    <w:rsid w:val="2CA53E3F"/>
    <w:rsid w:val="2CA95714"/>
    <w:rsid w:val="2CAB35CB"/>
    <w:rsid w:val="2CAF5097"/>
    <w:rsid w:val="2CE55400"/>
    <w:rsid w:val="2CE61F34"/>
    <w:rsid w:val="2CE81CFA"/>
    <w:rsid w:val="2CEE4A0A"/>
    <w:rsid w:val="2CF50043"/>
    <w:rsid w:val="2D0C2E9D"/>
    <w:rsid w:val="2D2C767B"/>
    <w:rsid w:val="2D2F6636"/>
    <w:rsid w:val="2D300D92"/>
    <w:rsid w:val="2D4B71F5"/>
    <w:rsid w:val="2D4D30D8"/>
    <w:rsid w:val="2D5B3AF4"/>
    <w:rsid w:val="2D5B7F98"/>
    <w:rsid w:val="2D731B04"/>
    <w:rsid w:val="2D7A2D69"/>
    <w:rsid w:val="2D834B46"/>
    <w:rsid w:val="2D874EDD"/>
    <w:rsid w:val="2D8A4045"/>
    <w:rsid w:val="2D8C42FF"/>
    <w:rsid w:val="2DA32202"/>
    <w:rsid w:val="2DB75511"/>
    <w:rsid w:val="2DBA2380"/>
    <w:rsid w:val="2DC75AA9"/>
    <w:rsid w:val="2DCF0DA2"/>
    <w:rsid w:val="2DD02CED"/>
    <w:rsid w:val="2DD71A75"/>
    <w:rsid w:val="2DE80B0C"/>
    <w:rsid w:val="2DEC6C60"/>
    <w:rsid w:val="2DEF0A39"/>
    <w:rsid w:val="2DF1367E"/>
    <w:rsid w:val="2DF67CC1"/>
    <w:rsid w:val="2E123636"/>
    <w:rsid w:val="2E2509EC"/>
    <w:rsid w:val="2E351396"/>
    <w:rsid w:val="2E395473"/>
    <w:rsid w:val="2E451FD1"/>
    <w:rsid w:val="2E4F6AE3"/>
    <w:rsid w:val="2E535041"/>
    <w:rsid w:val="2E5A7854"/>
    <w:rsid w:val="2E6966E5"/>
    <w:rsid w:val="2E711A24"/>
    <w:rsid w:val="2E7A5657"/>
    <w:rsid w:val="2E895C66"/>
    <w:rsid w:val="2E9B6172"/>
    <w:rsid w:val="2EAD1226"/>
    <w:rsid w:val="2EB427DD"/>
    <w:rsid w:val="2EB5669F"/>
    <w:rsid w:val="2EB96272"/>
    <w:rsid w:val="2EBA75E0"/>
    <w:rsid w:val="2EBC1762"/>
    <w:rsid w:val="2ED239AA"/>
    <w:rsid w:val="2ED93263"/>
    <w:rsid w:val="2EE90EC4"/>
    <w:rsid w:val="2EEE2746"/>
    <w:rsid w:val="2EF04710"/>
    <w:rsid w:val="2EF22C11"/>
    <w:rsid w:val="2EF80791"/>
    <w:rsid w:val="2F113949"/>
    <w:rsid w:val="2F155F9A"/>
    <w:rsid w:val="2F195A15"/>
    <w:rsid w:val="2F29172C"/>
    <w:rsid w:val="2F31497D"/>
    <w:rsid w:val="2F323F98"/>
    <w:rsid w:val="2F406446"/>
    <w:rsid w:val="2F475735"/>
    <w:rsid w:val="2F4F3C41"/>
    <w:rsid w:val="2F650C5A"/>
    <w:rsid w:val="2F65331D"/>
    <w:rsid w:val="2F6A3A41"/>
    <w:rsid w:val="2F745AFB"/>
    <w:rsid w:val="2F83700A"/>
    <w:rsid w:val="2FC36244"/>
    <w:rsid w:val="2FF34336"/>
    <w:rsid w:val="2FF50F10"/>
    <w:rsid w:val="3000392C"/>
    <w:rsid w:val="300A6ACB"/>
    <w:rsid w:val="300B0AA2"/>
    <w:rsid w:val="302428C3"/>
    <w:rsid w:val="302A247E"/>
    <w:rsid w:val="30300F95"/>
    <w:rsid w:val="303221D2"/>
    <w:rsid w:val="303D1BD7"/>
    <w:rsid w:val="304B055B"/>
    <w:rsid w:val="304C3BC8"/>
    <w:rsid w:val="30537C8D"/>
    <w:rsid w:val="305D6B4A"/>
    <w:rsid w:val="305D6DE0"/>
    <w:rsid w:val="30692FA9"/>
    <w:rsid w:val="307F7AFA"/>
    <w:rsid w:val="308B2705"/>
    <w:rsid w:val="309A756F"/>
    <w:rsid w:val="30A23521"/>
    <w:rsid w:val="30BF628B"/>
    <w:rsid w:val="30CC62CE"/>
    <w:rsid w:val="30E341B3"/>
    <w:rsid w:val="30E54768"/>
    <w:rsid w:val="30EC1347"/>
    <w:rsid w:val="30EE0BAA"/>
    <w:rsid w:val="30F50947"/>
    <w:rsid w:val="310A7271"/>
    <w:rsid w:val="31232A00"/>
    <w:rsid w:val="3126530C"/>
    <w:rsid w:val="315B6931"/>
    <w:rsid w:val="31621B81"/>
    <w:rsid w:val="317556EE"/>
    <w:rsid w:val="31842A3C"/>
    <w:rsid w:val="31A2350C"/>
    <w:rsid w:val="31E63BA8"/>
    <w:rsid w:val="31FC2FF6"/>
    <w:rsid w:val="31FD161E"/>
    <w:rsid w:val="32124D79"/>
    <w:rsid w:val="32157CE1"/>
    <w:rsid w:val="32280A05"/>
    <w:rsid w:val="32280BB6"/>
    <w:rsid w:val="32427C36"/>
    <w:rsid w:val="32566604"/>
    <w:rsid w:val="325C7A19"/>
    <w:rsid w:val="325F4087"/>
    <w:rsid w:val="32630C08"/>
    <w:rsid w:val="326450CC"/>
    <w:rsid w:val="3270424C"/>
    <w:rsid w:val="32726D33"/>
    <w:rsid w:val="32793F3A"/>
    <w:rsid w:val="32860D1E"/>
    <w:rsid w:val="32862F30"/>
    <w:rsid w:val="32882305"/>
    <w:rsid w:val="328A4F57"/>
    <w:rsid w:val="328B07E4"/>
    <w:rsid w:val="32944E41"/>
    <w:rsid w:val="32A0583E"/>
    <w:rsid w:val="32A46FE0"/>
    <w:rsid w:val="32B605BF"/>
    <w:rsid w:val="32B92120"/>
    <w:rsid w:val="32BB5035"/>
    <w:rsid w:val="32BC0383"/>
    <w:rsid w:val="32C14680"/>
    <w:rsid w:val="32CE3CD5"/>
    <w:rsid w:val="32D86607"/>
    <w:rsid w:val="32F32A21"/>
    <w:rsid w:val="32F81DE5"/>
    <w:rsid w:val="33026AB6"/>
    <w:rsid w:val="331D1DC7"/>
    <w:rsid w:val="331D4753"/>
    <w:rsid w:val="332F0F2C"/>
    <w:rsid w:val="336A6781"/>
    <w:rsid w:val="3381451A"/>
    <w:rsid w:val="33B03948"/>
    <w:rsid w:val="33B757FC"/>
    <w:rsid w:val="33E83C08"/>
    <w:rsid w:val="33FC5476"/>
    <w:rsid w:val="340053F5"/>
    <w:rsid w:val="3422536C"/>
    <w:rsid w:val="34243F38"/>
    <w:rsid w:val="34370350"/>
    <w:rsid w:val="346A4411"/>
    <w:rsid w:val="34725CB8"/>
    <w:rsid w:val="347528E2"/>
    <w:rsid w:val="34842006"/>
    <w:rsid w:val="34880C74"/>
    <w:rsid w:val="349647EC"/>
    <w:rsid w:val="34AE28E6"/>
    <w:rsid w:val="34B350A7"/>
    <w:rsid w:val="34B56C63"/>
    <w:rsid w:val="34CA36DC"/>
    <w:rsid w:val="34DE0411"/>
    <w:rsid w:val="350031D3"/>
    <w:rsid w:val="35091DB3"/>
    <w:rsid w:val="35235FEA"/>
    <w:rsid w:val="35245113"/>
    <w:rsid w:val="35303287"/>
    <w:rsid w:val="35363B2B"/>
    <w:rsid w:val="35386B47"/>
    <w:rsid w:val="353F5AA9"/>
    <w:rsid w:val="35410E83"/>
    <w:rsid w:val="354D05EE"/>
    <w:rsid w:val="35612AF2"/>
    <w:rsid w:val="35616DB9"/>
    <w:rsid w:val="356E3BA6"/>
    <w:rsid w:val="356F67B8"/>
    <w:rsid w:val="357A4AB5"/>
    <w:rsid w:val="35912DAA"/>
    <w:rsid w:val="35A27EC6"/>
    <w:rsid w:val="35AE42D8"/>
    <w:rsid w:val="35B51C32"/>
    <w:rsid w:val="35C459EF"/>
    <w:rsid w:val="35D91551"/>
    <w:rsid w:val="35DA14FD"/>
    <w:rsid w:val="35DB7C86"/>
    <w:rsid w:val="35DE6465"/>
    <w:rsid w:val="35E30B2B"/>
    <w:rsid w:val="35EA079B"/>
    <w:rsid w:val="35EA7759"/>
    <w:rsid w:val="35FE7B95"/>
    <w:rsid w:val="360C1DD5"/>
    <w:rsid w:val="36114D35"/>
    <w:rsid w:val="361940EB"/>
    <w:rsid w:val="361F7B5A"/>
    <w:rsid w:val="36255BC3"/>
    <w:rsid w:val="363045D4"/>
    <w:rsid w:val="36415304"/>
    <w:rsid w:val="365650D6"/>
    <w:rsid w:val="36581519"/>
    <w:rsid w:val="3666184C"/>
    <w:rsid w:val="36810CFF"/>
    <w:rsid w:val="369E4A52"/>
    <w:rsid w:val="36A1760F"/>
    <w:rsid w:val="36B51623"/>
    <w:rsid w:val="36B7054B"/>
    <w:rsid w:val="36B94773"/>
    <w:rsid w:val="36C0611C"/>
    <w:rsid w:val="36C330CF"/>
    <w:rsid w:val="36D83E3F"/>
    <w:rsid w:val="36E53567"/>
    <w:rsid w:val="36EC6FCB"/>
    <w:rsid w:val="37054AD1"/>
    <w:rsid w:val="3710594F"/>
    <w:rsid w:val="37400A56"/>
    <w:rsid w:val="375861A4"/>
    <w:rsid w:val="376B202F"/>
    <w:rsid w:val="3771093C"/>
    <w:rsid w:val="37766485"/>
    <w:rsid w:val="377F3076"/>
    <w:rsid w:val="37802DC5"/>
    <w:rsid w:val="37823006"/>
    <w:rsid w:val="37871CE1"/>
    <w:rsid w:val="37A862AA"/>
    <w:rsid w:val="37B30834"/>
    <w:rsid w:val="37B95FE7"/>
    <w:rsid w:val="37BA22E6"/>
    <w:rsid w:val="37C21110"/>
    <w:rsid w:val="37CF580A"/>
    <w:rsid w:val="37D32568"/>
    <w:rsid w:val="37F25055"/>
    <w:rsid w:val="380123AD"/>
    <w:rsid w:val="38141C2A"/>
    <w:rsid w:val="38190EC1"/>
    <w:rsid w:val="382F0F1A"/>
    <w:rsid w:val="38312021"/>
    <w:rsid w:val="38325514"/>
    <w:rsid w:val="3872637B"/>
    <w:rsid w:val="38793836"/>
    <w:rsid w:val="388C1797"/>
    <w:rsid w:val="389A78D8"/>
    <w:rsid w:val="389B623C"/>
    <w:rsid w:val="38A22800"/>
    <w:rsid w:val="38B06467"/>
    <w:rsid w:val="38BF34B1"/>
    <w:rsid w:val="38BF41AB"/>
    <w:rsid w:val="38C0632A"/>
    <w:rsid w:val="38C302A7"/>
    <w:rsid w:val="38CC1257"/>
    <w:rsid w:val="38CD0F8C"/>
    <w:rsid w:val="38D97115"/>
    <w:rsid w:val="38F84544"/>
    <w:rsid w:val="390B0AC4"/>
    <w:rsid w:val="39162FC5"/>
    <w:rsid w:val="391942BB"/>
    <w:rsid w:val="391A244F"/>
    <w:rsid w:val="39205D9E"/>
    <w:rsid w:val="39273424"/>
    <w:rsid w:val="39316AFC"/>
    <w:rsid w:val="39377035"/>
    <w:rsid w:val="393A7292"/>
    <w:rsid w:val="39464DD9"/>
    <w:rsid w:val="39472787"/>
    <w:rsid w:val="3949339B"/>
    <w:rsid w:val="39581A48"/>
    <w:rsid w:val="395A3E19"/>
    <w:rsid w:val="395D29A2"/>
    <w:rsid w:val="3962779A"/>
    <w:rsid w:val="39657367"/>
    <w:rsid w:val="39705CA8"/>
    <w:rsid w:val="39722A70"/>
    <w:rsid w:val="3981080C"/>
    <w:rsid w:val="39871519"/>
    <w:rsid w:val="399B06EB"/>
    <w:rsid w:val="39B028C0"/>
    <w:rsid w:val="39B60304"/>
    <w:rsid w:val="39B76556"/>
    <w:rsid w:val="39D42649"/>
    <w:rsid w:val="39DE109E"/>
    <w:rsid w:val="39E11A28"/>
    <w:rsid w:val="39E3734B"/>
    <w:rsid w:val="3A080BE1"/>
    <w:rsid w:val="3A131E5A"/>
    <w:rsid w:val="3A1D7F28"/>
    <w:rsid w:val="3A2F2590"/>
    <w:rsid w:val="3A3000B7"/>
    <w:rsid w:val="3A3375A8"/>
    <w:rsid w:val="3A346BAD"/>
    <w:rsid w:val="3A3B7187"/>
    <w:rsid w:val="3A3F6E8C"/>
    <w:rsid w:val="3A4714AE"/>
    <w:rsid w:val="3A4719C3"/>
    <w:rsid w:val="3A5405D4"/>
    <w:rsid w:val="3A6C08F4"/>
    <w:rsid w:val="3A7C2944"/>
    <w:rsid w:val="3A8109F1"/>
    <w:rsid w:val="3A872C19"/>
    <w:rsid w:val="3A907460"/>
    <w:rsid w:val="3AC311A4"/>
    <w:rsid w:val="3ACF2F54"/>
    <w:rsid w:val="3ADB498A"/>
    <w:rsid w:val="3AEC4883"/>
    <w:rsid w:val="3AF767C6"/>
    <w:rsid w:val="3AFC4698"/>
    <w:rsid w:val="3AFC5296"/>
    <w:rsid w:val="3AFF1468"/>
    <w:rsid w:val="3B052FDA"/>
    <w:rsid w:val="3B0A169F"/>
    <w:rsid w:val="3B0C0187"/>
    <w:rsid w:val="3B0E03F8"/>
    <w:rsid w:val="3B1039F4"/>
    <w:rsid w:val="3B110460"/>
    <w:rsid w:val="3B133C60"/>
    <w:rsid w:val="3B2E0C01"/>
    <w:rsid w:val="3B60503D"/>
    <w:rsid w:val="3B6F4C0F"/>
    <w:rsid w:val="3B991ABD"/>
    <w:rsid w:val="3B9A612F"/>
    <w:rsid w:val="3B9D79CE"/>
    <w:rsid w:val="3B9F3102"/>
    <w:rsid w:val="3BA7203F"/>
    <w:rsid w:val="3BAF64C2"/>
    <w:rsid w:val="3BB5271A"/>
    <w:rsid w:val="3BBE324F"/>
    <w:rsid w:val="3BC039F6"/>
    <w:rsid w:val="3BC2134B"/>
    <w:rsid w:val="3BC6569C"/>
    <w:rsid w:val="3BD32F25"/>
    <w:rsid w:val="3BE92C13"/>
    <w:rsid w:val="3BEE1FD4"/>
    <w:rsid w:val="3BF015FD"/>
    <w:rsid w:val="3BF77C28"/>
    <w:rsid w:val="3BFB3A9F"/>
    <w:rsid w:val="3C0074AE"/>
    <w:rsid w:val="3C120CA5"/>
    <w:rsid w:val="3C1B6FEC"/>
    <w:rsid w:val="3C2E2894"/>
    <w:rsid w:val="3C7544A7"/>
    <w:rsid w:val="3C8D4E8D"/>
    <w:rsid w:val="3C8F7550"/>
    <w:rsid w:val="3C907BF0"/>
    <w:rsid w:val="3C943BE8"/>
    <w:rsid w:val="3C974E2E"/>
    <w:rsid w:val="3C9B215F"/>
    <w:rsid w:val="3CA13016"/>
    <w:rsid w:val="3CA80281"/>
    <w:rsid w:val="3CBA6E91"/>
    <w:rsid w:val="3CCC29E2"/>
    <w:rsid w:val="3CDC24D5"/>
    <w:rsid w:val="3CE162B7"/>
    <w:rsid w:val="3CE225B5"/>
    <w:rsid w:val="3CE54EBA"/>
    <w:rsid w:val="3CE56305"/>
    <w:rsid w:val="3CFC0724"/>
    <w:rsid w:val="3D0777F5"/>
    <w:rsid w:val="3D0A2BA5"/>
    <w:rsid w:val="3D1B5EC5"/>
    <w:rsid w:val="3D2573C2"/>
    <w:rsid w:val="3D2A22F0"/>
    <w:rsid w:val="3D335C39"/>
    <w:rsid w:val="3D3533B9"/>
    <w:rsid w:val="3D416C83"/>
    <w:rsid w:val="3D452386"/>
    <w:rsid w:val="3D532A3A"/>
    <w:rsid w:val="3D5A6EBD"/>
    <w:rsid w:val="3D605CA8"/>
    <w:rsid w:val="3D8A6036"/>
    <w:rsid w:val="3D911F80"/>
    <w:rsid w:val="3DB378B5"/>
    <w:rsid w:val="3DBC7DB8"/>
    <w:rsid w:val="3DD403A2"/>
    <w:rsid w:val="3DDA6CB7"/>
    <w:rsid w:val="3DDC6B24"/>
    <w:rsid w:val="3DE0182C"/>
    <w:rsid w:val="3DE10046"/>
    <w:rsid w:val="3DEB7740"/>
    <w:rsid w:val="3DEC2546"/>
    <w:rsid w:val="3DF2613A"/>
    <w:rsid w:val="3DF81D2A"/>
    <w:rsid w:val="3DFE13C3"/>
    <w:rsid w:val="3E0A682F"/>
    <w:rsid w:val="3E101C75"/>
    <w:rsid w:val="3E120DBF"/>
    <w:rsid w:val="3E285C74"/>
    <w:rsid w:val="3E3156BD"/>
    <w:rsid w:val="3E3B5A17"/>
    <w:rsid w:val="3E42660A"/>
    <w:rsid w:val="3E4400E7"/>
    <w:rsid w:val="3E67734B"/>
    <w:rsid w:val="3E6D7B2B"/>
    <w:rsid w:val="3E8B1D5F"/>
    <w:rsid w:val="3E913587"/>
    <w:rsid w:val="3E9418D5"/>
    <w:rsid w:val="3E9F14AA"/>
    <w:rsid w:val="3EAD20E3"/>
    <w:rsid w:val="3EB6373C"/>
    <w:rsid w:val="3EC13983"/>
    <w:rsid w:val="3ECF4138"/>
    <w:rsid w:val="3ED454B4"/>
    <w:rsid w:val="3ED5122D"/>
    <w:rsid w:val="3ED938FB"/>
    <w:rsid w:val="3EDE5D60"/>
    <w:rsid w:val="3EEB6BD9"/>
    <w:rsid w:val="3EF67B21"/>
    <w:rsid w:val="3F023E6C"/>
    <w:rsid w:val="3F0D6C18"/>
    <w:rsid w:val="3F102CD3"/>
    <w:rsid w:val="3F120B10"/>
    <w:rsid w:val="3F1A0CF4"/>
    <w:rsid w:val="3F26686A"/>
    <w:rsid w:val="3F423B10"/>
    <w:rsid w:val="3F543B55"/>
    <w:rsid w:val="3F5B58C7"/>
    <w:rsid w:val="3F6E48C7"/>
    <w:rsid w:val="3F732F1F"/>
    <w:rsid w:val="3F764C1B"/>
    <w:rsid w:val="3F7878C4"/>
    <w:rsid w:val="3F7E3672"/>
    <w:rsid w:val="3F9C7EDC"/>
    <w:rsid w:val="3FAC23D6"/>
    <w:rsid w:val="3FB36303"/>
    <w:rsid w:val="3FBA1AEB"/>
    <w:rsid w:val="3FC21EE6"/>
    <w:rsid w:val="3FC62645"/>
    <w:rsid w:val="3FC762C2"/>
    <w:rsid w:val="3FCF5D54"/>
    <w:rsid w:val="3FD26578"/>
    <w:rsid w:val="3FD518C0"/>
    <w:rsid w:val="3FEE25A6"/>
    <w:rsid w:val="3FFB43AD"/>
    <w:rsid w:val="400A7515"/>
    <w:rsid w:val="400B75FC"/>
    <w:rsid w:val="40153856"/>
    <w:rsid w:val="403F1053"/>
    <w:rsid w:val="40454E45"/>
    <w:rsid w:val="404A34DB"/>
    <w:rsid w:val="4065700E"/>
    <w:rsid w:val="40672358"/>
    <w:rsid w:val="40682BB6"/>
    <w:rsid w:val="406E6CCF"/>
    <w:rsid w:val="4074513F"/>
    <w:rsid w:val="4086082D"/>
    <w:rsid w:val="40890E7F"/>
    <w:rsid w:val="40945FE3"/>
    <w:rsid w:val="40A315E2"/>
    <w:rsid w:val="40A73D78"/>
    <w:rsid w:val="40B3559D"/>
    <w:rsid w:val="40BB3134"/>
    <w:rsid w:val="40CC5942"/>
    <w:rsid w:val="40E77937"/>
    <w:rsid w:val="40E9478D"/>
    <w:rsid w:val="40EA4866"/>
    <w:rsid w:val="40F2123F"/>
    <w:rsid w:val="40F32C22"/>
    <w:rsid w:val="40F47DB5"/>
    <w:rsid w:val="40F54FF6"/>
    <w:rsid w:val="410148DF"/>
    <w:rsid w:val="411B14E1"/>
    <w:rsid w:val="411C414D"/>
    <w:rsid w:val="411F02FE"/>
    <w:rsid w:val="412071E1"/>
    <w:rsid w:val="412D4F64"/>
    <w:rsid w:val="41393CF5"/>
    <w:rsid w:val="414440B1"/>
    <w:rsid w:val="4153520E"/>
    <w:rsid w:val="41676AB4"/>
    <w:rsid w:val="416A0352"/>
    <w:rsid w:val="416C23A8"/>
    <w:rsid w:val="41786D2A"/>
    <w:rsid w:val="41810341"/>
    <w:rsid w:val="418161AB"/>
    <w:rsid w:val="41845CA0"/>
    <w:rsid w:val="418A1CAA"/>
    <w:rsid w:val="41945E2E"/>
    <w:rsid w:val="41973A76"/>
    <w:rsid w:val="41A25DB3"/>
    <w:rsid w:val="41AA2E44"/>
    <w:rsid w:val="41B124E8"/>
    <w:rsid w:val="41C27A3D"/>
    <w:rsid w:val="41DC67EC"/>
    <w:rsid w:val="41F20537"/>
    <w:rsid w:val="41F92FE7"/>
    <w:rsid w:val="42067015"/>
    <w:rsid w:val="420F4A55"/>
    <w:rsid w:val="42124940"/>
    <w:rsid w:val="42135C63"/>
    <w:rsid w:val="423B189D"/>
    <w:rsid w:val="424E1AC6"/>
    <w:rsid w:val="42510D5B"/>
    <w:rsid w:val="4255706E"/>
    <w:rsid w:val="425D5BE0"/>
    <w:rsid w:val="42611F16"/>
    <w:rsid w:val="42621029"/>
    <w:rsid w:val="427328DA"/>
    <w:rsid w:val="42884BB0"/>
    <w:rsid w:val="42894168"/>
    <w:rsid w:val="42A31D6D"/>
    <w:rsid w:val="42AE454B"/>
    <w:rsid w:val="42AE7254"/>
    <w:rsid w:val="42B42080"/>
    <w:rsid w:val="42B814F7"/>
    <w:rsid w:val="42D35CD5"/>
    <w:rsid w:val="430E20A9"/>
    <w:rsid w:val="430F6485"/>
    <w:rsid w:val="43107404"/>
    <w:rsid w:val="432D3B78"/>
    <w:rsid w:val="432F6734"/>
    <w:rsid w:val="43454EAD"/>
    <w:rsid w:val="43667552"/>
    <w:rsid w:val="4368678A"/>
    <w:rsid w:val="43764333"/>
    <w:rsid w:val="437A004F"/>
    <w:rsid w:val="43820EC1"/>
    <w:rsid w:val="438E183A"/>
    <w:rsid w:val="439707ED"/>
    <w:rsid w:val="439D6BED"/>
    <w:rsid w:val="43A452DD"/>
    <w:rsid w:val="43B60AAE"/>
    <w:rsid w:val="43C35BF6"/>
    <w:rsid w:val="43CD5D23"/>
    <w:rsid w:val="43E80DDE"/>
    <w:rsid w:val="43EF144A"/>
    <w:rsid w:val="43F017B5"/>
    <w:rsid w:val="43F13FBE"/>
    <w:rsid w:val="43FF401D"/>
    <w:rsid w:val="44121F40"/>
    <w:rsid w:val="44135809"/>
    <w:rsid w:val="442904E1"/>
    <w:rsid w:val="442A1341"/>
    <w:rsid w:val="44436036"/>
    <w:rsid w:val="444A5FF0"/>
    <w:rsid w:val="444E1587"/>
    <w:rsid w:val="44567908"/>
    <w:rsid w:val="44597308"/>
    <w:rsid w:val="446A7973"/>
    <w:rsid w:val="447119F7"/>
    <w:rsid w:val="447C1C92"/>
    <w:rsid w:val="447D31D0"/>
    <w:rsid w:val="448347FC"/>
    <w:rsid w:val="449000D0"/>
    <w:rsid w:val="44A23EE3"/>
    <w:rsid w:val="44A80AE0"/>
    <w:rsid w:val="44AA4B6F"/>
    <w:rsid w:val="44C21381"/>
    <w:rsid w:val="44C23D00"/>
    <w:rsid w:val="44C313C1"/>
    <w:rsid w:val="44DA1FBB"/>
    <w:rsid w:val="44E11D8D"/>
    <w:rsid w:val="44E7590C"/>
    <w:rsid w:val="44F74553"/>
    <w:rsid w:val="44F87264"/>
    <w:rsid w:val="4502213A"/>
    <w:rsid w:val="450A1747"/>
    <w:rsid w:val="45163E17"/>
    <w:rsid w:val="451A42BD"/>
    <w:rsid w:val="452A0B3F"/>
    <w:rsid w:val="452B7DF8"/>
    <w:rsid w:val="45433394"/>
    <w:rsid w:val="454955E0"/>
    <w:rsid w:val="4556062E"/>
    <w:rsid w:val="456608CA"/>
    <w:rsid w:val="45715A81"/>
    <w:rsid w:val="45736A5E"/>
    <w:rsid w:val="45786837"/>
    <w:rsid w:val="45801800"/>
    <w:rsid w:val="45811FDD"/>
    <w:rsid w:val="45A136C4"/>
    <w:rsid w:val="45A340BC"/>
    <w:rsid w:val="45AC03A0"/>
    <w:rsid w:val="45AC0F1D"/>
    <w:rsid w:val="45B47174"/>
    <w:rsid w:val="45C77373"/>
    <w:rsid w:val="45C87922"/>
    <w:rsid w:val="45DD4736"/>
    <w:rsid w:val="46055615"/>
    <w:rsid w:val="46066DB0"/>
    <w:rsid w:val="460D11E2"/>
    <w:rsid w:val="461D00DD"/>
    <w:rsid w:val="46205483"/>
    <w:rsid w:val="462C38E1"/>
    <w:rsid w:val="46304A05"/>
    <w:rsid w:val="463B670C"/>
    <w:rsid w:val="464758F3"/>
    <w:rsid w:val="464A0752"/>
    <w:rsid w:val="465125FA"/>
    <w:rsid w:val="46545D00"/>
    <w:rsid w:val="46797035"/>
    <w:rsid w:val="4691012F"/>
    <w:rsid w:val="4694480F"/>
    <w:rsid w:val="469B1F82"/>
    <w:rsid w:val="469B2D5C"/>
    <w:rsid w:val="469E71A8"/>
    <w:rsid w:val="46A059C2"/>
    <w:rsid w:val="46AD52B3"/>
    <w:rsid w:val="46AF05B5"/>
    <w:rsid w:val="46B8390E"/>
    <w:rsid w:val="46CC6A74"/>
    <w:rsid w:val="46DD616E"/>
    <w:rsid w:val="46DF4B26"/>
    <w:rsid w:val="46E57333"/>
    <w:rsid w:val="46F37FEB"/>
    <w:rsid w:val="46F96400"/>
    <w:rsid w:val="4712301E"/>
    <w:rsid w:val="47172262"/>
    <w:rsid w:val="47213A23"/>
    <w:rsid w:val="472972CF"/>
    <w:rsid w:val="472D3E2E"/>
    <w:rsid w:val="472D60AA"/>
    <w:rsid w:val="473E6151"/>
    <w:rsid w:val="4743767B"/>
    <w:rsid w:val="475573AE"/>
    <w:rsid w:val="476D5309"/>
    <w:rsid w:val="477B2925"/>
    <w:rsid w:val="4794397E"/>
    <w:rsid w:val="47986E44"/>
    <w:rsid w:val="47A73950"/>
    <w:rsid w:val="47B6609F"/>
    <w:rsid w:val="47CF0263"/>
    <w:rsid w:val="47E250E6"/>
    <w:rsid w:val="47F73984"/>
    <w:rsid w:val="47FF20EE"/>
    <w:rsid w:val="480606B0"/>
    <w:rsid w:val="48106FE5"/>
    <w:rsid w:val="481B61ED"/>
    <w:rsid w:val="482239DE"/>
    <w:rsid w:val="484F0149"/>
    <w:rsid w:val="4860742F"/>
    <w:rsid w:val="48687F1C"/>
    <w:rsid w:val="486C1ED8"/>
    <w:rsid w:val="488F0C66"/>
    <w:rsid w:val="48985AF3"/>
    <w:rsid w:val="48A028AB"/>
    <w:rsid w:val="48A73C83"/>
    <w:rsid w:val="48BE2C92"/>
    <w:rsid w:val="48D760FE"/>
    <w:rsid w:val="48EA7844"/>
    <w:rsid w:val="48F21359"/>
    <w:rsid w:val="48F22724"/>
    <w:rsid w:val="48FF7C5E"/>
    <w:rsid w:val="49040CEC"/>
    <w:rsid w:val="491D214E"/>
    <w:rsid w:val="491E356B"/>
    <w:rsid w:val="492049A3"/>
    <w:rsid w:val="49241ED2"/>
    <w:rsid w:val="49264EF1"/>
    <w:rsid w:val="49284D7B"/>
    <w:rsid w:val="493B3942"/>
    <w:rsid w:val="4942748E"/>
    <w:rsid w:val="494871CB"/>
    <w:rsid w:val="49487DD9"/>
    <w:rsid w:val="494B5E53"/>
    <w:rsid w:val="494C684F"/>
    <w:rsid w:val="494F67AB"/>
    <w:rsid w:val="49521DF7"/>
    <w:rsid w:val="495C0AA0"/>
    <w:rsid w:val="496B110B"/>
    <w:rsid w:val="49731069"/>
    <w:rsid w:val="49947EDD"/>
    <w:rsid w:val="49B1034B"/>
    <w:rsid w:val="49B70B6D"/>
    <w:rsid w:val="49BB5E4E"/>
    <w:rsid w:val="49C20B73"/>
    <w:rsid w:val="49E06AE7"/>
    <w:rsid w:val="49E8450A"/>
    <w:rsid w:val="4A1E3175"/>
    <w:rsid w:val="4A3370BA"/>
    <w:rsid w:val="4A343A22"/>
    <w:rsid w:val="4A4543C6"/>
    <w:rsid w:val="4A4E23DD"/>
    <w:rsid w:val="4A4F4B74"/>
    <w:rsid w:val="4A4F7228"/>
    <w:rsid w:val="4A6A6D04"/>
    <w:rsid w:val="4A7E09CA"/>
    <w:rsid w:val="4AA55ED7"/>
    <w:rsid w:val="4AAC3CC0"/>
    <w:rsid w:val="4AC204B6"/>
    <w:rsid w:val="4AC477B5"/>
    <w:rsid w:val="4AC77E3B"/>
    <w:rsid w:val="4ACB4469"/>
    <w:rsid w:val="4ACC3EEE"/>
    <w:rsid w:val="4AD068B4"/>
    <w:rsid w:val="4AD41E04"/>
    <w:rsid w:val="4AE24C59"/>
    <w:rsid w:val="4AE958EC"/>
    <w:rsid w:val="4B01400A"/>
    <w:rsid w:val="4B18172D"/>
    <w:rsid w:val="4B3210A9"/>
    <w:rsid w:val="4B3F4557"/>
    <w:rsid w:val="4B726FC1"/>
    <w:rsid w:val="4B8769F6"/>
    <w:rsid w:val="4B91498B"/>
    <w:rsid w:val="4B931424"/>
    <w:rsid w:val="4B9821A9"/>
    <w:rsid w:val="4BA6188C"/>
    <w:rsid w:val="4BAD1FA1"/>
    <w:rsid w:val="4BB15152"/>
    <w:rsid w:val="4BB603A2"/>
    <w:rsid w:val="4BC37ED5"/>
    <w:rsid w:val="4BCC4C03"/>
    <w:rsid w:val="4BCD39B7"/>
    <w:rsid w:val="4BCF0301"/>
    <w:rsid w:val="4BD5487E"/>
    <w:rsid w:val="4BE22DD9"/>
    <w:rsid w:val="4BEB1130"/>
    <w:rsid w:val="4BF453E8"/>
    <w:rsid w:val="4C001872"/>
    <w:rsid w:val="4C0A0767"/>
    <w:rsid w:val="4C0D46FC"/>
    <w:rsid w:val="4C11590C"/>
    <w:rsid w:val="4C194E4E"/>
    <w:rsid w:val="4C1E51EE"/>
    <w:rsid w:val="4C2061DD"/>
    <w:rsid w:val="4C2A1F47"/>
    <w:rsid w:val="4C307108"/>
    <w:rsid w:val="4C393C27"/>
    <w:rsid w:val="4C3C28EB"/>
    <w:rsid w:val="4C432716"/>
    <w:rsid w:val="4C4519BE"/>
    <w:rsid w:val="4C4C6FD2"/>
    <w:rsid w:val="4C5D0E54"/>
    <w:rsid w:val="4C7107E7"/>
    <w:rsid w:val="4C81330C"/>
    <w:rsid w:val="4C842CE8"/>
    <w:rsid w:val="4C8C26A7"/>
    <w:rsid w:val="4C9B5863"/>
    <w:rsid w:val="4C9E1FED"/>
    <w:rsid w:val="4CA566E2"/>
    <w:rsid w:val="4CB525DD"/>
    <w:rsid w:val="4CB5540A"/>
    <w:rsid w:val="4CBD7A92"/>
    <w:rsid w:val="4CC82E66"/>
    <w:rsid w:val="4CD33573"/>
    <w:rsid w:val="4CD4691F"/>
    <w:rsid w:val="4CD66B35"/>
    <w:rsid w:val="4CD92340"/>
    <w:rsid w:val="4CFE49A6"/>
    <w:rsid w:val="4D12416B"/>
    <w:rsid w:val="4D214209"/>
    <w:rsid w:val="4D221AE1"/>
    <w:rsid w:val="4D253F68"/>
    <w:rsid w:val="4D276E7A"/>
    <w:rsid w:val="4D2770F7"/>
    <w:rsid w:val="4D391E74"/>
    <w:rsid w:val="4D4373FC"/>
    <w:rsid w:val="4D5B0D0C"/>
    <w:rsid w:val="4D5D6FBD"/>
    <w:rsid w:val="4D6821E6"/>
    <w:rsid w:val="4D9D1381"/>
    <w:rsid w:val="4DAD74CF"/>
    <w:rsid w:val="4DB90848"/>
    <w:rsid w:val="4DC61BBE"/>
    <w:rsid w:val="4DC86B2C"/>
    <w:rsid w:val="4DCA28A4"/>
    <w:rsid w:val="4DCA5DBC"/>
    <w:rsid w:val="4DD70FD5"/>
    <w:rsid w:val="4DDC25D7"/>
    <w:rsid w:val="4DE568B7"/>
    <w:rsid w:val="4DE64743"/>
    <w:rsid w:val="4DFD7CEB"/>
    <w:rsid w:val="4E004D7B"/>
    <w:rsid w:val="4E1A6C5C"/>
    <w:rsid w:val="4E21022F"/>
    <w:rsid w:val="4E240208"/>
    <w:rsid w:val="4E3A10AC"/>
    <w:rsid w:val="4E3B0DD7"/>
    <w:rsid w:val="4E43658A"/>
    <w:rsid w:val="4E4D2ADE"/>
    <w:rsid w:val="4E7E71D5"/>
    <w:rsid w:val="4E960E86"/>
    <w:rsid w:val="4EA7201B"/>
    <w:rsid w:val="4EAD7102"/>
    <w:rsid w:val="4EB11518"/>
    <w:rsid w:val="4EB26E94"/>
    <w:rsid w:val="4EBE757A"/>
    <w:rsid w:val="4EC24CB8"/>
    <w:rsid w:val="4EDF1751"/>
    <w:rsid w:val="4EE301E5"/>
    <w:rsid w:val="4F036055"/>
    <w:rsid w:val="4F0E361E"/>
    <w:rsid w:val="4F1A0776"/>
    <w:rsid w:val="4F231B40"/>
    <w:rsid w:val="4F302909"/>
    <w:rsid w:val="4F336DFF"/>
    <w:rsid w:val="4F442E5D"/>
    <w:rsid w:val="4F4A3DBE"/>
    <w:rsid w:val="4F50038B"/>
    <w:rsid w:val="4F534CD7"/>
    <w:rsid w:val="4F6104BD"/>
    <w:rsid w:val="4F634BC9"/>
    <w:rsid w:val="4F734899"/>
    <w:rsid w:val="4F7B6A90"/>
    <w:rsid w:val="4F7E2395"/>
    <w:rsid w:val="4F800585"/>
    <w:rsid w:val="4F803854"/>
    <w:rsid w:val="4F82321A"/>
    <w:rsid w:val="4F887F35"/>
    <w:rsid w:val="4F8E742F"/>
    <w:rsid w:val="4F8F04B7"/>
    <w:rsid w:val="4F933CB3"/>
    <w:rsid w:val="4F9A042C"/>
    <w:rsid w:val="4FAF7D99"/>
    <w:rsid w:val="4FB16CCA"/>
    <w:rsid w:val="4FB84F4B"/>
    <w:rsid w:val="4FBF7FD9"/>
    <w:rsid w:val="4FD64808"/>
    <w:rsid w:val="4FD84E7B"/>
    <w:rsid w:val="4FDB4423"/>
    <w:rsid w:val="4FDE22E4"/>
    <w:rsid w:val="4FDE3EF0"/>
    <w:rsid w:val="4FDE4342"/>
    <w:rsid w:val="4FE224C4"/>
    <w:rsid w:val="5007157B"/>
    <w:rsid w:val="500B45CE"/>
    <w:rsid w:val="500E0EF0"/>
    <w:rsid w:val="501424D4"/>
    <w:rsid w:val="501A67F7"/>
    <w:rsid w:val="50211B71"/>
    <w:rsid w:val="504B57F2"/>
    <w:rsid w:val="505540DC"/>
    <w:rsid w:val="50586B39"/>
    <w:rsid w:val="506C0E92"/>
    <w:rsid w:val="506D58CC"/>
    <w:rsid w:val="5076288D"/>
    <w:rsid w:val="50852092"/>
    <w:rsid w:val="508A5A08"/>
    <w:rsid w:val="50932ED0"/>
    <w:rsid w:val="50A532C2"/>
    <w:rsid w:val="50B213CE"/>
    <w:rsid w:val="50B36B51"/>
    <w:rsid w:val="50C057AC"/>
    <w:rsid w:val="50C93F03"/>
    <w:rsid w:val="50CD1053"/>
    <w:rsid w:val="50CE348B"/>
    <w:rsid w:val="50CF1F80"/>
    <w:rsid w:val="50CF3D94"/>
    <w:rsid w:val="50DA4DF3"/>
    <w:rsid w:val="50DC3A1F"/>
    <w:rsid w:val="50E10B6B"/>
    <w:rsid w:val="510A691E"/>
    <w:rsid w:val="511B3698"/>
    <w:rsid w:val="51274842"/>
    <w:rsid w:val="512D11AF"/>
    <w:rsid w:val="51372A44"/>
    <w:rsid w:val="513F5B02"/>
    <w:rsid w:val="514064B2"/>
    <w:rsid w:val="51440E46"/>
    <w:rsid w:val="51542485"/>
    <w:rsid w:val="516923D4"/>
    <w:rsid w:val="516E3AE8"/>
    <w:rsid w:val="51751125"/>
    <w:rsid w:val="51820595"/>
    <w:rsid w:val="51842D6A"/>
    <w:rsid w:val="51905470"/>
    <w:rsid w:val="51962A9D"/>
    <w:rsid w:val="51963235"/>
    <w:rsid w:val="51A72608"/>
    <w:rsid w:val="51B0369E"/>
    <w:rsid w:val="51C25640"/>
    <w:rsid w:val="51C4760A"/>
    <w:rsid w:val="51C92E73"/>
    <w:rsid w:val="51C969CF"/>
    <w:rsid w:val="51CA1D8A"/>
    <w:rsid w:val="51CC7D9D"/>
    <w:rsid w:val="51D07D5D"/>
    <w:rsid w:val="51D13920"/>
    <w:rsid w:val="51DD376A"/>
    <w:rsid w:val="51FA127E"/>
    <w:rsid w:val="51FF74B8"/>
    <w:rsid w:val="520A4423"/>
    <w:rsid w:val="520C7E08"/>
    <w:rsid w:val="52120376"/>
    <w:rsid w:val="52143060"/>
    <w:rsid w:val="52156840"/>
    <w:rsid w:val="521D2171"/>
    <w:rsid w:val="52224EF8"/>
    <w:rsid w:val="522679F4"/>
    <w:rsid w:val="522D3402"/>
    <w:rsid w:val="523102C5"/>
    <w:rsid w:val="52346450"/>
    <w:rsid w:val="523A1FC0"/>
    <w:rsid w:val="52554706"/>
    <w:rsid w:val="526201F5"/>
    <w:rsid w:val="526B7E54"/>
    <w:rsid w:val="52741A89"/>
    <w:rsid w:val="52856DD4"/>
    <w:rsid w:val="52900F78"/>
    <w:rsid w:val="52993FA0"/>
    <w:rsid w:val="529D61E3"/>
    <w:rsid w:val="529E5241"/>
    <w:rsid w:val="52A339B6"/>
    <w:rsid w:val="52A5743C"/>
    <w:rsid w:val="52C14F1E"/>
    <w:rsid w:val="52C31C34"/>
    <w:rsid w:val="52E52FC3"/>
    <w:rsid w:val="52F22F73"/>
    <w:rsid w:val="52F57CA6"/>
    <w:rsid w:val="52FE0F3E"/>
    <w:rsid w:val="53065F86"/>
    <w:rsid w:val="530C1A22"/>
    <w:rsid w:val="53163259"/>
    <w:rsid w:val="53231CE5"/>
    <w:rsid w:val="53234524"/>
    <w:rsid w:val="532B216B"/>
    <w:rsid w:val="532F3457"/>
    <w:rsid w:val="53363789"/>
    <w:rsid w:val="534434B5"/>
    <w:rsid w:val="534E4309"/>
    <w:rsid w:val="536567ED"/>
    <w:rsid w:val="53691369"/>
    <w:rsid w:val="53755060"/>
    <w:rsid w:val="537806AC"/>
    <w:rsid w:val="538428C3"/>
    <w:rsid w:val="53855543"/>
    <w:rsid w:val="538C5F06"/>
    <w:rsid w:val="53A17A79"/>
    <w:rsid w:val="53A55C24"/>
    <w:rsid w:val="53A809C5"/>
    <w:rsid w:val="53BD7A2D"/>
    <w:rsid w:val="53BE1361"/>
    <w:rsid w:val="53C658BC"/>
    <w:rsid w:val="53C90F08"/>
    <w:rsid w:val="53CB2ED2"/>
    <w:rsid w:val="53E2313E"/>
    <w:rsid w:val="53FB308C"/>
    <w:rsid w:val="54071B43"/>
    <w:rsid w:val="54185AF9"/>
    <w:rsid w:val="542618D4"/>
    <w:rsid w:val="542C572B"/>
    <w:rsid w:val="54353F9D"/>
    <w:rsid w:val="54381F8E"/>
    <w:rsid w:val="543A1E06"/>
    <w:rsid w:val="543E0C0F"/>
    <w:rsid w:val="54487065"/>
    <w:rsid w:val="544D5C90"/>
    <w:rsid w:val="544E66F5"/>
    <w:rsid w:val="54531D4B"/>
    <w:rsid w:val="5478196E"/>
    <w:rsid w:val="548E031B"/>
    <w:rsid w:val="549C03CB"/>
    <w:rsid w:val="54C46176"/>
    <w:rsid w:val="54D036BB"/>
    <w:rsid w:val="54D170A3"/>
    <w:rsid w:val="54DA0E80"/>
    <w:rsid w:val="54EC4DE8"/>
    <w:rsid w:val="54F21F11"/>
    <w:rsid w:val="54FB79D7"/>
    <w:rsid w:val="5500270B"/>
    <w:rsid w:val="5503669C"/>
    <w:rsid w:val="55056FDF"/>
    <w:rsid w:val="550F1330"/>
    <w:rsid w:val="551D66C6"/>
    <w:rsid w:val="551E4698"/>
    <w:rsid w:val="5530650D"/>
    <w:rsid w:val="55325E6D"/>
    <w:rsid w:val="55333EB8"/>
    <w:rsid w:val="55345488"/>
    <w:rsid w:val="553F02C1"/>
    <w:rsid w:val="554900FA"/>
    <w:rsid w:val="55492D1E"/>
    <w:rsid w:val="554D2DBA"/>
    <w:rsid w:val="555B7055"/>
    <w:rsid w:val="556962F0"/>
    <w:rsid w:val="557B2451"/>
    <w:rsid w:val="55A00F4F"/>
    <w:rsid w:val="55B1350A"/>
    <w:rsid w:val="55BD520B"/>
    <w:rsid w:val="55D1679A"/>
    <w:rsid w:val="55D3103B"/>
    <w:rsid w:val="55D537CD"/>
    <w:rsid w:val="55F127EE"/>
    <w:rsid w:val="55FD0B7B"/>
    <w:rsid w:val="55FD30EB"/>
    <w:rsid w:val="56000E28"/>
    <w:rsid w:val="56020701"/>
    <w:rsid w:val="56057B1F"/>
    <w:rsid w:val="56066443"/>
    <w:rsid w:val="560950E0"/>
    <w:rsid w:val="560D4B5C"/>
    <w:rsid w:val="56313FF6"/>
    <w:rsid w:val="5642720A"/>
    <w:rsid w:val="564B064E"/>
    <w:rsid w:val="5658249F"/>
    <w:rsid w:val="56656DAE"/>
    <w:rsid w:val="567425A0"/>
    <w:rsid w:val="5676196A"/>
    <w:rsid w:val="56780658"/>
    <w:rsid w:val="56B62190"/>
    <w:rsid w:val="56C17F8F"/>
    <w:rsid w:val="56DF6C95"/>
    <w:rsid w:val="56EE3BE1"/>
    <w:rsid w:val="56F02C50"/>
    <w:rsid w:val="56F73FDE"/>
    <w:rsid w:val="56FF261D"/>
    <w:rsid w:val="570258AE"/>
    <w:rsid w:val="570636A6"/>
    <w:rsid w:val="570D0833"/>
    <w:rsid w:val="571B241A"/>
    <w:rsid w:val="572A1648"/>
    <w:rsid w:val="572B1B77"/>
    <w:rsid w:val="572D12DA"/>
    <w:rsid w:val="573451A7"/>
    <w:rsid w:val="57405C1F"/>
    <w:rsid w:val="574373CA"/>
    <w:rsid w:val="5745366D"/>
    <w:rsid w:val="57526BF5"/>
    <w:rsid w:val="575C7426"/>
    <w:rsid w:val="57696EE6"/>
    <w:rsid w:val="576F5437"/>
    <w:rsid w:val="57770C7B"/>
    <w:rsid w:val="57783371"/>
    <w:rsid w:val="5785783C"/>
    <w:rsid w:val="57864247"/>
    <w:rsid w:val="57A06424"/>
    <w:rsid w:val="57AA6128"/>
    <w:rsid w:val="57AC396B"/>
    <w:rsid w:val="57B04F36"/>
    <w:rsid w:val="57B74413"/>
    <w:rsid w:val="57C72B4F"/>
    <w:rsid w:val="57D1482F"/>
    <w:rsid w:val="57D165DD"/>
    <w:rsid w:val="57ED6DC6"/>
    <w:rsid w:val="57FD73D2"/>
    <w:rsid w:val="58021BEA"/>
    <w:rsid w:val="580469B3"/>
    <w:rsid w:val="581A12AC"/>
    <w:rsid w:val="58257E7F"/>
    <w:rsid w:val="582A1ED4"/>
    <w:rsid w:val="582C1B97"/>
    <w:rsid w:val="58310C72"/>
    <w:rsid w:val="58324CA0"/>
    <w:rsid w:val="583671A4"/>
    <w:rsid w:val="58392EE8"/>
    <w:rsid w:val="58580AAD"/>
    <w:rsid w:val="585A2BDC"/>
    <w:rsid w:val="585B4862"/>
    <w:rsid w:val="587F705E"/>
    <w:rsid w:val="58943EE2"/>
    <w:rsid w:val="58AC3160"/>
    <w:rsid w:val="58AC3282"/>
    <w:rsid w:val="58B5081F"/>
    <w:rsid w:val="58B54151"/>
    <w:rsid w:val="58B73C1F"/>
    <w:rsid w:val="58DF14D8"/>
    <w:rsid w:val="58E760B5"/>
    <w:rsid w:val="590C7EA4"/>
    <w:rsid w:val="590D4A54"/>
    <w:rsid w:val="59197A5B"/>
    <w:rsid w:val="59426BB8"/>
    <w:rsid w:val="595607E3"/>
    <w:rsid w:val="59606003"/>
    <w:rsid w:val="59A84B2B"/>
    <w:rsid w:val="59B6460B"/>
    <w:rsid w:val="59C37D8D"/>
    <w:rsid w:val="59CB5F5E"/>
    <w:rsid w:val="59D07793"/>
    <w:rsid w:val="59D14414"/>
    <w:rsid w:val="59D5662D"/>
    <w:rsid w:val="59DA4877"/>
    <w:rsid w:val="59EF2443"/>
    <w:rsid w:val="59F565BF"/>
    <w:rsid w:val="59F74F71"/>
    <w:rsid w:val="59F81BAE"/>
    <w:rsid w:val="5A076B17"/>
    <w:rsid w:val="5A113609"/>
    <w:rsid w:val="5A132D6E"/>
    <w:rsid w:val="5A182BEE"/>
    <w:rsid w:val="5A202C97"/>
    <w:rsid w:val="5A6B2D19"/>
    <w:rsid w:val="5A6F52F5"/>
    <w:rsid w:val="5A800B4C"/>
    <w:rsid w:val="5A854FEF"/>
    <w:rsid w:val="5A9509CE"/>
    <w:rsid w:val="5AA21828"/>
    <w:rsid w:val="5AA60A7D"/>
    <w:rsid w:val="5AAD2753"/>
    <w:rsid w:val="5AAE5E99"/>
    <w:rsid w:val="5AD12767"/>
    <w:rsid w:val="5AD677E6"/>
    <w:rsid w:val="5AD73437"/>
    <w:rsid w:val="5AEF01E2"/>
    <w:rsid w:val="5AF47203"/>
    <w:rsid w:val="5AFC63F9"/>
    <w:rsid w:val="5B1769FD"/>
    <w:rsid w:val="5B241A3E"/>
    <w:rsid w:val="5B266C40"/>
    <w:rsid w:val="5B2915EA"/>
    <w:rsid w:val="5B321AF1"/>
    <w:rsid w:val="5B333E4C"/>
    <w:rsid w:val="5B351D64"/>
    <w:rsid w:val="5B3F769A"/>
    <w:rsid w:val="5B5C273E"/>
    <w:rsid w:val="5B7536DE"/>
    <w:rsid w:val="5B772140"/>
    <w:rsid w:val="5B8E39AC"/>
    <w:rsid w:val="5B914A01"/>
    <w:rsid w:val="5BA2698F"/>
    <w:rsid w:val="5BA83421"/>
    <w:rsid w:val="5BBA2A2A"/>
    <w:rsid w:val="5BC161E7"/>
    <w:rsid w:val="5BC74563"/>
    <w:rsid w:val="5BDD1A7E"/>
    <w:rsid w:val="5BE014E5"/>
    <w:rsid w:val="5BE55BA2"/>
    <w:rsid w:val="5BF8682E"/>
    <w:rsid w:val="5C2515ED"/>
    <w:rsid w:val="5C296981"/>
    <w:rsid w:val="5C3321BD"/>
    <w:rsid w:val="5C422C75"/>
    <w:rsid w:val="5C4B64F2"/>
    <w:rsid w:val="5C702A52"/>
    <w:rsid w:val="5C734107"/>
    <w:rsid w:val="5C766ECE"/>
    <w:rsid w:val="5C7D24A8"/>
    <w:rsid w:val="5C9F3435"/>
    <w:rsid w:val="5CAA53DB"/>
    <w:rsid w:val="5CD83ACA"/>
    <w:rsid w:val="5CDF6D30"/>
    <w:rsid w:val="5CE54EF7"/>
    <w:rsid w:val="5CF43873"/>
    <w:rsid w:val="5CF438D6"/>
    <w:rsid w:val="5D027239"/>
    <w:rsid w:val="5D042FB1"/>
    <w:rsid w:val="5D046951"/>
    <w:rsid w:val="5D090E16"/>
    <w:rsid w:val="5D0C5EC2"/>
    <w:rsid w:val="5D0D5760"/>
    <w:rsid w:val="5D0F1F6D"/>
    <w:rsid w:val="5D120607"/>
    <w:rsid w:val="5D160AFE"/>
    <w:rsid w:val="5D1A2A7C"/>
    <w:rsid w:val="5D430968"/>
    <w:rsid w:val="5D4E1F08"/>
    <w:rsid w:val="5D5E508E"/>
    <w:rsid w:val="5D642451"/>
    <w:rsid w:val="5D656F59"/>
    <w:rsid w:val="5D777C27"/>
    <w:rsid w:val="5D79399F"/>
    <w:rsid w:val="5D7C1664"/>
    <w:rsid w:val="5D7F0432"/>
    <w:rsid w:val="5D8226B4"/>
    <w:rsid w:val="5D91187F"/>
    <w:rsid w:val="5D916F3A"/>
    <w:rsid w:val="5DA0481A"/>
    <w:rsid w:val="5DAB7B37"/>
    <w:rsid w:val="5DB674CE"/>
    <w:rsid w:val="5DC6407D"/>
    <w:rsid w:val="5DC80482"/>
    <w:rsid w:val="5DCC1041"/>
    <w:rsid w:val="5DCF41F5"/>
    <w:rsid w:val="5DD03E68"/>
    <w:rsid w:val="5DDA4031"/>
    <w:rsid w:val="5DE11544"/>
    <w:rsid w:val="5DE2570F"/>
    <w:rsid w:val="5E1216FE"/>
    <w:rsid w:val="5E1400A6"/>
    <w:rsid w:val="5E1816F8"/>
    <w:rsid w:val="5E1E3027"/>
    <w:rsid w:val="5E1F1D96"/>
    <w:rsid w:val="5E24290B"/>
    <w:rsid w:val="5E377723"/>
    <w:rsid w:val="5E445EF0"/>
    <w:rsid w:val="5E6E6DAB"/>
    <w:rsid w:val="5E96065C"/>
    <w:rsid w:val="5E9D2DB9"/>
    <w:rsid w:val="5EA163B7"/>
    <w:rsid w:val="5EE72758"/>
    <w:rsid w:val="5EEB72CF"/>
    <w:rsid w:val="5EF22348"/>
    <w:rsid w:val="5EF3065B"/>
    <w:rsid w:val="5EF93807"/>
    <w:rsid w:val="5F0545C8"/>
    <w:rsid w:val="5F085DA4"/>
    <w:rsid w:val="5F1855DB"/>
    <w:rsid w:val="5F2039FF"/>
    <w:rsid w:val="5F2B60C1"/>
    <w:rsid w:val="5F334021"/>
    <w:rsid w:val="5F52392F"/>
    <w:rsid w:val="5F601649"/>
    <w:rsid w:val="5F673898"/>
    <w:rsid w:val="5F7E1332"/>
    <w:rsid w:val="5F8029B3"/>
    <w:rsid w:val="5F85222B"/>
    <w:rsid w:val="5F8F74AA"/>
    <w:rsid w:val="5F927999"/>
    <w:rsid w:val="5F943C9B"/>
    <w:rsid w:val="5F960BF0"/>
    <w:rsid w:val="5FA92F5A"/>
    <w:rsid w:val="5FAF02FD"/>
    <w:rsid w:val="5FBF7663"/>
    <w:rsid w:val="5FEB78FF"/>
    <w:rsid w:val="5FF90708"/>
    <w:rsid w:val="5FFD132D"/>
    <w:rsid w:val="6014175D"/>
    <w:rsid w:val="6018063D"/>
    <w:rsid w:val="602838E5"/>
    <w:rsid w:val="6035635A"/>
    <w:rsid w:val="60395667"/>
    <w:rsid w:val="60395904"/>
    <w:rsid w:val="603D4476"/>
    <w:rsid w:val="60554178"/>
    <w:rsid w:val="605F4195"/>
    <w:rsid w:val="60636F96"/>
    <w:rsid w:val="606638EE"/>
    <w:rsid w:val="60793CB6"/>
    <w:rsid w:val="609B00D0"/>
    <w:rsid w:val="60BF1CDB"/>
    <w:rsid w:val="60E71ECF"/>
    <w:rsid w:val="60EC26DA"/>
    <w:rsid w:val="60FD7762"/>
    <w:rsid w:val="610572F8"/>
    <w:rsid w:val="61073070"/>
    <w:rsid w:val="610C3698"/>
    <w:rsid w:val="61101AC6"/>
    <w:rsid w:val="612031E2"/>
    <w:rsid w:val="61244335"/>
    <w:rsid w:val="6128437A"/>
    <w:rsid w:val="61435CBB"/>
    <w:rsid w:val="61597170"/>
    <w:rsid w:val="616A1355"/>
    <w:rsid w:val="6171498D"/>
    <w:rsid w:val="61744525"/>
    <w:rsid w:val="61842912"/>
    <w:rsid w:val="61846FCA"/>
    <w:rsid w:val="618C372F"/>
    <w:rsid w:val="619A3EE4"/>
    <w:rsid w:val="61C43236"/>
    <w:rsid w:val="61CE0268"/>
    <w:rsid w:val="61CF4982"/>
    <w:rsid w:val="61EE1A33"/>
    <w:rsid w:val="620449AF"/>
    <w:rsid w:val="620A0DEF"/>
    <w:rsid w:val="620D321D"/>
    <w:rsid w:val="621777CA"/>
    <w:rsid w:val="621A4BF4"/>
    <w:rsid w:val="622E3D73"/>
    <w:rsid w:val="624101BC"/>
    <w:rsid w:val="624C0A27"/>
    <w:rsid w:val="625422E5"/>
    <w:rsid w:val="62652FF0"/>
    <w:rsid w:val="626C2DFB"/>
    <w:rsid w:val="627E1E75"/>
    <w:rsid w:val="628D7AD4"/>
    <w:rsid w:val="628F5E01"/>
    <w:rsid w:val="629D5436"/>
    <w:rsid w:val="62AE74D6"/>
    <w:rsid w:val="62AF39D2"/>
    <w:rsid w:val="62C45128"/>
    <w:rsid w:val="62C9447E"/>
    <w:rsid w:val="62C951A9"/>
    <w:rsid w:val="62E1608A"/>
    <w:rsid w:val="62EE44E7"/>
    <w:rsid w:val="62F76C92"/>
    <w:rsid w:val="6308383A"/>
    <w:rsid w:val="630A5099"/>
    <w:rsid w:val="631C30AC"/>
    <w:rsid w:val="63307788"/>
    <w:rsid w:val="633A0929"/>
    <w:rsid w:val="634B3D70"/>
    <w:rsid w:val="635E546A"/>
    <w:rsid w:val="63730E90"/>
    <w:rsid w:val="638F319A"/>
    <w:rsid w:val="63984453"/>
    <w:rsid w:val="63A06C42"/>
    <w:rsid w:val="63B8299D"/>
    <w:rsid w:val="63C6371E"/>
    <w:rsid w:val="63CE1898"/>
    <w:rsid w:val="63DD3B02"/>
    <w:rsid w:val="63E23E7E"/>
    <w:rsid w:val="63F35EC1"/>
    <w:rsid w:val="64061D04"/>
    <w:rsid w:val="640D306A"/>
    <w:rsid w:val="64197BDC"/>
    <w:rsid w:val="64436AB5"/>
    <w:rsid w:val="64454D98"/>
    <w:rsid w:val="644566A3"/>
    <w:rsid w:val="644D08F4"/>
    <w:rsid w:val="645E67EE"/>
    <w:rsid w:val="64833D23"/>
    <w:rsid w:val="648625CD"/>
    <w:rsid w:val="64990483"/>
    <w:rsid w:val="649C61C5"/>
    <w:rsid w:val="649D1793"/>
    <w:rsid w:val="64A4192E"/>
    <w:rsid w:val="64A55EAB"/>
    <w:rsid w:val="64AD1CEC"/>
    <w:rsid w:val="64B25195"/>
    <w:rsid w:val="64D21EBA"/>
    <w:rsid w:val="64E4310C"/>
    <w:rsid w:val="64EA070D"/>
    <w:rsid w:val="65160EC2"/>
    <w:rsid w:val="651A4998"/>
    <w:rsid w:val="653667D3"/>
    <w:rsid w:val="654123F2"/>
    <w:rsid w:val="65442AE4"/>
    <w:rsid w:val="65505091"/>
    <w:rsid w:val="657F58CB"/>
    <w:rsid w:val="65842EE1"/>
    <w:rsid w:val="65866A8D"/>
    <w:rsid w:val="65915CCD"/>
    <w:rsid w:val="659F41BF"/>
    <w:rsid w:val="65A52FE7"/>
    <w:rsid w:val="65AC1A1D"/>
    <w:rsid w:val="65B5321C"/>
    <w:rsid w:val="65B80EEB"/>
    <w:rsid w:val="65B82D1A"/>
    <w:rsid w:val="65C90596"/>
    <w:rsid w:val="65C9490F"/>
    <w:rsid w:val="65E02D6C"/>
    <w:rsid w:val="65E816C2"/>
    <w:rsid w:val="65FA1348"/>
    <w:rsid w:val="65FD3DED"/>
    <w:rsid w:val="66111AE9"/>
    <w:rsid w:val="662037CA"/>
    <w:rsid w:val="662B7713"/>
    <w:rsid w:val="664146D9"/>
    <w:rsid w:val="66500A01"/>
    <w:rsid w:val="66507267"/>
    <w:rsid w:val="66587E4D"/>
    <w:rsid w:val="665A551B"/>
    <w:rsid w:val="66611474"/>
    <w:rsid w:val="666A0397"/>
    <w:rsid w:val="666D61BC"/>
    <w:rsid w:val="66770EA8"/>
    <w:rsid w:val="6679019C"/>
    <w:rsid w:val="66981DCA"/>
    <w:rsid w:val="66A032AC"/>
    <w:rsid w:val="66A5036A"/>
    <w:rsid w:val="66A657E2"/>
    <w:rsid w:val="66AE4617"/>
    <w:rsid w:val="66B222B4"/>
    <w:rsid w:val="66B6356E"/>
    <w:rsid w:val="66C62B5D"/>
    <w:rsid w:val="66CD00E2"/>
    <w:rsid w:val="66CD4BCD"/>
    <w:rsid w:val="66DA5B19"/>
    <w:rsid w:val="66F11FAC"/>
    <w:rsid w:val="66F347C2"/>
    <w:rsid w:val="66F57901"/>
    <w:rsid w:val="66F7424D"/>
    <w:rsid w:val="6701117C"/>
    <w:rsid w:val="670B3991"/>
    <w:rsid w:val="6716225F"/>
    <w:rsid w:val="67186E8F"/>
    <w:rsid w:val="67203B1D"/>
    <w:rsid w:val="672E3255"/>
    <w:rsid w:val="673037B4"/>
    <w:rsid w:val="67395F4D"/>
    <w:rsid w:val="674D2843"/>
    <w:rsid w:val="674E66DB"/>
    <w:rsid w:val="6754503C"/>
    <w:rsid w:val="67656D42"/>
    <w:rsid w:val="67805019"/>
    <w:rsid w:val="67823D04"/>
    <w:rsid w:val="67890C82"/>
    <w:rsid w:val="67953B12"/>
    <w:rsid w:val="679750C7"/>
    <w:rsid w:val="67A06C5E"/>
    <w:rsid w:val="67A17A14"/>
    <w:rsid w:val="67A67CB7"/>
    <w:rsid w:val="67AE7D0C"/>
    <w:rsid w:val="67B24FE9"/>
    <w:rsid w:val="67B6134C"/>
    <w:rsid w:val="67C75C7F"/>
    <w:rsid w:val="67C972D1"/>
    <w:rsid w:val="67E571A0"/>
    <w:rsid w:val="67F03DE2"/>
    <w:rsid w:val="67FB4030"/>
    <w:rsid w:val="680111AD"/>
    <w:rsid w:val="68026B4A"/>
    <w:rsid w:val="681974EB"/>
    <w:rsid w:val="681C5398"/>
    <w:rsid w:val="68441FF9"/>
    <w:rsid w:val="68637725"/>
    <w:rsid w:val="686B098F"/>
    <w:rsid w:val="686E1C26"/>
    <w:rsid w:val="68AB4C28"/>
    <w:rsid w:val="68AF64C7"/>
    <w:rsid w:val="68B13242"/>
    <w:rsid w:val="68C746F7"/>
    <w:rsid w:val="68CA77A4"/>
    <w:rsid w:val="68F21653"/>
    <w:rsid w:val="68FB1B92"/>
    <w:rsid w:val="68FB3377"/>
    <w:rsid w:val="68FE2B66"/>
    <w:rsid w:val="68FE2D9A"/>
    <w:rsid w:val="69002FB4"/>
    <w:rsid w:val="69057D23"/>
    <w:rsid w:val="690C0CC9"/>
    <w:rsid w:val="690F6F65"/>
    <w:rsid w:val="691649E4"/>
    <w:rsid w:val="692622A5"/>
    <w:rsid w:val="692F585A"/>
    <w:rsid w:val="694D7670"/>
    <w:rsid w:val="694E73C9"/>
    <w:rsid w:val="696E7976"/>
    <w:rsid w:val="6975345F"/>
    <w:rsid w:val="697C2271"/>
    <w:rsid w:val="697C7257"/>
    <w:rsid w:val="69845274"/>
    <w:rsid w:val="699D3A13"/>
    <w:rsid w:val="699F29DF"/>
    <w:rsid w:val="69A1219F"/>
    <w:rsid w:val="69A16C59"/>
    <w:rsid w:val="69A23859"/>
    <w:rsid w:val="69A515C7"/>
    <w:rsid w:val="69B1626F"/>
    <w:rsid w:val="69B43CD8"/>
    <w:rsid w:val="69C73CE4"/>
    <w:rsid w:val="69C837E1"/>
    <w:rsid w:val="69D16589"/>
    <w:rsid w:val="69DD42E5"/>
    <w:rsid w:val="69E55FB3"/>
    <w:rsid w:val="69ED2188"/>
    <w:rsid w:val="6A16702E"/>
    <w:rsid w:val="6A2D217D"/>
    <w:rsid w:val="6A3053E5"/>
    <w:rsid w:val="6A5D7D75"/>
    <w:rsid w:val="6A5E2C49"/>
    <w:rsid w:val="6A5F216E"/>
    <w:rsid w:val="6A814D79"/>
    <w:rsid w:val="6A85064D"/>
    <w:rsid w:val="6A9E278E"/>
    <w:rsid w:val="6A9F14FB"/>
    <w:rsid w:val="6AA56D0B"/>
    <w:rsid w:val="6AA7119E"/>
    <w:rsid w:val="6AD66324"/>
    <w:rsid w:val="6AE47425"/>
    <w:rsid w:val="6AF000F9"/>
    <w:rsid w:val="6AFA6F8C"/>
    <w:rsid w:val="6B0600C0"/>
    <w:rsid w:val="6B08193B"/>
    <w:rsid w:val="6B0A6BE4"/>
    <w:rsid w:val="6B102506"/>
    <w:rsid w:val="6B113469"/>
    <w:rsid w:val="6B154FE0"/>
    <w:rsid w:val="6B161894"/>
    <w:rsid w:val="6B20545A"/>
    <w:rsid w:val="6B2446E9"/>
    <w:rsid w:val="6B386CB1"/>
    <w:rsid w:val="6B430753"/>
    <w:rsid w:val="6B59096C"/>
    <w:rsid w:val="6B66073E"/>
    <w:rsid w:val="6B6C7C9B"/>
    <w:rsid w:val="6B945B06"/>
    <w:rsid w:val="6B9734FF"/>
    <w:rsid w:val="6B973A42"/>
    <w:rsid w:val="6BA50F78"/>
    <w:rsid w:val="6BAA0E3C"/>
    <w:rsid w:val="6BBA26E8"/>
    <w:rsid w:val="6BCC1FC0"/>
    <w:rsid w:val="6BD80588"/>
    <w:rsid w:val="6BE20961"/>
    <w:rsid w:val="6BE94C15"/>
    <w:rsid w:val="6BEF0E44"/>
    <w:rsid w:val="6BFD1C3F"/>
    <w:rsid w:val="6C0A12CA"/>
    <w:rsid w:val="6C0F54CE"/>
    <w:rsid w:val="6C2A3910"/>
    <w:rsid w:val="6C382DF1"/>
    <w:rsid w:val="6C3E1C47"/>
    <w:rsid w:val="6C722924"/>
    <w:rsid w:val="6C7358E7"/>
    <w:rsid w:val="6C7672FB"/>
    <w:rsid w:val="6C7D4B2E"/>
    <w:rsid w:val="6C885F6F"/>
    <w:rsid w:val="6CAB30F9"/>
    <w:rsid w:val="6CBE0FCB"/>
    <w:rsid w:val="6CD132FB"/>
    <w:rsid w:val="6CD7206A"/>
    <w:rsid w:val="6CD877C3"/>
    <w:rsid w:val="6CDF2E4F"/>
    <w:rsid w:val="6CDF6B88"/>
    <w:rsid w:val="6CE50DE3"/>
    <w:rsid w:val="6D005B58"/>
    <w:rsid w:val="6D0A6BCC"/>
    <w:rsid w:val="6D0B038C"/>
    <w:rsid w:val="6D1515D1"/>
    <w:rsid w:val="6D3D6610"/>
    <w:rsid w:val="6D3E39B3"/>
    <w:rsid w:val="6D4E6B70"/>
    <w:rsid w:val="6D50469D"/>
    <w:rsid w:val="6D5910F7"/>
    <w:rsid w:val="6D661494"/>
    <w:rsid w:val="6D7A789F"/>
    <w:rsid w:val="6D861F8C"/>
    <w:rsid w:val="6D8B08EC"/>
    <w:rsid w:val="6D8D462B"/>
    <w:rsid w:val="6D956B68"/>
    <w:rsid w:val="6DAA73FE"/>
    <w:rsid w:val="6DAE17F1"/>
    <w:rsid w:val="6DBD3434"/>
    <w:rsid w:val="6DC24CEC"/>
    <w:rsid w:val="6DC73E5A"/>
    <w:rsid w:val="6DD36D10"/>
    <w:rsid w:val="6DD5307F"/>
    <w:rsid w:val="6DD72B83"/>
    <w:rsid w:val="6DDC2CAE"/>
    <w:rsid w:val="6E002268"/>
    <w:rsid w:val="6E07364A"/>
    <w:rsid w:val="6E075F35"/>
    <w:rsid w:val="6E16560E"/>
    <w:rsid w:val="6E1E6B73"/>
    <w:rsid w:val="6E23688A"/>
    <w:rsid w:val="6E3440F2"/>
    <w:rsid w:val="6E6B20A4"/>
    <w:rsid w:val="6E715DD5"/>
    <w:rsid w:val="6E736A8F"/>
    <w:rsid w:val="6E7C126C"/>
    <w:rsid w:val="6E7E5A33"/>
    <w:rsid w:val="6E80057A"/>
    <w:rsid w:val="6E836B24"/>
    <w:rsid w:val="6E877FB0"/>
    <w:rsid w:val="6E927C1A"/>
    <w:rsid w:val="6ED06E0D"/>
    <w:rsid w:val="6ED1310B"/>
    <w:rsid w:val="6EDB0A02"/>
    <w:rsid w:val="6EED7C29"/>
    <w:rsid w:val="6EF035FA"/>
    <w:rsid w:val="6EF3178D"/>
    <w:rsid w:val="6EFF3F9F"/>
    <w:rsid w:val="6F006748"/>
    <w:rsid w:val="6F0333E1"/>
    <w:rsid w:val="6F037E5A"/>
    <w:rsid w:val="6F0E482A"/>
    <w:rsid w:val="6F5B7934"/>
    <w:rsid w:val="6F6833D1"/>
    <w:rsid w:val="6F6A1399"/>
    <w:rsid w:val="6F7073F9"/>
    <w:rsid w:val="6F712728"/>
    <w:rsid w:val="6F8B25C4"/>
    <w:rsid w:val="6F8D1025"/>
    <w:rsid w:val="6F992BD4"/>
    <w:rsid w:val="6F9A3E3E"/>
    <w:rsid w:val="6FA3540E"/>
    <w:rsid w:val="6FA92B76"/>
    <w:rsid w:val="6FA96375"/>
    <w:rsid w:val="6FB603F0"/>
    <w:rsid w:val="6FBA2543"/>
    <w:rsid w:val="6FC53D14"/>
    <w:rsid w:val="70001486"/>
    <w:rsid w:val="70070C48"/>
    <w:rsid w:val="7011620E"/>
    <w:rsid w:val="701A3E9E"/>
    <w:rsid w:val="701D465E"/>
    <w:rsid w:val="7023134B"/>
    <w:rsid w:val="7025639F"/>
    <w:rsid w:val="70264219"/>
    <w:rsid w:val="70294A32"/>
    <w:rsid w:val="702C1027"/>
    <w:rsid w:val="70506E3C"/>
    <w:rsid w:val="70597D80"/>
    <w:rsid w:val="706C1A83"/>
    <w:rsid w:val="70825B94"/>
    <w:rsid w:val="708A4D58"/>
    <w:rsid w:val="708B529E"/>
    <w:rsid w:val="70924B9B"/>
    <w:rsid w:val="70934920"/>
    <w:rsid w:val="7095179B"/>
    <w:rsid w:val="70993AFC"/>
    <w:rsid w:val="709C1A26"/>
    <w:rsid w:val="709D579F"/>
    <w:rsid w:val="70BA3C5B"/>
    <w:rsid w:val="70C44AD9"/>
    <w:rsid w:val="70CC2906"/>
    <w:rsid w:val="70CD6D9A"/>
    <w:rsid w:val="70D0206A"/>
    <w:rsid w:val="70D445BF"/>
    <w:rsid w:val="70D861BF"/>
    <w:rsid w:val="70DE2F60"/>
    <w:rsid w:val="70F133F4"/>
    <w:rsid w:val="70F936D9"/>
    <w:rsid w:val="70FD1072"/>
    <w:rsid w:val="71094BE2"/>
    <w:rsid w:val="71107D1F"/>
    <w:rsid w:val="711A5A94"/>
    <w:rsid w:val="7130667E"/>
    <w:rsid w:val="714C1284"/>
    <w:rsid w:val="714D72B8"/>
    <w:rsid w:val="714E46F6"/>
    <w:rsid w:val="71502A8E"/>
    <w:rsid w:val="71576665"/>
    <w:rsid w:val="715D3FDE"/>
    <w:rsid w:val="71695B67"/>
    <w:rsid w:val="71773B20"/>
    <w:rsid w:val="718A0C20"/>
    <w:rsid w:val="719F3256"/>
    <w:rsid w:val="71A32ED8"/>
    <w:rsid w:val="71AD7351"/>
    <w:rsid w:val="71AF05BA"/>
    <w:rsid w:val="71B138F5"/>
    <w:rsid w:val="71B33DA4"/>
    <w:rsid w:val="71B46975"/>
    <w:rsid w:val="71CB3977"/>
    <w:rsid w:val="71CC02C8"/>
    <w:rsid w:val="71CF3F9D"/>
    <w:rsid w:val="71E07AA2"/>
    <w:rsid w:val="71E50374"/>
    <w:rsid w:val="71EB37EB"/>
    <w:rsid w:val="71F85B6D"/>
    <w:rsid w:val="71F91964"/>
    <w:rsid w:val="71F9658A"/>
    <w:rsid w:val="72010869"/>
    <w:rsid w:val="720F6228"/>
    <w:rsid w:val="72192FFB"/>
    <w:rsid w:val="723513B0"/>
    <w:rsid w:val="72442094"/>
    <w:rsid w:val="724C01D4"/>
    <w:rsid w:val="724C2FD8"/>
    <w:rsid w:val="724C4D86"/>
    <w:rsid w:val="724D7AC7"/>
    <w:rsid w:val="725A77F4"/>
    <w:rsid w:val="726F52AF"/>
    <w:rsid w:val="72740B69"/>
    <w:rsid w:val="72816160"/>
    <w:rsid w:val="72817E6F"/>
    <w:rsid w:val="728409C4"/>
    <w:rsid w:val="728C598B"/>
    <w:rsid w:val="728C6806"/>
    <w:rsid w:val="7297357A"/>
    <w:rsid w:val="72AC4AF6"/>
    <w:rsid w:val="72BC71C0"/>
    <w:rsid w:val="72C023B8"/>
    <w:rsid w:val="72C664D9"/>
    <w:rsid w:val="72C70FF4"/>
    <w:rsid w:val="72CA5DE6"/>
    <w:rsid w:val="72D6715D"/>
    <w:rsid w:val="72D80D10"/>
    <w:rsid w:val="72E51913"/>
    <w:rsid w:val="72EA3A04"/>
    <w:rsid w:val="72EF558F"/>
    <w:rsid w:val="72F31A3A"/>
    <w:rsid w:val="733D46F8"/>
    <w:rsid w:val="7353202C"/>
    <w:rsid w:val="7356205A"/>
    <w:rsid w:val="736C4FAB"/>
    <w:rsid w:val="73711CF0"/>
    <w:rsid w:val="73726F8C"/>
    <w:rsid w:val="73761C2E"/>
    <w:rsid w:val="73805470"/>
    <w:rsid w:val="739547E5"/>
    <w:rsid w:val="73977C09"/>
    <w:rsid w:val="739A4E8A"/>
    <w:rsid w:val="739C65FA"/>
    <w:rsid w:val="73A82498"/>
    <w:rsid w:val="73AC38B2"/>
    <w:rsid w:val="73B85193"/>
    <w:rsid w:val="73C137AD"/>
    <w:rsid w:val="73C179F6"/>
    <w:rsid w:val="73CA1E7A"/>
    <w:rsid w:val="73D54113"/>
    <w:rsid w:val="73F2195D"/>
    <w:rsid w:val="73F22A72"/>
    <w:rsid w:val="73F4410D"/>
    <w:rsid w:val="741779B0"/>
    <w:rsid w:val="742751F2"/>
    <w:rsid w:val="742E508B"/>
    <w:rsid w:val="743E2E38"/>
    <w:rsid w:val="743F3D1B"/>
    <w:rsid w:val="74514836"/>
    <w:rsid w:val="745E5559"/>
    <w:rsid w:val="745F2445"/>
    <w:rsid w:val="746464FE"/>
    <w:rsid w:val="747A2501"/>
    <w:rsid w:val="747B1953"/>
    <w:rsid w:val="747F300B"/>
    <w:rsid w:val="74805A26"/>
    <w:rsid w:val="74884070"/>
    <w:rsid w:val="74977C4C"/>
    <w:rsid w:val="749F4535"/>
    <w:rsid w:val="74A6514A"/>
    <w:rsid w:val="74A84A44"/>
    <w:rsid w:val="74B453E8"/>
    <w:rsid w:val="74B75B09"/>
    <w:rsid w:val="74BE72A5"/>
    <w:rsid w:val="74CD6B93"/>
    <w:rsid w:val="74D24659"/>
    <w:rsid w:val="74DC7CBA"/>
    <w:rsid w:val="74E92D60"/>
    <w:rsid w:val="74ED74D9"/>
    <w:rsid w:val="74F6722B"/>
    <w:rsid w:val="74FD5C25"/>
    <w:rsid w:val="74FD680C"/>
    <w:rsid w:val="7505329D"/>
    <w:rsid w:val="751C0816"/>
    <w:rsid w:val="75254BA3"/>
    <w:rsid w:val="754230F8"/>
    <w:rsid w:val="75530B22"/>
    <w:rsid w:val="7555340F"/>
    <w:rsid w:val="7556493A"/>
    <w:rsid w:val="75597DCF"/>
    <w:rsid w:val="755B10ED"/>
    <w:rsid w:val="755D7AAE"/>
    <w:rsid w:val="756923CF"/>
    <w:rsid w:val="75705230"/>
    <w:rsid w:val="75894543"/>
    <w:rsid w:val="758F4FAA"/>
    <w:rsid w:val="7590714F"/>
    <w:rsid w:val="759D2392"/>
    <w:rsid w:val="759E24FF"/>
    <w:rsid w:val="759E3629"/>
    <w:rsid w:val="759E3B4B"/>
    <w:rsid w:val="75AD3658"/>
    <w:rsid w:val="75B0264A"/>
    <w:rsid w:val="75C25129"/>
    <w:rsid w:val="75C66E24"/>
    <w:rsid w:val="75D8092C"/>
    <w:rsid w:val="75E654F2"/>
    <w:rsid w:val="75EA7FEA"/>
    <w:rsid w:val="75F553E8"/>
    <w:rsid w:val="76062DE3"/>
    <w:rsid w:val="76066838"/>
    <w:rsid w:val="760D71E6"/>
    <w:rsid w:val="76153E23"/>
    <w:rsid w:val="76164215"/>
    <w:rsid w:val="762F6E99"/>
    <w:rsid w:val="763454C0"/>
    <w:rsid w:val="763C6523"/>
    <w:rsid w:val="764173A7"/>
    <w:rsid w:val="76451A62"/>
    <w:rsid w:val="764F3ACF"/>
    <w:rsid w:val="765C1150"/>
    <w:rsid w:val="766525AC"/>
    <w:rsid w:val="76654669"/>
    <w:rsid w:val="766D1A47"/>
    <w:rsid w:val="767706B0"/>
    <w:rsid w:val="7677713F"/>
    <w:rsid w:val="76850C5E"/>
    <w:rsid w:val="7685686B"/>
    <w:rsid w:val="768A6105"/>
    <w:rsid w:val="768F7269"/>
    <w:rsid w:val="76950A02"/>
    <w:rsid w:val="769E7B7B"/>
    <w:rsid w:val="76A65A55"/>
    <w:rsid w:val="76A74BC4"/>
    <w:rsid w:val="76B048E8"/>
    <w:rsid w:val="76BB2180"/>
    <w:rsid w:val="76BD6253"/>
    <w:rsid w:val="76C20247"/>
    <w:rsid w:val="76CE274D"/>
    <w:rsid w:val="76F46A9D"/>
    <w:rsid w:val="76F86C02"/>
    <w:rsid w:val="77084735"/>
    <w:rsid w:val="77215D18"/>
    <w:rsid w:val="7727026C"/>
    <w:rsid w:val="772E0568"/>
    <w:rsid w:val="77343404"/>
    <w:rsid w:val="773B1B9D"/>
    <w:rsid w:val="77423F48"/>
    <w:rsid w:val="774779CE"/>
    <w:rsid w:val="7762586D"/>
    <w:rsid w:val="776A354E"/>
    <w:rsid w:val="777A2655"/>
    <w:rsid w:val="779B6821"/>
    <w:rsid w:val="77CC0D87"/>
    <w:rsid w:val="77D25D2E"/>
    <w:rsid w:val="77EB2CE1"/>
    <w:rsid w:val="780717A7"/>
    <w:rsid w:val="78080A1E"/>
    <w:rsid w:val="7812039E"/>
    <w:rsid w:val="783A6F96"/>
    <w:rsid w:val="783E06E7"/>
    <w:rsid w:val="784A356A"/>
    <w:rsid w:val="784C76C2"/>
    <w:rsid w:val="784D2D5B"/>
    <w:rsid w:val="78503898"/>
    <w:rsid w:val="78532C81"/>
    <w:rsid w:val="785614D2"/>
    <w:rsid w:val="785931B9"/>
    <w:rsid w:val="7859644F"/>
    <w:rsid w:val="78680440"/>
    <w:rsid w:val="7872520C"/>
    <w:rsid w:val="78760522"/>
    <w:rsid w:val="787713B4"/>
    <w:rsid w:val="78782796"/>
    <w:rsid w:val="787A5856"/>
    <w:rsid w:val="78827754"/>
    <w:rsid w:val="788802C8"/>
    <w:rsid w:val="789367E2"/>
    <w:rsid w:val="789C4ED1"/>
    <w:rsid w:val="789C5CFA"/>
    <w:rsid w:val="78A064F4"/>
    <w:rsid w:val="78C778F6"/>
    <w:rsid w:val="78C87131"/>
    <w:rsid w:val="78CD4CEA"/>
    <w:rsid w:val="78D13BAA"/>
    <w:rsid w:val="78D619D6"/>
    <w:rsid w:val="78DA27F1"/>
    <w:rsid w:val="78DA7A12"/>
    <w:rsid w:val="78E14816"/>
    <w:rsid w:val="78E43EF1"/>
    <w:rsid w:val="78E6329F"/>
    <w:rsid w:val="78ED7920"/>
    <w:rsid w:val="78F261E6"/>
    <w:rsid w:val="78F30E0C"/>
    <w:rsid w:val="78FD4563"/>
    <w:rsid w:val="790232DB"/>
    <w:rsid w:val="79072303"/>
    <w:rsid w:val="791B3704"/>
    <w:rsid w:val="792B6529"/>
    <w:rsid w:val="792E4273"/>
    <w:rsid w:val="792F75B6"/>
    <w:rsid w:val="793573A6"/>
    <w:rsid w:val="793D4B95"/>
    <w:rsid w:val="794434AE"/>
    <w:rsid w:val="794F3F6B"/>
    <w:rsid w:val="7952069E"/>
    <w:rsid w:val="795D0F5E"/>
    <w:rsid w:val="797C23F5"/>
    <w:rsid w:val="79B835CF"/>
    <w:rsid w:val="79BD08BC"/>
    <w:rsid w:val="79E32474"/>
    <w:rsid w:val="79FF3F62"/>
    <w:rsid w:val="7A0430DA"/>
    <w:rsid w:val="7A044FFA"/>
    <w:rsid w:val="7A0C60AF"/>
    <w:rsid w:val="7A0F4D73"/>
    <w:rsid w:val="7A146AD1"/>
    <w:rsid w:val="7A1A39BC"/>
    <w:rsid w:val="7A236943"/>
    <w:rsid w:val="7A2E04F3"/>
    <w:rsid w:val="7A31152D"/>
    <w:rsid w:val="7A4A42A1"/>
    <w:rsid w:val="7A4B2C37"/>
    <w:rsid w:val="7A4B7E85"/>
    <w:rsid w:val="7A4F403A"/>
    <w:rsid w:val="7A5944E4"/>
    <w:rsid w:val="7A6F1F5A"/>
    <w:rsid w:val="7A6F5AB6"/>
    <w:rsid w:val="7A7237F8"/>
    <w:rsid w:val="7A790DB2"/>
    <w:rsid w:val="7A7C4C7C"/>
    <w:rsid w:val="7A835199"/>
    <w:rsid w:val="7A926349"/>
    <w:rsid w:val="7A960256"/>
    <w:rsid w:val="7A997C6D"/>
    <w:rsid w:val="7AAC6D0A"/>
    <w:rsid w:val="7AAE2C70"/>
    <w:rsid w:val="7AB054DC"/>
    <w:rsid w:val="7AB642C6"/>
    <w:rsid w:val="7AC21FB4"/>
    <w:rsid w:val="7ACD779E"/>
    <w:rsid w:val="7AE7009C"/>
    <w:rsid w:val="7AEC7106"/>
    <w:rsid w:val="7AED4FCB"/>
    <w:rsid w:val="7AFC118C"/>
    <w:rsid w:val="7AFD2951"/>
    <w:rsid w:val="7B0C4611"/>
    <w:rsid w:val="7B1D1755"/>
    <w:rsid w:val="7B2442A2"/>
    <w:rsid w:val="7B305E36"/>
    <w:rsid w:val="7B312DD5"/>
    <w:rsid w:val="7B33221E"/>
    <w:rsid w:val="7B4F484C"/>
    <w:rsid w:val="7B6A1F6E"/>
    <w:rsid w:val="7B902692"/>
    <w:rsid w:val="7B933384"/>
    <w:rsid w:val="7BA1323E"/>
    <w:rsid w:val="7BC82AD2"/>
    <w:rsid w:val="7BD53ACF"/>
    <w:rsid w:val="7BD55D7C"/>
    <w:rsid w:val="7BD92135"/>
    <w:rsid w:val="7BDD1298"/>
    <w:rsid w:val="7BFC4C19"/>
    <w:rsid w:val="7C0067A9"/>
    <w:rsid w:val="7C054491"/>
    <w:rsid w:val="7C062606"/>
    <w:rsid w:val="7C0B048F"/>
    <w:rsid w:val="7C1032C9"/>
    <w:rsid w:val="7C305719"/>
    <w:rsid w:val="7C457C7A"/>
    <w:rsid w:val="7C4B60B7"/>
    <w:rsid w:val="7C587E0F"/>
    <w:rsid w:val="7C594C70"/>
    <w:rsid w:val="7C666295"/>
    <w:rsid w:val="7C6E4C43"/>
    <w:rsid w:val="7C7370EF"/>
    <w:rsid w:val="7C75137E"/>
    <w:rsid w:val="7C793889"/>
    <w:rsid w:val="7C7E624E"/>
    <w:rsid w:val="7C7F1B12"/>
    <w:rsid w:val="7C7F3742"/>
    <w:rsid w:val="7C964F42"/>
    <w:rsid w:val="7C98667A"/>
    <w:rsid w:val="7CA35D58"/>
    <w:rsid w:val="7CD0144A"/>
    <w:rsid w:val="7CD2143C"/>
    <w:rsid w:val="7CD50349"/>
    <w:rsid w:val="7CE6437A"/>
    <w:rsid w:val="7CEC7D69"/>
    <w:rsid w:val="7CED5CBE"/>
    <w:rsid w:val="7CF439E4"/>
    <w:rsid w:val="7CFD593C"/>
    <w:rsid w:val="7D01165A"/>
    <w:rsid w:val="7D031DA1"/>
    <w:rsid w:val="7D07647A"/>
    <w:rsid w:val="7D174841"/>
    <w:rsid w:val="7D177456"/>
    <w:rsid w:val="7D1A4C6A"/>
    <w:rsid w:val="7D1A7E38"/>
    <w:rsid w:val="7D1F35DD"/>
    <w:rsid w:val="7D2B44D6"/>
    <w:rsid w:val="7D4009EF"/>
    <w:rsid w:val="7D4362E8"/>
    <w:rsid w:val="7D546E36"/>
    <w:rsid w:val="7D6C5A69"/>
    <w:rsid w:val="7D6F401F"/>
    <w:rsid w:val="7D71054B"/>
    <w:rsid w:val="7D7E7E12"/>
    <w:rsid w:val="7D853842"/>
    <w:rsid w:val="7D8E6354"/>
    <w:rsid w:val="7D95108A"/>
    <w:rsid w:val="7D984349"/>
    <w:rsid w:val="7DBE513D"/>
    <w:rsid w:val="7DC50094"/>
    <w:rsid w:val="7DD722F0"/>
    <w:rsid w:val="7DE721F0"/>
    <w:rsid w:val="7E062BD5"/>
    <w:rsid w:val="7E0919B2"/>
    <w:rsid w:val="7E0D5D12"/>
    <w:rsid w:val="7E2748F9"/>
    <w:rsid w:val="7E2C18CE"/>
    <w:rsid w:val="7E31282A"/>
    <w:rsid w:val="7E4F5492"/>
    <w:rsid w:val="7E5078E5"/>
    <w:rsid w:val="7E5517D9"/>
    <w:rsid w:val="7E6A57E5"/>
    <w:rsid w:val="7E7F2578"/>
    <w:rsid w:val="7E857B4C"/>
    <w:rsid w:val="7E8B414C"/>
    <w:rsid w:val="7E9A0CA5"/>
    <w:rsid w:val="7EA412BC"/>
    <w:rsid w:val="7EAE7007"/>
    <w:rsid w:val="7EB0669D"/>
    <w:rsid w:val="7EB44B8E"/>
    <w:rsid w:val="7EB55151"/>
    <w:rsid w:val="7EB60F57"/>
    <w:rsid w:val="7EB77AB1"/>
    <w:rsid w:val="7EBE32F3"/>
    <w:rsid w:val="7EC70B3C"/>
    <w:rsid w:val="7ED00AED"/>
    <w:rsid w:val="7EDA196C"/>
    <w:rsid w:val="7EDC071F"/>
    <w:rsid w:val="7EE512F3"/>
    <w:rsid w:val="7EF80591"/>
    <w:rsid w:val="7F0569E9"/>
    <w:rsid w:val="7F0A04A3"/>
    <w:rsid w:val="7F170C58"/>
    <w:rsid w:val="7F1C5AC4"/>
    <w:rsid w:val="7F221EE7"/>
    <w:rsid w:val="7F2E371E"/>
    <w:rsid w:val="7F39127B"/>
    <w:rsid w:val="7F542A01"/>
    <w:rsid w:val="7F726CDE"/>
    <w:rsid w:val="7F7553C9"/>
    <w:rsid w:val="7F7A329A"/>
    <w:rsid w:val="7F863260"/>
    <w:rsid w:val="7F930C38"/>
    <w:rsid w:val="7F9730EF"/>
    <w:rsid w:val="7F9F508F"/>
    <w:rsid w:val="7FB9626B"/>
    <w:rsid w:val="7FC85B26"/>
    <w:rsid w:val="7FC95C68"/>
    <w:rsid w:val="7FCC7507"/>
    <w:rsid w:val="7FE63F6A"/>
    <w:rsid w:val="7FE64C05"/>
    <w:rsid w:val="7FE7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center"/>
      <w:outlineLvl w:val="0"/>
    </w:pPr>
    <w:rPr>
      <w:b/>
      <w:kern w:val="44"/>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napToGrid w:val="0"/>
      <w:kern w:val="0"/>
    </w:rPr>
  </w:style>
  <w:style w:type="paragraph" w:styleId="4">
    <w:name w:val="annotation text"/>
    <w:basedOn w:val="1"/>
    <w:link w:val="19"/>
    <w:qFormat/>
    <w:uiPriority w:val="0"/>
    <w:pPr>
      <w:jc w:val="left"/>
    </w:pPr>
  </w:style>
  <w:style w:type="paragraph" w:styleId="5">
    <w:name w:val="Body Text"/>
    <w:basedOn w:val="1"/>
    <w:next w:val="1"/>
    <w:unhideWhenUsed/>
    <w:qFormat/>
    <w:uiPriority w:val="99"/>
    <w:pPr>
      <w:spacing w:line="240" w:lineRule="auto"/>
      <w:ind w:firstLine="0" w:firstLineChars="0"/>
      <w:jc w:val="center"/>
    </w:pPr>
  </w:style>
  <w:style w:type="paragraph" w:styleId="6">
    <w:name w:val="Balloon Text"/>
    <w:basedOn w:val="1"/>
    <w:link w:val="21"/>
    <w:qFormat/>
    <w:uiPriority w:val="0"/>
    <w:pPr>
      <w:spacing w:line="240" w:lineRule="auto"/>
    </w:pPr>
    <w:rPr>
      <w:sz w:val="18"/>
      <w:szCs w:val="18"/>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0"/>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customStyle="1" w:styleId="15">
    <w:name w:val="表格"/>
    <w:basedOn w:val="3"/>
    <w:next w:val="1"/>
    <w:qFormat/>
    <w:uiPriority w:val="0"/>
    <w:pPr>
      <w:spacing w:line="240" w:lineRule="auto"/>
      <w:ind w:firstLine="0" w:firstLineChars="0"/>
      <w:jc w:val="center"/>
    </w:pPr>
    <w:rPr>
      <w:sz w:val="21"/>
    </w:rPr>
  </w:style>
  <w:style w:type="paragraph" w:customStyle="1" w:styleId="16">
    <w:name w:val="正文-大多数内容"/>
    <w:basedOn w:val="1"/>
    <w:qFormat/>
    <w:uiPriority w:val="0"/>
    <w:pPr>
      <w:ind w:firstLine="720"/>
    </w:pPr>
  </w:style>
  <w:style w:type="paragraph" w:customStyle="1" w:styleId="17">
    <w:name w:val="图标头"/>
    <w:basedOn w:val="1"/>
    <w:link w:val="18"/>
    <w:qFormat/>
    <w:uiPriority w:val="0"/>
    <w:pPr>
      <w:spacing w:line="240" w:lineRule="auto"/>
      <w:ind w:firstLine="0" w:firstLineChars="0"/>
      <w:jc w:val="center"/>
    </w:pPr>
    <w:rPr>
      <w:b/>
      <w:sz w:val="21"/>
    </w:rPr>
  </w:style>
  <w:style w:type="character" w:customStyle="1" w:styleId="18">
    <w:name w:val="图标头 Char"/>
    <w:link w:val="17"/>
    <w:qFormat/>
    <w:uiPriority w:val="0"/>
    <w:rPr>
      <w:rFonts w:ascii="Times New Roman" w:hAnsi="Times New Roman" w:eastAsia="宋体"/>
      <w:b/>
      <w:color w:val="auto"/>
      <w:sz w:val="21"/>
      <w:u w:val="none"/>
    </w:rPr>
  </w:style>
  <w:style w:type="character" w:customStyle="1" w:styleId="19">
    <w:name w:val="批注文字 Char"/>
    <w:basedOn w:val="13"/>
    <w:link w:val="4"/>
    <w:qFormat/>
    <w:uiPriority w:val="0"/>
    <w:rPr>
      <w:kern w:val="2"/>
      <w:sz w:val="24"/>
      <w:szCs w:val="24"/>
    </w:rPr>
  </w:style>
  <w:style w:type="character" w:customStyle="1" w:styleId="20">
    <w:name w:val="批注主题 Char"/>
    <w:basedOn w:val="19"/>
    <w:link w:val="10"/>
    <w:qFormat/>
    <w:uiPriority w:val="0"/>
    <w:rPr>
      <w:b/>
      <w:bCs/>
      <w:kern w:val="2"/>
      <w:sz w:val="24"/>
      <w:szCs w:val="24"/>
    </w:rPr>
  </w:style>
  <w:style w:type="character" w:customStyle="1" w:styleId="21">
    <w:name w:val="批注框文本 Char"/>
    <w:basedOn w:val="13"/>
    <w:link w:val="6"/>
    <w:qFormat/>
    <w:uiPriority w:val="0"/>
    <w:rPr>
      <w:kern w:val="2"/>
      <w:sz w:val="18"/>
      <w:szCs w:val="18"/>
    </w:rPr>
  </w:style>
  <w:style w:type="paragraph" w:customStyle="1" w:styleId="22">
    <w:name w:val="正文-标题"/>
    <w:basedOn w:val="1"/>
    <w:qFormat/>
    <w:uiPriority w:val="0"/>
    <w:pPr>
      <w:ind w:firstLine="720" w:firstLineChars="200"/>
    </w:pPr>
    <w:rPr>
      <w:rFonts w:ascii="Times New Roman" w:hAnsi="Times New Roman" w:eastAsia="宋体"/>
      <w:b/>
      <w:color w:val="auto"/>
      <w:u w:val="none" w:color="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36</Pages>
  <Words>5282</Words>
  <Characters>5445</Characters>
  <Lines>55</Lines>
  <Paragraphs>57</Paragraphs>
  <TotalTime>3</TotalTime>
  <ScaleCrop>false</ScaleCrop>
  <LinksUpToDate>false</LinksUpToDate>
  <CharactersWithSpaces>5552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2024-11-26T04:07:00Z</dcterms:created>
  <dc:creator>Administrator</dc:creator>
  <cp:lastModifiedBy>浩然</cp:lastModifiedBy>
  <cp:lastPrinted>2025-08-12T02:28:00Z</cp:lastPrinted>
  <dcterms:modified xsi:type="dcterms:W3CDTF">2025-08-19T03:52:28Z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F5A5CF661BB349DBB37E76346D7D96CE_13</vt:lpwstr>
  </property>
  <property fmtid="{D5CDD505-2E9C-101B-9397-08002B2CF9AE}" pid="4" name="KSOTemplateDocerSaveRecord">
    <vt:lpwstr>eyJoZGlkIjoiM2NkYTVlMDAyZTNiODViMzQ5OTE1NGM2ODJkN2NjMGEiLCJ1c2VySWQiOiI0Mjg4ODIwNjAifQ==</vt:lpwstr>
  </property>
</Properties>
</file>