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E3E3A">
      <w:pPr>
        <w:spacing w:before="166" w:line="290" w:lineRule="auto"/>
        <w:ind w:right="550"/>
        <w:jc w:val="center"/>
        <w:rPr>
          <w:rFonts w:ascii="宋体" w:hAnsi="宋体" w:eastAsia="宋体" w:cs="宋体"/>
          <w:sz w:val="42"/>
          <w:szCs w:val="42"/>
        </w:rPr>
      </w:pPr>
      <w:r>
        <w:rPr>
          <w:rFonts w:hint="eastAsia" w:ascii="宋体" w:hAnsi="宋体" w:eastAsia="宋体" w:cs="宋体"/>
          <w:b/>
          <w:bCs/>
          <w:spacing w:val="1"/>
          <w:sz w:val="42"/>
          <w:szCs w:val="42"/>
          <w:lang w:val="en-US" w:eastAsia="zh-CN"/>
        </w:rPr>
        <w:t xml:space="preserve">     </w:t>
      </w:r>
      <w:r>
        <w:rPr>
          <w:rFonts w:ascii="宋体" w:hAnsi="宋体" w:eastAsia="宋体" w:cs="宋体"/>
          <w:b/>
          <w:bCs/>
          <w:spacing w:val="1"/>
          <w:sz w:val="42"/>
          <w:szCs w:val="42"/>
        </w:rPr>
        <w:t>202</w:t>
      </w:r>
      <w:r>
        <w:rPr>
          <w:rFonts w:ascii="宋体" w:hAnsi="宋体" w:eastAsia="宋体" w:cs="宋体"/>
          <w:b/>
          <w:bCs/>
          <w:spacing w:val="1"/>
          <w:sz w:val="42"/>
          <w:szCs w:val="42"/>
          <w:lang w:val="en-US"/>
        </w:rPr>
        <w:t>4</w:t>
      </w:r>
      <w:r>
        <w:rPr>
          <w:rFonts w:ascii="宋体" w:hAnsi="宋体" w:eastAsia="宋体" w:cs="宋体"/>
          <w:b/>
          <w:bCs/>
          <w:spacing w:val="1"/>
          <w:sz w:val="42"/>
          <w:szCs w:val="42"/>
        </w:rPr>
        <w:t>年度</w:t>
      </w:r>
      <w:r>
        <w:rPr>
          <w:rFonts w:hint="eastAsia" w:ascii="宋体" w:hAnsi="宋体" w:eastAsia="宋体" w:cs="宋体"/>
          <w:b/>
          <w:bCs/>
          <w:spacing w:val="1"/>
          <w:sz w:val="42"/>
          <w:szCs w:val="42"/>
          <w:lang w:eastAsia="zh-CN"/>
        </w:rPr>
        <w:t>岳阳县文化旅游广电局</w:t>
      </w:r>
      <w:r>
        <w:rPr>
          <w:rFonts w:ascii="宋体" w:hAnsi="宋体" w:eastAsia="宋体" w:cs="宋体"/>
          <w:b/>
          <w:bCs/>
          <w:spacing w:val="1"/>
          <w:sz w:val="42"/>
          <w:szCs w:val="42"/>
        </w:rPr>
        <w:t>整体支出</w:t>
      </w:r>
      <w:r>
        <w:rPr>
          <w:rFonts w:ascii="宋体" w:hAnsi="宋体" w:eastAsia="宋体" w:cs="宋体"/>
          <w:b/>
          <w:bCs/>
          <w:spacing w:val="8"/>
          <w:sz w:val="42"/>
          <w:szCs w:val="42"/>
        </w:rPr>
        <w:t>绩效自评报告</w:t>
      </w:r>
    </w:p>
    <w:p w14:paraId="D79E408D">
      <w:pPr>
        <w:spacing w:line="247" w:lineRule="auto"/>
        <w:rPr>
          <w:rFonts w:ascii="Arial"/>
          <w:sz w:val="21"/>
        </w:rPr>
      </w:pPr>
    </w:p>
    <w:p w14:paraId="21C586FA">
      <w:pPr>
        <w:spacing w:line="247" w:lineRule="auto"/>
        <w:rPr>
          <w:rFonts w:ascii="Arial"/>
          <w:sz w:val="21"/>
        </w:rPr>
      </w:pPr>
    </w:p>
    <w:p w14:paraId="A07271D2">
      <w:pPr>
        <w:spacing w:line="247" w:lineRule="auto"/>
        <w:rPr>
          <w:rFonts w:ascii="Arial"/>
          <w:sz w:val="21"/>
        </w:rPr>
      </w:pPr>
    </w:p>
    <w:p w14:paraId="57CEC4DC">
      <w:pPr>
        <w:spacing w:line="247" w:lineRule="auto"/>
        <w:rPr>
          <w:rFonts w:ascii="Arial"/>
          <w:sz w:val="21"/>
        </w:rPr>
      </w:pPr>
    </w:p>
    <w:p w14:paraId="0DF5B41D">
      <w:pPr>
        <w:spacing w:line="247" w:lineRule="auto"/>
        <w:rPr>
          <w:rFonts w:ascii="Arial"/>
          <w:sz w:val="21"/>
        </w:rPr>
      </w:pPr>
    </w:p>
    <w:p w14:paraId="F5A4EDB9">
      <w:pPr>
        <w:spacing w:line="247" w:lineRule="auto"/>
        <w:rPr>
          <w:rFonts w:ascii="Arial"/>
          <w:sz w:val="21"/>
        </w:rPr>
      </w:pPr>
    </w:p>
    <w:p w14:paraId="F61574D7">
      <w:pPr>
        <w:spacing w:line="247" w:lineRule="auto"/>
        <w:rPr>
          <w:rFonts w:ascii="Arial"/>
          <w:sz w:val="21"/>
        </w:rPr>
      </w:pPr>
    </w:p>
    <w:p w14:paraId="3A21DFA9">
      <w:pPr>
        <w:spacing w:line="247" w:lineRule="auto"/>
        <w:rPr>
          <w:rFonts w:ascii="Arial"/>
          <w:sz w:val="21"/>
        </w:rPr>
      </w:pPr>
    </w:p>
    <w:p w14:paraId="B184E1D8">
      <w:pPr>
        <w:spacing w:line="247" w:lineRule="auto"/>
        <w:rPr>
          <w:rFonts w:ascii="Arial"/>
          <w:sz w:val="21"/>
        </w:rPr>
      </w:pPr>
    </w:p>
    <w:p w14:paraId="634EF9D6">
      <w:pPr>
        <w:spacing w:line="247" w:lineRule="auto"/>
        <w:rPr>
          <w:rFonts w:ascii="Arial"/>
          <w:sz w:val="21"/>
        </w:rPr>
      </w:pPr>
    </w:p>
    <w:p w14:paraId="CA2D6C3D">
      <w:pPr>
        <w:spacing w:line="247" w:lineRule="auto"/>
        <w:rPr>
          <w:rFonts w:ascii="Arial"/>
          <w:sz w:val="21"/>
        </w:rPr>
      </w:pPr>
    </w:p>
    <w:p w14:paraId="BE447159">
      <w:pPr>
        <w:spacing w:line="247" w:lineRule="auto"/>
        <w:rPr>
          <w:rFonts w:ascii="Arial"/>
          <w:sz w:val="21"/>
        </w:rPr>
      </w:pPr>
    </w:p>
    <w:p w14:paraId="5DB6FBE1">
      <w:pPr>
        <w:spacing w:line="247" w:lineRule="auto"/>
        <w:rPr>
          <w:rFonts w:ascii="Arial"/>
          <w:sz w:val="21"/>
        </w:rPr>
      </w:pPr>
    </w:p>
    <w:p w14:paraId="DE44644B">
      <w:pPr>
        <w:spacing w:line="247" w:lineRule="auto"/>
        <w:rPr>
          <w:rFonts w:ascii="Arial"/>
          <w:sz w:val="21"/>
        </w:rPr>
      </w:pPr>
    </w:p>
    <w:p w14:paraId="522A2C09">
      <w:pPr>
        <w:spacing w:line="247" w:lineRule="auto"/>
        <w:rPr>
          <w:rFonts w:ascii="Arial"/>
          <w:sz w:val="21"/>
        </w:rPr>
      </w:pPr>
    </w:p>
    <w:p w14:paraId="7E03651A">
      <w:pPr>
        <w:spacing w:line="247" w:lineRule="auto"/>
        <w:rPr>
          <w:rFonts w:ascii="Arial"/>
          <w:sz w:val="21"/>
        </w:rPr>
      </w:pPr>
    </w:p>
    <w:p w14:paraId="82C5E08C">
      <w:pPr>
        <w:spacing w:line="247" w:lineRule="auto"/>
        <w:rPr>
          <w:rFonts w:ascii="Arial"/>
          <w:sz w:val="21"/>
        </w:rPr>
      </w:pPr>
    </w:p>
    <w:p w14:paraId="F3F182BA">
      <w:pPr>
        <w:spacing w:line="247" w:lineRule="auto"/>
        <w:rPr>
          <w:rFonts w:ascii="Arial"/>
          <w:sz w:val="21"/>
        </w:rPr>
      </w:pPr>
    </w:p>
    <w:p w14:paraId="2674C3E0">
      <w:pPr>
        <w:spacing w:line="247" w:lineRule="auto"/>
        <w:rPr>
          <w:rFonts w:ascii="Arial"/>
          <w:sz w:val="21"/>
        </w:rPr>
      </w:pPr>
    </w:p>
    <w:p w14:paraId="718F0D6B">
      <w:pPr>
        <w:spacing w:line="247" w:lineRule="auto"/>
        <w:rPr>
          <w:rFonts w:ascii="Arial"/>
          <w:sz w:val="21"/>
        </w:rPr>
      </w:pPr>
    </w:p>
    <w:p w14:paraId="9482CA95">
      <w:pPr>
        <w:spacing w:line="247" w:lineRule="auto"/>
        <w:rPr>
          <w:rFonts w:ascii="Arial"/>
          <w:sz w:val="21"/>
        </w:rPr>
      </w:pPr>
    </w:p>
    <w:p w14:paraId="818B0C5B">
      <w:pPr>
        <w:spacing w:line="247" w:lineRule="auto"/>
        <w:rPr>
          <w:rFonts w:ascii="Arial"/>
          <w:sz w:val="21"/>
        </w:rPr>
      </w:pPr>
    </w:p>
    <w:p w14:paraId="855E652F">
      <w:pPr>
        <w:spacing w:line="247" w:lineRule="auto"/>
        <w:rPr>
          <w:rFonts w:ascii="Arial"/>
          <w:sz w:val="21"/>
        </w:rPr>
      </w:pPr>
    </w:p>
    <w:p w14:paraId="7D3885BB">
      <w:pPr>
        <w:spacing w:line="247" w:lineRule="auto"/>
        <w:rPr>
          <w:rFonts w:ascii="Arial"/>
          <w:sz w:val="21"/>
        </w:rPr>
      </w:pPr>
    </w:p>
    <w:p w14:paraId="020DC37A">
      <w:pPr>
        <w:spacing w:line="248" w:lineRule="auto"/>
        <w:rPr>
          <w:rFonts w:ascii="Arial"/>
          <w:sz w:val="21"/>
        </w:rPr>
      </w:pPr>
    </w:p>
    <w:p w14:paraId="418CA6EF">
      <w:pPr>
        <w:spacing w:line="248" w:lineRule="auto"/>
        <w:rPr>
          <w:rFonts w:ascii="Arial"/>
          <w:sz w:val="21"/>
        </w:rPr>
      </w:pPr>
    </w:p>
    <w:p w14:paraId="30D2A05D">
      <w:pPr>
        <w:spacing w:line="248" w:lineRule="auto"/>
        <w:rPr>
          <w:rFonts w:ascii="Arial"/>
          <w:sz w:val="21"/>
        </w:rPr>
      </w:pPr>
    </w:p>
    <w:p w14:paraId="A68F03DA">
      <w:pPr>
        <w:spacing w:line="248" w:lineRule="auto"/>
        <w:rPr>
          <w:rFonts w:ascii="Arial"/>
          <w:sz w:val="21"/>
        </w:rPr>
      </w:pPr>
    </w:p>
    <w:p w14:paraId="1817413D">
      <w:pPr>
        <w:spacing w:line="248" w:lineRule="auto"/>
        <w:rPr>
          <w:rFonts w:ascii="Arial"/>
          <w:sz w:val="21"/>
        </w:rPr>
      </w:pPr>
    </w:p>
    <w:p w14:paraId="E7735B71">
      <w:pPr>
        <w:spacing w:line="248" w:lineRule="auto"/>
        <w:rPr>
          <w:rFonts w:ascii="Arial"/>
          <w:sz w:val="21"/>
        </w:rPr>
      </w:pPr>
    </w:p>
    <w:p w14:paraId="81940550">
      <w:pPr>
        <w:spacing w:line="248" w:lineRule="auto"/>
        <w:rPr>
          <w:rFonts w:ascii="Arial"/>
          <w:sz w:val="21"/>
        </w:rPr>
      </w:pPr>
    </w:p>
    <w:p w14:paraId="7D24E6A5">
      <w:pPr>
        <w:spacing w:before="91" w:line="224" w:lineRule="auto"/>
        <w:ind w:left="3154"/>
        <w:rPr>
          <w:rFonts w:ascii="楷体" w:hAnsi="楷体" w:eastAsia="楷体" w:cs="楷体"/>
          <w:sz w:val="28"/>
          <w:szCs w:val="28"/>
        </w:rPr>
      </w:pPr>
      <w:r>
        <w:rPr>
          <w:rFonts w:ascii="楷体" w:hAnsi="楷体" w:eastAsia="楷体" w:cs="楷体"/>
          <w:b/>
          <w:bCs/>
          <w:spacing w:val="-5"/>
          <w:sz w:val="28"/>
          <w:szCs w:val="28"/>
        </w:rPr>
        <w:t>部门(单位)名称：</w:t>
      </w:r>
      <w:r>
        <w:rPr>
          <w:rFonts w:ascii="楷体" w:hAnsi="楷体" w:eastAsia="楷体" w:cs="楷体"/>
          <w:spacing w:val="-76"/>
          <w:sz w:val="28"/>
          <w:szCs w:val="28"/>
        </w:rPr>
        <w:t xml:space="preserve"> </w:t>
      </w:r>
      <w:r>
        <w:rPr>
          <w:rFonts w:ascii="楷体" w:hAnsi="楷体" w:eastAsia="楷体" w:cs="楷体"/>
          <w:spacing w:val="-77"/>
          <w:sz w:val="28"/>
          <w:szCs w:val="28"/>
          <w:u w:val="single" w:color="auto"/>
        </w:rPr>
        <w:t xml:space="preserve"> </w:t>
      </w:r>
      <w:r>
        <w:rPr>
          <w:rFonts w:ascii="楷体" w:hAnsi="楷体" w:eastAsia="楷体" w:cs="楷体"/>
          <w:b/>
          <w:bCs/>
          <w:spacing w:val="-5"/>
          <w:sz w:val="28"/>
          <w:szCs w:val="28"/>
          <w:u w:val="single" w:color="auto"/>
        </w:rPr>
        <w:t>(盖章)</w:t>
      </w:r>
    </w:p>
    <w:p w14:paraId="1C72607B">
      <w:pPr>
        <w:spacing w:before="290" w:line="225" w:lineRule="auto"/>
        <w:ind w:firstLine="3515" w:firstLineChars="1400"/>
        <w:rPr>
          <w:rFonts w:ascii="楷体" w:hAnsi="楷体" w:eastAsia="楷体" w:cs="楷体"/>
          <w:sz w:val="28"/>
          <w:szCs w:val="28"/>
        </w:rPr>
      </w:pPr>
      <w:r>
        <w:rPr>
          <w:rFonts w:hint="eastAsia" w:ascii="楷体" w:hAnsi="楷体" w:eastAsia="楷体" w:cs="楷体"/>
          <w:b/>
          <w:bCs/>
          <w:spacing w:val="-15"/>
          <w:sz w:val="28"/>
          <w:szCs w:val="28"/>
          <w:lang w:val="en-US" w:eastAsia="zh-CN"/>
        </w:rPr>
        <w:t xml:space="preserve">2025 </w:t>
      </w:r>
      <w:r>
        <w:rPr>
          <w:rFonts w:ascii="楷体" w:hAnsi="楷体" w:eastAsia="楷体" w:cs="楷体"/>
          <w:b/>
          <w:bCs/>
          <w:spacing w:val="-15"/>
          <w:sz w:val="28"/>
          <w:szCs w:val="28"/>
        </w:rPr>
        <w:t>年</w:t>
      </w:r>
      <w:r>
        <w:rPr>
          <w:rFonts w:ascii="楷体" w:hAnsi="楷体" w:eastAsia="楷体" w:cs="楷体"/>
          <w:spacing w:val="27"/>
          <w:sz w:val="28"/>
          <w:szCs w:val="28"/>
        </w:rPr>
        <w:t xml:space="preserve"> </w:t>
      </w:r>
      <w:r>
        <w:rPr>
          <w:rFonts w:hint="eastAsia" w:ascii="楷体" w:hAnsi="楷体" w:eastAsia="楷体" w:cs="楷体"/>
          <w:spacing w:val="27"/>
          <w:sz w:val="28"/>
          <w:szCs w:val="28"/>
          <w:lang w:val="en-US" w:eastAsia="zh-CN"/>
        </w:rPr>
        <w:t>4</w:t>
      </w:r>
      <w:r>
        <w:rPr>
          <w:rFonts w:ascii="楷体" w:hAnsi="楷体" w:eastAsia="楷体" w:cs="楷体"/>
          <w:spacing w:val="27"/>
          <w:sz w:val="28"/>
          <w:szCs w:val="28"/>
        </w:rPr>
        <w:t xml:space="preserve"> </w:t>
      </w:r>
      <w:r>
        <w:rPr>
          <w:rFonts w:ascii="楷体" w:hAnsi="楷体" w:eastAsia="楷体" w:cs="楷体"/>
          <w:b/>
          <w:bCs/>
          <w:spacing w:val="-15"/>
          <w:sz w:val="28"/>
          <w:szCs w:val="28"/>
        </w:rPr>
        <w:t>月</w:t>
      </w:r>
      <w:r>
        <w:rPr>
          <w:rFonts w:ascii="楷体" w:hAnsi="楷体" w:eastAsia="楷体" w:cs="楷体"/>
          <w:spacing w:val="31"/>
          <w:sz w:val="28"/>
          <w:szCs w:val="28"/>
        </w:rPr>
        <w:t xml:space="preserve"> </w:t>
      </w:r>
      <w:r>
        <w:rPr>
          <w:rFonts w:hint="eastAsia" w:ascii="楷体" w:hAnsi="楷体" w:eastAsia="楷体" w:cs="楷体"/>
          <w:spacing w:val="31"/>
          <w:sz w:val="28"/>
          <w:szCs w:val="28"/>
          <w:lang w:val="en-US" w:eastAsia="zh-CN"/>
        </w:rPr>
        <w:t>10</w:t>
      </w:r>
      <w:r>
        <w:rPr>
          <w:rFonts w:ascii="楷体" w:hAnsi="楷体" w:eastAsia="楷体" w:cs="楷体"/>
          <w:b/>
          <w:bCs/>
          <w:spacing w:val="-15"/>
          <w:sz w:val="28"/>
          <w:szCs w:val="28"/>
        </w:rPr>
        <w:t>日</w:t>
      </w:r>
    </w:p>
    <w:p w14:paraId="E50DC420">
      <w:pPr>
        <w:spacing w:before="296" w:line="230" w:lineRule="auto"/>
        <w:ind w:left="3814"/>
        <w:rPr>
          <w:rFonts w:ascii="楷体" w:hAnsi="楷体" w:eastAsia="楷体" w:cs="楷体"/>
          <w:sz w:val="28"/>
          <w:szCs w:val="28"/>
        </w:rPr>
      </w:pPr>
      <w:r>
        <w:rPr>
          <w:rFonts w:ascii="楷体" w:hAnsi="楷体" w:eastAsia="楷体" w:cs="楷体"/>
          <w:b/>
          <w:bCs/>
          <w:spacing w:val="25"/>
          <w:sz w:val="28"/>
          <w:szCs w:val="28"/>
        </w:rPr>
        <w:t>(此页为封面)</w:t>
      </w:r>
    </w:p>
    <w:p w14:paraId="7E881EF8">
      <w:pPr>
        <w:spacing w:line="230" w:lineRule="auto"/>
        <w:rPr>
          <w:rFonts w:ascii="楷体" w:hAnsi="楷体" w:eastAsia="楷体" w:cs="楷体"/>
          <w:sz w:val="28"/>
          <w:szCs w:val="28"/>
        </w:rPr>
        <w:sectPr>
          <w:headerReference r:id="rId5" w:type="default"/>
          <w:footerReference r:id="rId6" w:type="default"/>
          <w:pgSz w:w="11900" w:h="16830"/>
          <w:pgMar w:top="2445" w:right="1785" w:bottom="2000" w:left="1480" w:header="2014" w:footer="1637" w:gutter="0"/>
          <w:cols w:space="720" w:num="1"/>
        </w:sectPr>
      </w:pPr>
    </w:p>
    <w:p w14:paraId="96E5A0C3">
      <w:pPr>
        <w:spacing w:line="268" w:lineRule="auto"/>
        <w:rPr>
          <w:rFonts w:ascii="Arial"/>
          <w:sz w:val="21"/>
        </w:rPr>
      </w:pPr>
    </w:p>
    <w:p w14:paraId="CFD15090">
      <w:pPr>
        <w:spacing w:line="268" w:lineRule="auto"/>
        <w:rPr>
          <w:rFonts w:ascii="Arial"/>
          <w:sz w:val="21"/>
        </w:rPr>
      </w:pPr>
    </w:p>
    <w:p w14:paraId="DFB8FDB3">
      <w:pPr>
        <w:spacing w:line="269" w:lineRule="auto"/>
        <w:rPr>
          <w:rFonts w:ascii="Arial"/>
          <w:sz w:val="21"/>
        </w:rPr>
      </w:pPr>
    </w:p>
    <w:p w14:paraId="FBD91C40">
      <w:pPr>
        <w:spacing w:line="269" w:lineRule="auto"/>
        <w:rPr>
          <w:rFonts w:ascii="Arial"/>
          <w:sz w:val="21"/>
        </w:rPr>
      </w:pPr>
    </w:p>
    <w:p w14:paraId="76FCC2C3">
      <w:pPr>
        <w:spacing w:line="269" w:lineRule="auto"/>
        <w:rPr>
          <w:rFonts w:ascii="Arial"/>
          <w:sz w:val="21"/>
        </w:rPr>
      </w:pPr>
    </w:p>
    <w:p w14:paraId="555DD204">
      <w:pPr>
        <w:spacing w:line="269" w:lineRule="auto"/>
        <w:rPr>
          <w:rFonts w:ascii="Arial"/>
          <w:sz w:val="21"/>
        </w:rPr>
      </w:pPr>
    </w:p>
    <w:p w14:paraId="231C4008">
      <w:pPr>
        <w:spacing w:before="100" w:line="222" w:lineRule="auto"/>
        <w:ind w:left="679"/>
        <w:rPr>
          <w:rFonts w:ascii="黑体" w:hAnsi="黑体" w:eastAsia="黑体" w:cs="黑体"/>
          <w:spacing w:val="-9"/>
          <w:sz w:val="31"/>
          <w:szCs w:val="31"/>
        </w:rPr>
      </w:pPr>
      <w:r>
        <w:rPr>
          <w:rFonts w:ascii="黑体" w:hAnsi="黑体" w:eastAsia="黑体" w:cs="黑体"/>
          <w:spacing w:val="-9"/>
          <w:sz w:val="31"/>
          <w:szCs w:val="31"/>
        </w:rPr>
        <w:t>一</w:t>
      </w:r>
      <w:r>
        <w:rPr>
          <w:rFonts w:ascii="黑体" w:hAnsi="黑体" w:eastAsia="黑体" w:cs="黑体"/>
          <w:spacing w:val="-86"/>
          <w:sz w:val="31"/>
          <w:szCs w:val="31"/>
        </w:rPr>
        <w:t xml:space="preserve"> </w:t>
      </w:r>
      <w:r>
        <w:rPr>
          <w:rFonts w:ascii="黑体" w:hAnsi="黑体" w:eastAsia="黑体" w:cs="黑体"/>
          <w:spacing w:val="-9"/>
          <w:sz w:val="31"/>
          <w:szCs w:val="31"/>
        </w:rPr>
        <w:t>、部门(单位)基本情况</w:t>
      </w:r>
    </w:p>
    <w:p w14:paraId="56E1C142">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 w:cs="仿宋"/>
          <w:kern w:val="0"/>
          <w:sz w:val="32"/>
          <w:szCs w:val="32"/>
          <w:lang w:eastAsia="zh-CN"/>
        </w:rPr>
      </w:pPr>
      <w:r>
        <w:rPr>
          <w:rFonts w:hint="eastAsia" w:ascii="Times New Roman" w:hAnsi="Times New Roman" w:eastAsia="仿宋" w:cs="仿宋"/>
          <w:kern w:val="0"/>
          <w:sz w:val="32"/>
          <w:szCs w:val="32"/>
          <w:lang w:val="en-US" w:eastAsia="zh-CN"/>
        </w:rPr>
        <w:t>2024年岳阳县文广新局机关在编干部20人，属全额拨款行政单位，内设10个股室,其中:办公室、法规股、公共服务股、非物质文化遗产股、产业发展股、市场管理股、文物博物股、传媒机构管理股、人事股、财务股。</w:t>
      </w:r>
      <w:r>
        <w:rPr>
          <w:rFonts w:hint="eastAsia" w:ascii="Times New Roman" w:hAnsi="Times New Roman" w:eastAsia="仿宋" w:cs="仿宋"/>
          <w:kern w:val="0"/>
          <w:sz w:val="32"/>
          <w:szCs w:val="32"/>
        </w:rPr>
        <w:t>主要职能</w:t>
      </w:r>
      <w:r>
        <w:rPr>
          <w:rFonts w:hint="eastAsia" w:ascii="Times New Roman" w:hAnsi="Times New Roman" w:eastAsia="仿宋" w:cs="仿宋"/>
          <w:kern w:val="0"/>
          <w:sz w:val="32"/>
          <w:szCs w:val="32"/>
          <w:lang w:val="en-US" w:eastAsia="zh-CN"/>
        </w:rPr>
        <w:t>包括</w:t>
      </w:r>
      <w:r>
        <w:rPr>
          <w:rFonts w:hint="default" w:ascii="Times New Roman" w:hAnsi="Times New Roman" w:eastAsia="仿宋" w:cs="仿宋"/>
          <w:kern w:val="0"/>
          <w:sz w:val="32"/>
          <w:szCs w:val="32"/>
        </w:rPr>
        <w:t>研究拟订文化和旅游政策措施，起草文化和旅游法律法规草案；统筹规划文化事业、文化产业和旅游业发展；管理全国性重大文化活动，指导重点文化设施建设；指导、管理文艺事业，指导艺术创作生产；推进公共文化服务体系建设和旅游公共服务建设；指导、推进文化和旅游科技创新发展；负责非物质文化遗产的保护；组织实施文化和旅游资源普查、挖掘、保护、利用工作</w:t>
      </w:r>
      <w:r>
        <w:rPr>
          <w:rFonts w:hint="eastAsia" w:ascii="Times New Roman" w:hAnsi="Times New Roman" w:eastAsia="仿宋" w:cs="仿宋"/>
          <w:kern w:val="0"/>
          <w:sz w:val="32"/>
          <w:szCs w:val="32"/>
          <w:lang w:val="en-US" w:eastAsia="zh-CN"/>
        </w:rPr>
        <w:t>等等。</w:t>
      </w:r>
    </w:p>
    <w:p w14:paraId="245B9084">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cs="黑体"/>
          <w:spacing w:val="-9"/>
          <w:sz w:val="31"/>
          <w:szCs w:val="31"/>
        </w:rPr>
      </w:pPr>
      <w:r>
        <w:rPr>
          <w:rFonts w:hint="eastAsia" w:ascii="Times New Roman" w:hAnsi="Times New Roman" w:eastAsia="仿宋" w:cs="仿宋"/>
          <w:snapToGrid w:val="0"/>
          <w:color w:val="000000"/>
          <w:kern w:val="0"/>
          <w:sz w:val="32"/>
          <w:szCs w:val="32"/>
          <w:lang w:val="en-US" w:eastAsia="zh-CN" w:bidi="ar-SA"/>
        </w:rPr>
        <w:t>根据岳阳县财政局印发《关于开展2024年度财政支出绩效自评工作》的文件要求，本单位制定了部门整体支出绩效评价的工作方案评价指标，成立了绩效评价工作领导小组、绩效评价工作组，现已全面完成自评工作。</w:t>
      </w:r>
    </w:p>
    <w:p w14:paraId="DD220DB6">
      <w:pPr>
        <w:spacing w:before="214" w:line="221" w:lineRule="auto"/>
        <w:ind w:left="679"/>
        <w:rPr>
          <w:rFonts w:ascii="黑体" w:hAnsi="黑体" w:eastAsia="黑体" w:cs="黑体"/>
          <w:sz w:val="31"/>
          <w:szCs w:val="31"/>
        </w:rPr>
      </w:pPr>
      <w:r>
        <w:rPr>
          <w:rFonts w:ascii="黑体" w:hAnsi="黑体" w:eastAsia="黑体" w:cs="黑体"/>
          <w:spacing w:val="4"/>
          <w:sz w:val="31"/>
          <w:szCs w:val="31"/>
        </w:rPr>
        <w:t>二、一般公共预算支出情况</w:t>
      </w:r>
    </w:p>
    <w:p w14:paraId="528C5A34">
      <w:pPr>
        <w:kinsoku w:val="0"/>
        <w:autoSpaceDE w:val="0"/>
        <w:autoSpaceDN w:val="0"/>
        <w:adjustRightInd w:val="0"/>
        <w:snapToGrid w:val="0"/>
        <w:spacing w:line="600" w:lineRule="exact"/>
        <w:ind w:firstLine="643" w:firstLineChars="200"/>
        <w:jc w:val="both"/>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楷体_GB2312" w:cs="Arial"/>
          <w:b/>
          <w:snapToGrid w:val="0"/>
          <w:color w:val="000000"/>
          <w:sz w:val="32"/>
          <w:szCs w:val="32"/>
          <w:lang w:val="en-US" w:eastAsia="zh-CN" w:bidi="ar-SA"/>
        </w:rPr>
        <w:t>（一）</w:t>
      </w:r>
      <w:r>
        <w:rPr>
          <w:rFonts w:hint="eastAsia" w:ascii="Times New Roman" w:hAnsi="Times New Roman" w:eastAsia="仿宋_GB2312" w:cs="Arial"/>
          <w:snapToGrid w:val="0"/>
          <w:color w:val="000000"/>
          <w:sz w:val="32"/>
          <w:szCs w:val="32"/>
          <w:lang w:val="en-US" w:eastAsia="zh-CN" w:bidi="ar-SA"/>
        </w:rPr>
        <w:t>基本支出情况</w:t>
      </w:r>
    </w:p>
    <w:p w14:paraId="68DA7EBA">
      <w:pPr>
        <w:numPr>
          <w:ilvl w:val="0"/>
          <w:numId w:val="0"/>
        </w:numPr>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楷体_GB2312" w:cs="Arial"/>
          <w:b/>
          <w:snapToGrid w:val="0"/>
          <w:color w:val="000000"/>
          <w:sz w:val="32"/>
          <w:szCs w:val="32"/>
          <w:lang w:val="en-US" w:eastAsia="zh-CN" w:bidi="ar-SA"/>
        </w:rPr>
      </w:pPr>
      <w:r>
        <w:rPr>
          <w:rFonts w:hint="eastAsia" w:ascii="Times New Roman" w:hAnsi="Times New Roman" w:eastAsia="仿宋" w:cs="仿宋"/>
          <w:snapToGrid w:val="0"/>
          <w:color w:val="000000"/>
          <w:kern w:val="0"/>
          <w:sz w:val="32"/>
          <w:szCs w:val="32"/>
          <w:lang w:val="en-US" w:eastAsia="zh-CN" w:bidi="ar-SA"/>
        </w:rPr>
        <w:t>2024年基本支出年初预算数为239.91万元，全年预算数368.74万元，年度决算数368.74万元，相比上一年度减少了33.49%。支出结构主要包括人员经费支出、公用经费支出。人员经费支出总额为274.40万元，占基本支出的74.42%。其中，基本工资支出占比最大，为18.65%，津贴补贴、奖金等支出也占据一定比例。公用经费支出包括办公费、差旅费、会议费、培训费等支出，总额为94.34万元，占基本支出的25.58%。</w:t>
      </w:r>
    </w:p>
    <w:p w14:paraId="70F9C93D">
      <w:pPr>
        <w:numPr>
          <w:ilvl w:val="0"/>
          <w:numId w:val="0"/>
        </w:numPr>
        <w:kinsoku w:val="0"/>
        <w:autoSpaceDE w:val="0"/>
        <w:autoSpaceDN w:val="0"/>
        <w:adjustRightInd w:val="0"/>
        <w:snapToGrid w:val="0"/>
        <w:spacing w:line="600" w:lineRule="exact"/>
        <w:ind w:firstLine="643" w:firstLineChars="200"/>
        <w:jc w:val="both"/>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楷体_GB2312" w:cs="Arial"/>
          <w:b/>
          <w:snapToGrid w:val="0"/>
          <w:color w:val="000000"/>
          <w:sz w:val="32"/>
          <w:szCs w:val="32"/>
          <w:lang w:val="en-US" w:eastAsia="zh-CN" w:bidi="ar-SA"/>
        </w:rPr>
        <w:t>（二）</w:t>
      </w:r>
      <w:r>
        <w:rPr>
          <w:rFonts w:hint="eastAsia" w:ascii="Times New Roman" w:hAnsi="Times New Roman" w:eastAsia="仿宋_GB2312" w:cs="Arial"/>
          <w:snapToGrid w:val="0"/>
          <w:color w:val="000000"/>
          <w:sz w:val="32"/>
          <w:szCs w:val="32"/>
          <w:lang w:val="en-US" w:eastAsia="zh-CN" w:bidi="ar-SA"/>
        </w:rPr>
        <w:t>项目支出情况</w:t>
      </w:r>
    </w:p>
    <w:p w14:paraId="5412CA87">
      <w:pPr>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仿宋" w:cs="仿宋"/>
          <w:snapToGrid w:val="0"/>
          <w:color w:val="000000"/>
          <w:kern w:val="0"/>
          <w:sz w:val="32"/>
          <w:szCs w:val="32"/>
          <w:lang w:val="en-US" w:eastAsia="zh-CN" w:bidi="ar-SA"/>
        </w:rPr>
      </w:pPr>
      <w:r>
        <w:rPr>
          <w:rFonts w:hint="eastAsia" w:ascii="Times New Roman" w:hAnsi="Times New Roman" w:eastAsia="仿宋" w:cs="仿宋"/>
          <w:snapToGrid w:val="0"/>
          <w:color w:val="000000"/>
          <w:kern w:val="0"/>
          <w:sz w:val="32"/>
          <w:szCs w:val="32"/>
          <w:lang w:val="en-US" w:eastAsia="zh-CN" w:bidi="ar-SA"/>
        </w:rPr>
        <w:t>2023年我单位项目支出年初预算数215.83万元，年度执行完成854.25万元，</w:t>
      </w:r>
      <w:r>
        <w:rPr>
          <w:rFonts w:hint="eastAsia" w:ascii="Times New Roman" w:hAnsi="Times New Roman" w:eastAsia="仿宋" w:cs="仿宋"/>
          <w:snapToGrid w:val="0"/>
          <w:color w:val="000000"/>
          <w:sz w:val="32"/>
          <w:szCs w:val="32"/>
          <w:lang w:val="en-US" w:eastAsia="zh-CN" w:bidi="ar-SA"/>
        </w:rPr>
        <w:t>主要</w:t>
      </w:r>
      <w:r>
        <w:rPr>
          <w:rFonts w:hint="eastAsia" w:ascii="Times New Roman" w:hAnsi="Times New Roman" w:eastAsia="仿宋" w:cs="仿宋"/>
          <w:snapToGrid w:val="0"/>
          <w:color w:val="000000"/>
          <w:sz w:val="32"/>
          <w:szCs w:val="32"/>
          <w:lang w:val="en-US" w:eastAsia="en-US" w:bidi="ar-SA"/>
        </w:rPr>
        <w:t>用于</w:t>
      </w:r>
      <w:r>
        <w:rPr>
          <w:rFonts w:hint="eastAsia" w:ascii="Times New Roman" w:hAnsi="Times New Roman" w:eastAsia="仿宋" w:cs="仿宋"/>
          <w:snapToGrid w:val="0"/>
          <w:color w:val="000000"/>
          <w:sz w:val="32"/>
          <w:szCs w:val="32"/>
          <w:lang w:val="en-US" w:eastAsia="zh-CN" w:bidi="ar-SA"/>
        </w:rPr>
        <w:t>全县文化旅游宣传</w:t>
      </w:r>
      <w:r>
        <w:rPr>
          <w:rFonts w:hint="eastAsia" w:ascii="Times New Roman" w:hAnsi="Times New Roman" w:eastAsia="仿宋" w:cs="仿宋"/>
          <w:snapToGrid w:val="0"/>
          <w:color w:val="000000"/>
          <w:sz w:val="32"/>
          <w:szCs w:val="32"/>
          <w:lang w:val="en-US" w:eastAsia="en-US" w:bidi="ar-SA"/>
        </w:rPr>
        <w:t>方面</w:t>
      </w:r>
      <w:r>
        <w:rPr>
          <w:rFonts w:hint="eastAsia" w:ascii="Times New Roman" w:hAnsi="Times New Roman" w:eastAsia="仿宋" w:cs="仿宋"/>
          <w:snapToGrid w:val="0"/>
          <w:color w:val="000000"/>
          <w:sz w:val="32"/>
          <w:szCs w:val="32"/>
          <w:lang w:val="en-US" w:eastAsia="zh-CN" w:bidi="ar-SA"/>
        </w:rPr>
        <w:t>。2024年</w:t>
      </w:r>
      <w:r>
        <w:rPr>
          <w:rFonts w:hint="eastAsia" w:ascii="Times New Roman" w:hAnsi="Times New Roman" w:eastAsia="仿宋" w:cs="仿宋"/>
          <w:snapToGrid w:val="0"/>
          <w:color w:val="000000"/>
          <w:kern w:val="0"/>
          <w:sz w:val="32"/>
          <w:szCs w:val="32"/>
          <w:lang w:val="en-US" w:eastAsia="zh-CN" w:bidi="ar-SA"/>
        </w:rPr>
        <w:t>共2项项目支出，分别是文化事业经费、旅游宣传营销经费，其中文化事业经费371.26万元，占项目总支出的43.46%；旅游专项资金482.99万元，占项目总支出的56.54%。</w:t>
      </w:r>
      <w:bookmarkStart w:id="0" w:name="_GoBack"/>
      <w:bookmarkEnd w:id="0"/>
    </w:p>
    <w:p w14:paraId="50646F4B">
      <w:pPr>
        <w:numPr>
          <w:ilvl w:val="0"/>
          <w:numId w:val="1"/>
        </w:numPr>
        <w:spacing w:before="197" w:line="222" w:lineRule="auto"/>
        <w:ind w:left="684"/>
        <w:rPr>
          <w:rFonts w:ascii="黑体" w:hAnsi="黑体" w:eastAsia="黑体" w:cs="黑体"/>
          <w:b/>
          <w:bCs/>
          <w:sz w:val="31"/>
          <w:szCs w:val="31"/>
        </w:rPr>
      </w:pPr>
      <w:r>
        <w:rPr>
          <w:rFonts w:ascii="黑体" w:hAnsi="黑体" w:eastAsia="黑体" w:cs="黑体"/>
          <w:b/>
          <w:bCs/>
          <w:sz w:val="31"/>
          <w:szCs w:val="31"/>
        </w:rPr>
        <w:t>政府性基金预算支出情况</w:t>
      </w:r>
    </w:p>
    <w:p w14:paraId="0EB9116D">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1" w:leftChars="0"/>
        <w:textAlignment w:val="auto"/>
      </w:pPr>
      <w:r>
        <w:rPr>
          <w:rFonts w:hint="eastAsia" w:ascii="Times New Roman" w:hAnsi="Times New Roman" w:eastAsia="仿宋" w:cs="仿宋"/>
          <w:color w:val="auto"/>
          <w:kern w:val="0"/>
          <w:sz w:val="32"/>
          <w:szCs w:val="32"/>
          <w:u w:val="none"/>
          <w:lang w:val="en-US" w:eastAsia="zh-CN"/>
        </w:rPr>
        <w:t>2</w:t>
      </w:r>
      <w:r>
        <w:rPr>
          <w:rFonts w:hint="eastAsia" w:ascii="Times New Roman" w:hAnsi="Times New Roman" w:eastAsia="仿宋" w:cs="仿宋"/>
          <w:kern w:val="0"/>
          <w:sz w:val="32"/>
          <w:szCs w:val="32"/>
          <w:lang w:val="en-US" w:eastAsia="zh-CN"/>
        </w:rPr>
        <w:t>024年</w:t>
      </w:r>
      <w:r>
        <w:rPr>
          <w:rFonts w:hint="eastAsia" w:ascii="Times New Roman" w:hAnsi="Times New Roman" w:eastAsia="仿宋" w:cs="仿宋"/>
          <w:kern w:val="0"/>
          <w:sz w:val="32"/>
          <w:szCs w:val="32"/>
          <w:lang w:eastAsia="zh-CN"/>
        </w:rPr>
        <w:t>单位</w:t>
      </w:r>
      <w:r>
        <w:rPr>
          <w:rFonts w:hint="eastAsia" w:ascii="Times New Roman" w:hAnsi="Times New Roman" w:eastAsia="仿宋" w:cs="仿宋"/>
          <w:kern w:val="0"/>
          <w:sz w:val="32"/>
          <w:szCs w:val="32"/>
        </w:rPr>
        <w:t>无政府性基金</w:t>
      </w:r>
      <w:r>
        <w:rPr>
          <w:rFonts w:hint="eastAsia" w:ascii="Times New Roman" w:hAnsi="Times New Roman" w:eastAsia="仿宋" w:cs="仿宋"/>
          <w:kern w:val="0"/>
          <w:sz w:val="32"/>
          <w:szCs w:val="32"/>
          <w:lang w:eastAsia="zh-CN"/>
        </w:rPr>
        <w:t>预算支出的</w:t>
      </w:r>
      <w:r>
        <w:rPr>
          <w:rFonts w:hint="eastAsia" w:ascii="Times New Roman" w:hAnsi="Times New Roman" w:eastAsia="仿宋" w:cs="仿宋"/>
          <w:kern w:val="0"/>
          <w:sz w:val="32"/>
          <w:szCs w:val="32"/>
        </w:rPr>
        <w:t>安排</w:t>
      </w:r>
      <w:r>
        <w:rPr>
          <w:rFonts w:hint="eastAsia" w:ascii="Times New Roman" w:hAnsi="Times New Roman" w:eastAsia="仿宋_GB2312" w:cs="仿宋_GB2312"/>
          <w:kern w:val="0"/>
          <w:sz w:val="32"/>
          <w:szCs w:val="32"/>
          <w:lang w:eastAsia="zh-CN"/>
        </w:rPr>
        <w:t>。</w:t>
      </w:r>
    </w:p>
    <w:p w14:paraId="5DC947DC">
      <w:pPr>
        <w:numPr>
          <w:ilvl w:val="0"/>
          <w:numId w:val="1"/>
        </w:numPr>
        <w:spacing w:before="227" w:line="222" w:lineRule="auto"/>
        <w:ind w:left="684" w:leftChars="0" w:firstLine="0" w:firstLineChars="0"/>
        <w:rPr>
          <w:rFonts w:ascii="黑体" w:hAnsi="黑体" w:eastAsia="黑体" w:cs="黑体"/>
          <w:b/>
          <w:bCs/>
          <w:sz w:val="31"/>
          <w:szCs w:val="31"/>
        </w:rPr>
      </w:pPr>
      <w:r>
        <w:rPr>
          <w:rFonts w:ascii="黑体" w:hAnsi="黑体" w:eastAsia="黑体" w:cs="黑体"/>
          <w:b/>
          <w:bCs/>
          <w:sz w:val="31"/>
          <w:szCs w:val="31"/>
        </w:rPr>
        <w:t>国有资本经营预算支出情况</w:t>
      </w:r>
    </w:p>
    <w:p w14:paraId="68DC4A17">
      <w:pPr>
        <w:keepNext w:val="0"/>
        <w:keepLines w:val="0"/>
        <w:pageBreakBefore w:val="0"/>
        <w:widowControl w:val="0"/>
        <w:numPr>
          <w:ilvl w:val="0"/>
          <w:numId w:val="0"/>
        </w:numPr>
        <w:kinsoku/>
        <w:wordWrap/>
        <w:overflowPunct/>
        <w:topLinePunct w:val="0"/>
        <w:autoSpaceDE/>
        <w:autoSpaceDN/>
        <w:bidi w:val="0"/>
        <w:adjustRightInd/>
        <w:snapToGrid/>
        <w:spacing w:before="120" w:after="200" w:line="600" w:lineRule="exact"/>
        <w:ind w:left="641" w:leftChars="0"/>
        <w:jc w:val="both"/>
        <w:textAlignment w:val="auto"/>
      </w:pPr>
      <w:r>
        <w:rPr>
          <w:rFonts w:hint="eastAsia" w:ascii="Times New Roman" w:hAnsi="Times New Roman" w:eastAsia="仿宋" w:cs="仿宋"/>
          <w:color w:val="auto"/>
          <w:kern w:val="0"/>
          <w:sz w:val="32"/>
          <w:szCs w:val="32"/>
          <w:u w:val="none"/>
          <w:lang w:val="en-US" w:eastAsia="zh-CN" w:bidi="ar-SA"/>
        </w:rPr>
        <w:t>2</w:t>
      </w:r>
      <w:r>
        <w:rPr>
          <w:rFonts w:hint="eastAsia" w:ascii="Times New Roman" w:hAnsi="Times New Roman" w:eastAsia="仿宋" w:cs="仿宋"/>
          <w:kern w:val="0"/>
          <w:sz w:val="32"/>
          <w:szCs w:val="32"/>
          <w:lang w:val="en-US" w:eastAsia="zh-CN" w:bidi="ar-SA"/>
        </w:rPr>
        <w:t>024年单位无国有资本经营预算支出的安排。</w:t>
      </w:r>
    </w:p>
    <w:p w14:paraId="8F5899BF">
      <w:pPr>
        <w:numPr>
          <w:ilvl w:val="0"/>
          <w:numId w:val="1"/>
        </w:numPr>
        <w:spacing w:before="227" w:line="222" w:lineRule="auto"/>
        <w:ind w:left="684" w:leftChars="0" w:firstLine="0" w:firstLineChars="0"/>
        <w:rPr>
          <w:rFonts w:ascii="黑体" w:hAnsi="黑体" w:eastAsia="黑体" w:cs="黑体"/>
          <w:b/>
          <w:bCs/>
          <w:spacing w:val="1"/>
          <w:sz w:val="31"/>
          <w:szCs w:val="31"/>
        </w:rPr>
      </w:pPr>
      <w:r>
        <w:rPr>
          <w:rFonts w:ascii="黑体" w:hAnsi="黑体" w:eastAsia="黑体" w:cs="黑体"/>
          <w:b/>
          <w:bCs/>
          <w:spacing w:val="1"/>
          <w:sz w:val="31"/>
          <w:szCs w:val="31"/>
        </w:rPr>
        <w:t>社会保险基金预算支出情况</w:t>
      </w:r>
    </w:p>
    <w:p w14:paraId="1534A266">
      <w:pPr>
        <w:keepNext w:val="0"/>
        <w:keepLines w:val="0"/>
        <w:pageBreakBefore w:val="0"/>
        <w:widowControl w:val="0"/>
        <w:numPr>
          <w:ilvl w:val="0"/>
          <w:numId w:val="0"/>
        </w:numPr>
        <w:kinsoku/>
        <w:wordWrap/>
        <w:overflowPunct/>
        <w:topLinePunct w:val="0"/>
        <w:autoSpaceDE/>
        <w:autoSpaceDN/>
        <w:bidi w:val="0"/>
        <w:adjustRightInd/>
        <w:snapToGrid/>
        <w:spacing w:before="120" w:after="200" w:line="600" w:lineRule="exact"/>
        <w:ind w:left="641" w:leftChars="0"/>
        <w:jc w:val="both"/>
        <w:textAlignment w:val="auto"/>
      </w:pPr>
      <w:r>
        <w:rPr>
          <w:rFonts w:hint="eastAsia" w:ascii="Times New Roman" w:hAnsi="Times New Roman" w:eastAsia="仿宋" w:cs="仿宋"/>
          <w:color w:val="auto"/>
          <w:kern w:val="0"/>
          <w:sz w:val="32"/>
          <w:szCs w:val="32"/>
          <w:u w:val="none"/>
          <w:lang w:val="en-US" w:eastAsia="zh-CN" w:bidi="ar-SA"/>
        </w:rPr>
        <w:t>2024年单位无社会保险基金预算支出的安排。</w:t>
      </w:r>
    </w:p>
    <w:p w14:paraId="5B64FD0C">
      <w:pPr>
        <w:spacing w:before="227" w:line="221" w:lineRule="auto"/>
        <w:ind w:left="684"/>
        <w:rPr>
          <w:rFonts w:ascii="黑体" w:hAnsi="黑体" w:eastAsia="黑体" w:cs="黑体"/>
          <w:sz w:val="31"/>
          <w:szCs w:val="31"/>
        </w:rPr>
      </w:pPr>
      <w:r>
        <w:rPr>
          <w:rFonts w:ascii="黑体" w:hAnsi="黑体" w:eastAsia="黑体" w:cs="黑体"/>
          <w:b/>
          <w:bCs/>
          <w:sz w:val="31"/>
          <w:szCs w:val="31"/>
        </w:rPr>
        <w:t>六、部门整体支出绩效情况</w:t>
      </w:r>
    </w:p>
    <w:p w14:paraId="6A1815DE">
      <w:pPr>
        <w:numPr>
          <w:ilvl w:val="0"/>
          <w:numId w:val="0"/>
        </w:numPr>
        <w:kinsoku w:val="0"/>
        <w:autoSpaceDE w:val="0"/>
        <w:autoSpaceDN w:val="0"/>
        <w:adjustRightInd w:val="0"/>
        <w:snapToGrid w:val="0"/>
        <w:spacing w:line="600" w:lineRule="exact"/>
        <w:ind w:firstLine="643" w:firstLineChars="200"/>
        <w:jc w:val="both"/>
        <w:textAlignment w:val="baseline"/>
        <w:rPr>
          <w:rFonts w:hint="eastAsia" w:ascii="Times New Roman" w:hAnsi="Times New Roman" w:eastAsia="方正仿宋_GB2312" w:cs="方正仿宋_GB2312"/>
          <w:b/>
          <w:snapToGrid w:val="0"/>
          <w:color w:val="000000"/>
          <w:sz w:val="32"/>
          <w:szCs w:val="32"/>
          <w:lang w:val="en-US" w:eastAsia="zh-CN" w:bidi="ar-SA"/>
        </w:rPr>
      </w:pPr>
      <w:r>
        <w:rPr>
          <w:rFonts w:hint="eastAsia" w:ascii="Times New Roman" w:hAnsi="Times New Roman" w:eastAsia="楷体_GB2312" w:cs="Arial"/>
          <w:b/>
          <w:snapToGrid w:val="0"/>
          <w:color w:val="000000"/>
          <w:sz w:val="32"/>
          <w:szCs w:val="32"/>
          <w:lang w:val="en-US" w:eastAsia="zh-CN" w:bidi="ar-SA"/>
        </w:rPr>
        <w:t>（一）</w:t>
      </w:r>
      <w:r>
        <w:rPr>
          <w:rFonts w:hint="eastAsia" w:ascii="Times New Roman" w:hAnsi="Times New Roman" w:eastAsia="仿宋" w:cs="仿宋"/>
          <w:b/>
          <w:snapToGrid w:val="0"/>
          <w:color w:val="000000"/>
          <w:sz w:val="32"/>
          <w:szCs w:val="32"/>
          <w:lang w:val="en-US" w:eastAsia="zh-CN" w:bidi="ar-SA"/>
        </w:rPr>
        <w:t>预算执行情况</w:t>
      </w:r>
    </w:p>
    <w:p w14:paraId="06ACC2C3">
      <w:pPr>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仿宋" w:cs="仿宋"/>
          <w:snapToGrid w:val="0"/>
          <w:color w:val="000000"/>
          <w:kern w:val="0"/>
          <w:sz w:val="32"/>
          <w:szCs w:val="32"/>
          <w:lang w:val="en-US" w:eastAsia="zh-CN" w:bidi="ar-SA"/>
        </w:rPr>
      </w:pPr>
      <w:r>
        <w:rPr>
          <w:rFonts w:hint="eastAsia" w:ascii="Times New Roman" w:hAnsi="Times New Roman" w:eastAsia="仿宋" w:cs="仿宋"/>
          <w:snapToGrid w:val="0"/>
          <w:color w:val="000000"/>
          <w:kern w:val="0"/>
          <w:sz w:val="32"/>
          <w:szCs w:val="32"/>
          <w:lang w:val="en-US" w:eastAsia="zh-CN" w:bidi="ar-SA"/>
        </w:rPr>
        <w:t>1、在职人员控制率。2024年局机关在职人数20人，控制率为百分之百，没有超编现象。</w:t>
      </w:r>
    </w:p>
    <w:p w14:paraId="604E591D">
      <w:pPr>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仿宋" w:cs="仿宋"/>
          <w:snapToGrid w:val="0"/>
          <w:color w:val="000000"/>
          <w:kern w:val="0"/>
          <w:sz w:val="32"/>
          <w:szCs w:val="32"/>
          <w:lang w:val="en-US" w:eastAsia="zh-CN" w:bidi="ar-SA"/>
        </w:rPr>
      </w:pPr>
      <w:r>
        <w:rPr>
          <w:rFonts w:hint="eastAsia" w:ascii="Times New Roman" w:hAnsi="Times New Roman" w:eastAsia="仿宋" w:cs="仿宋"/>
          <w:snapToGrid w:val="0"/>
          <w:color w:val="000000"/>
          <w:kern w:val="0"/>
          <w:sz w:val="32"/>
          <w:szCs w:val="32"/>
          <w:lang w:val="en-US" w:eastAsia="zh-CN" w:bidi="ar-SA"/>
        </w:rPr>
        <w:t>2、预算完成率。2024年全年预算收入支出1222.99万元，实现了年度收支平衡。</w:t>
      </w:r>
    </w:p>
    <w:p w14:paraId="554C50EF">
      <w:pPr>
        <w:numPr>
          <w:ilvl w:val="0"/>
          <w:numId w:val="0"/>
        </w:numPr>
        <w:kinsoku w:val="0"/>
        <w:autoSpaceDE w:val="0"/>
        <w:autoSpaceDN w:val="0"/>
        <w:adjustRightInd w:val="0"/>
        <w:snapToGrid w:val="0"/>
        <w:spacing w:line="600" w:lineRule="exact"/>
        <w:ind w:firstLine="643" w:firstLineChars="200"/>
        <w:jc w:val="both"/>
        <w:textAlignment w:val="baseline"/>
        <w:rPr>
          <w:rFonts w:hint="eastAsia" w:ascii="Times New Roman" w:hAnsi="Times New Roman" w:eastAsia="楷体_GB2312" w:cs="Arial"/>
          <w:b/>
          <w:snapToGrid w:val="0"/>
          <w:color w:val="000000"/>
          <w:sz w:val="32"/>
          <w:szCs w:val="32"/>
          <w:lang w:val="en-US" w:eastAsia="zh-CN" w:bidi="ar-SA"/>
        </w:rPr>
      </w:pPr>
      <w:r>
        <w:rPr>
          <w:rFonts w:hint="eastAsia" w:ascii="Times New Roman" w:hAnsi="Times New Roman" w:eastAsia="楷体_GB2312" w:cs="Arial"/>
          <w:b/>
          <w:snapToGrid w:val="0"/>
          <w:color w:val="000000"/>
          <w:sz w:val="32"/>
          <w:szCs w:val="32"/>
          <w:lang w:val="en-US" w:eastAsia="zh-CN" w:bidi="ar-SA"/>
        </w:rPr>
        <w:t>（二）</w:t>
      </w:r>
      <w:r>
        <w:rPr>
          <w:rFonts w:hint="eastAsia" w:ascii="Times New Roman" w:hAnsi="Times New Roman" w:eastAsia="仿宋" w:cs="仿宋"/>
          <w:b/>
          <w:snapToGrid w:val="0"/>
          <w:color w:val="000000"/>
          <w:sz w:val="32"/>
          <w:szCs w:val="32"/>
          <w:lang w:val="en-US" w:eastAsia="zh-CN" w:bidi="ar-SA"/>
        </w:rPr>
        <w:t>预算管理情况</w:t>
      </w:r>
    </w:p>
    <w:p w14:paraId="4359F9FE">
      <w:pPr>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仿宋" w:cs="仿宋"/>
          <w:snapToGrid w:val="0"/>
          <w:color w:val="000000"/>
          <w:kern w:val="0"/>
          <w:sz w:val="32"/>
          <w:szCs w:val="32"/>
          <w:lang w:val="en-US" w:eastAsia="zh-CN" w:bidi="ar-SA"/>
        </w:rPr>
      </w:pPr>
      <w:r>
        <w:rPr>
          <w:rFonts w:hint="eastAsia" w:ascii="Times New Roman" w:hAnsi="Times New Roman" w:eastAsia="仿宋" w:cs="仿宋"/>
          <w:snapToGrid w:val="0"/>
          <w:color w:val="000000"/>
          <w:kern w:val="0"/>
          <w:sz w:val="32"/>
          <w:szCs w:val="32"/>
          <w:lang w:val="en-US" w:eastAsia="zh-CN" w:bidi="ar-SA"/>
        </w:rPr>
        <w:t>1.“三公”经费控制率100%。“三公”经费预算本年列支0.90万元，经费支出未超标。</w:t>
      </w:r>
    </w:p>
    <w:p w14:paraId="034C7C4B">
      <w:pPr>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仿宋" w:cs="仿宋"/>
          <w:snapToGrid w:val="0"/>
          <w:color w:val="000000"/>
          <w:kern w:val="0"/>
          <w:sz w:val="32"/>
          <w:szCs w:val="32"/>
          <w:lang w:val="en-US" w:eastAsia="zh-CN" w:bidi="ar-SA"/>
        </w:rPr>
      </w:pPr>
      <w:r>
        <w:rPr>
          <w:rFonts w:hint="eastAsia" w:ascii="Times New Roman" w:hAnsi="Times New Roman" w:eastAsia="仿宋" w:cs="仿宋"/>
          <w:snapToGrid w:val="0"/>
          <w:color w:val="000000"/>
          <w:kern w:val="0"/>
          <w:sz w:val="32"/>
          <w:szCs w:val="32"/>
          <w:lang w:val="en-US" w:eastAsia="zh-CN" w:bidi="ar-SA"/>
        </w:rPr>
        <w:t>2.管理制度进一步健全。2024年我局制定了财务管理制度和会计核算等管理制度，明确了财务职责，制定了厉行节约制度，管理制度依照有关国家法律法规而制定的，具有合法性、合规性、完整性、同时相关制度得到认真执行。</w:t>
      </w:r>
    </w:p>
    <w:p w14:paraId="4408A2D4">
      <w:pPr>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仿宋" w:cs="仿宋"/>
          <w:snapToGrid w:val="0"/>
          <w:color w:val="000000"/>
          <w:kern w:val="0"/>
          <w:sz w:val="32"/>
          <w:szCs w:val="32"/>
          <w:lang w:val="en-US" w:eastAsia="zh-CN" w:bidi="ar-SA"/>
        </w:rPr>
      </w:pPr>
      <w:r>
        <w:rPr>
          <w:rFonts w:hint="eastAsia" w:ascii="Times New Roman" w:hAnsi="Times New Roman" w:eastAsia="仿宋" w:cs="仿宋"/>
          <w:snapToGrid w:val="0"/>
          <w:color w:val="000000"/>
          <w:kern w:val="0"/>
          <w:sz w:val="32"/>
          <w:szCs w:val="32"/>
          <w:lang w:val="en-US" w:eastAsia="zh-CN" w:bidi="ar-SA"/>
        </w:rPr>
        <w:t>3.资金使用合规性。一切支出按照国家财经法规和财务管理制度规定及专项资金管理办法的规定办理。财务人员认真审核每笔业务的合法性、真实性、手续完整性和资料的准确性。健全会计核算，按照国家统一会计制度规定设置会计账簿，依照规定进行会计处理，保证会计指标口径一致。资金拨付有完善的审批程序和手续，支出符合部门预算批复的用途、资金使用无截留、挤占、挪用、虚列开支等情况。</w:t>
      </w:r>
    </w:p>
    <w:p w14:paraId="197FF865">
      <w:pPr>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方正黑体_GBK" w:cs="Arial"/>
          <w:snapToGrid w:val="0"/>
          <w:color w:val="000000"/>
          <w:sz w:val="32"/>
          <w:szCs w:val="32"/>
          <w:lang w:val="en-US" w:eastAsia="zh-CN" w:bidi="ar-SA"/>
        </w:rPr>
      </w:pPr>
      <w:r>
        <w:rPr>
          <w:rFonts w:hint="eastAsia" w:ascii="Times New Roman" w:hAnsi="Times New Roman" w:eastAsia="仿宋" w:cs="仿宋"/>
          <w:snapToGrid w:val="0"/>
          <w:color w:val="000000"/>
          <w:kern w:val="0"/>
          <w:sz w:val="32"/>
          <w:szCs w:val="32"/>
          <w:lang w:val="en-US" w:eastAsia="zh-CN" w:bidi="ar-SA"/>
        </w:rPr>
        <w:t>4.预算信息公开性。按照规定的内容、时间公开预算信息，做到基础数据信息和会计资金真实、完整、准确。</w:t>
      </w:r>
    </w:p>
    <w:p w14:paraId="3E3C1228">
      <w:pPr>
        <w:spacing w:before="35" w:line="222" w:lineRule="auto"/>
        <w:ind w:left="684"/>
        <w:outlineLvl w:val="2"/>
        <w:rPr>
          <w:rFonts w:ascii="黑体" w:hAnsi="黑体" w:eastAsia="黑体" w:cs="黑体"/>
          <w:sz w:val="31"/>
          <w:szCs w:val="31"/>
        </w:rPr>
      </w:pPr>
      <w:r>
        <w:rPr>
          <w:rFonts w:ascii="黑体" w:hAnsi="黑体" w:eastAsia="黑体" w:cs="黑体"/>
          <w:b/>
          <w:bCs/>
          <w:spacing w:val="2"/>
          <w:sz w:val="31"/>
          <w:szCs w:val="31"/>
        </w:rPr>
        <w:t>七、存在的问题及原因分析</w:t>
      </w:r>
    </w:p>
    <w:p w14:paraId="3B8E6DCE">
      <w:pPr>
        <w:spacing w:line="600" w:lineRule="exact"/>
        <w:ind w:firstLine="640" w:firstLineChars="200"/>
        <w:jc w:val="both"/>
        <w:rPr>
          <w:rFonts w:hint="eastAsia" w:ascii="Times New Roman" w:hAnsi="Times New Roman" w:eastAsia="仿宋" w:cs="仿宋"/>
          <w:kern w:val="0"/>
          <w:sz w:val="32"/>
          <w:szCs w:val="32"/>
          <w:lang w:eastAsia="zh-CN"/>
        </w:rPr>
      </w:pPr>
      <w:r>
        <w:rPr>
          <w:rFonts w:hint="eastAsia" w:ascii="Times New Roman" w:hAnsi="Times New Roman" w:eastAsia="仿宋" w:cs="仿宋"/>
          <w:kern w:val="0"/>
          <w:sz w:val="32"/>
          <w:szCs w:val="32"/>
          <w:lang w:eastAsia="zh-CN"/>
        </w:rPr>
        <w:t>经过全面的分析，我单位总结了</w:t>
      </w:r>
      <w:r>
        <w:rPr>
          <w:rFonts w:hint="eastAsia" w:ascii="Times New Roman" w:hAnsi="Times New Roman" w:eastAsia="仿宋" w:cs="仿宋"/>
          <w:kern w:val="0"/>
          <w:sz w:val="32"/>
          <w:szCs w:val="32"/>
          <w:lang w:val="en-US" w:eastAsia="zh-CN"/>
        </w:rPr>
        <w:t>2024年</w:t>
      </w:r>
      <w:r>
        <w:rPr>
          <w:rFonts w:hint="eastAsia" w:ascii="Times New Roman" w:hAnsi="Times New Roman" w:eastAsia="仿宋" w:cs="仿宋"/>
          <w:kern w:val="0"/>
          <w:sz w:val="32"/>
          <w:szCs w:val="32"/>
          <w:lang w:eastAsia="zh-CN"/>
        </w:rPr>
        <w:t>自身存在的问题。一方面行政运行经费所占比例太少，对争取项目资金处于被动。另一个方面对二级机构财务监督有待加强管理，主要是由于二级机构分散，财务监管机制不够完善。</w:t>
      </w:r>
    </w:p>
    <w:p w14:paraId="700B5430">
      <w:pPr>
        <w:numPr>
          <w:ilvl w:val="0"/>
          <w:numId w:val="2"/>
        </w:numPr>
        <w:spacing w:before="1" w:line="221" w:lineRule="auto"/>
        <w:ind w:left="684"/>
        <w:rPr>
          <w:rFonts w:ascii="黑体" w:hAnsi="黑体" w:eastAsia="黑体" w:cs="黑体"/>
          <w:b/>
          <w:bCs/>
          <w:spacing w:val="1"/>
          <w:sz w:val="31"/>
          <w:szCs w:val="31"/>
        </w:rPr>
      </w:pPr>
      <w:r>
        <w:rPr>
          <w:rFonts w:ascii="黑体" w:hAnsi="黑体" w:eastAsia="黑体" w:cs="黑体"/>
          <w:b/>
          <w:bCs/>
          <w:spacing w:val="1"/>
          <w:sz w:val="31"/>
          <w:szCs w:val="31"/>
        </w:rPr>
        <w:t>下一步改进措施</w:t>
      </w:r>
    </w:p>
    <w:p w14:paraId="26B41A17">
      <w:pPr>
        <w:spacing w:line="600" w:lineRule="exact"/>
        <w:ind w:firstLine="640" w:firstLineChars="200"/>
        <w:jc w:val="both"/>
        <w:rPr>
          <w:rFonts w:hint="eastAsia" w:ascii="Times New Roman" w:hAnsi="Times New Roman" w:eastAsia="仿宋" w:cs="仿宋"/>
          <w:kern w:val="0"/>
          <w:sz w:val="32"/>
          <w:szCs w:val="32"/>
          <w:lang w:eastAsia="zh-CN"/>
        </w:rPr>
      </w:pPr>
      <w:r>
        <w:rPr>
          <w:rFonts w:hint="eastAsia" w:ascii="Times New Roman" w:hAnsi="Times New Roman" w:eastAsia="仿宋" w:cs="仿宋"/>
          <w:kern w:val="0"/>
          <w:sz w:val="32"/>
          <w:szCs w:val="32"/>
          <w:lang w:eastAsia="zh-CN"/>
        </w:rPr>
        <w:t>1.将财务制度落实到位，规范财经纪律，严格控制非生产性开支。</w:t>
      </w:r>
    </w:p>
    <w:p w14:paraId="43B854C2">
      <w:pPr>
        <w:spacing w:line="600" w:lineRule="exact"/>
        <w:ind w:firstLine="640" w:firstLineChars="200"/>
        <w:jc w:val="both"/>
        <w:rPr>
          <w:rFonts w:hint="eastAsia" w:ascii="Times New Roman" w:hAnsi="Times New Roman" w:eastAsia="仿宋" w:cs="仿宋"/>
          <w:kern w:val="0"/>
          <w:sz w:val="32"/>
          <w:szCs w:val="32"/>
          <w:lang w:eastAsia="zh-CN"/>
        </w:rPr>
      </w:pPr>
      <w:r>
        <w:rPr>
          <w:rFonts w:hint="eastAsia" w:ascii="Times New Roman" w:hAnsi="Times New Roman" w:eastAsia="仿宋" w:cs="仿宋"/>
          <w:kern w:val="0"/>
          <w:sz w:val="32"/>
          <w:szCs w:val="32"/>
          <w:lang w:eastAsia="zh-CN"/>
        </w:rPr>
        <w:t>2.来年多争取行政运行经费，多争取项目，扩大影响力。</w:t>
      </w:r>
    </w:p>
    <w:p w14:paraId="16ADEB1F">
      <w:pPr>
        <w:spacing w:line="600" w:lineRule="exact"/>
        <w:ind w:firstLine="640" w:firstLineChars="200"/>
        <w:jc w:val="both"/>
      </w:pPr>
      <w:r>
        <w:rPr>
          <w:rFonts w:hint="eastAsia" w:ascii="Times New Roman" w:hAnsi="Times New Roman" w:eastAsia="仿宋" w:cs="仿宋"/>
          <w:kern w:val="0"/>
          <w:sz w:val="32"/>
          <w:szCs w:val="32"/>
          <w:lang w:eastAsia="zh-CN"/>
        </w:rPr>
        <w:t>3.加强对二级机构的财务监管力度，多组织财务业务培训学习，制定集中审核财务制度。</w:t>
      </w:r>
    </w:p>
    <w:p w14:paraId="318A10E4">
      <w:pPr>
        <w:numPr>
          <w:ilvl w:val="0"/>
          <w:numId w:val="2"/>
        </w:numPr>
        <w:spacing w:before="226" w:line="221" w:lineRule="auto"/>
        <w:ind w:left="684" w:leftChars="0" w:firstLine="0" w:firstLineChars="0"/>
        <w:rPr>
          <w:rFonts w:ascii="黑体" w:hAnsi="黑体" w:eastAsia="黑体" w:cs="黑体"/>
          <w:b/>
          <w:bCs/>
          <w:spacing w:val="2"/>
          <w:sz w:val="31"/>
          <w:szCs w:val="31"/>
        </w:rPr>
      </w:pPr>
      <w:r>
        <w:rPr>
          <w:rFonts w:ascii="黑体" w:hAnsi="黑体" w:eastAsia="黑体" w:cs="黑体"/>
          <w:b/>
          <w:bCs/>
          <w:spacing w:val="2"/>
          <w:sz w:val="31"/>
          <w:szCs w:val="31"/>
        </w:rPr>
        <w:t>部门整体支出绩效自评结果拟应用和公开情况</w:t>
      </w:r>
    </w:p>
    <w:p w14:paraId="68E29F74">
      <w:pPr>
        <w:kinsoku w:val="0"/>
        <w:autoSpaceDE w:val="0"/>
        <w:autoSpaceDN w:val="0"/>
        <w:adjustRightInd w:val="0"/>
        <w:snapToGrid w:val="0"/>
        <w:spacing w:line="600" w:lineRule="exact"/>
        <w:ind w:firstLine="640" w:firstLineChars="200"/>
        <w:jc w:val="both"/>
        <w:textAlignment w:val="baseline"/>
      </w:pPr>
      <w:r>
        <w:rPr>
          <w:rFonts w:hint="eastAsia" w:ascii="Times New Roman" w:hAnsi="Times New Roman" w:eastAsia="仿宋" w:cs="仿宋"/>
          <w:snapToGrid w:val="0"/>
          <w:color w:val="000000"/>
          <w:kern w:val="0"/>
          <w:sz w:val="32"/>
          <w:szCs w:val="32"/>
          <w:lang w:val="en-US" w:eastAsia="zh-CN" w:bidi="ar-SA"/>
        </w:rPr>
        <w:t>综合各项指标，我单位（或部门）在2024年度的整体支出绩效情况总体良好，自我评价得分为98分。本年在财务管理、健全、规范上没有违法违规现象，并且取得了一定的经济效益和社会效益。但仍需进一步加强支出管理，完善绩效评价体系，不断提升支出效益和水平。我们将以此次报告为契机，认真总结经验教训，为今后的预算安排和支出管理提供有益的参考和借鉴。</w:t>
      </w:r>
    </w:p>
    <w:p w14:paraId="65966F84">
      <w:pPr>
        <w:spacing w:before="229" w:line="221" w:lineRule="auto"/>
        <w:ind w:left="684"/>
        <w:rPr>
          <w:rFonts w:ascii="黑体" w:hAnsi="黑体" w:eastAsia="黑体" w:cs="黑体"/>
          <w:sz w:val="31"/>
          <w:szCs w:val="31"/>
        </w:rPr>
      </w:pPr>
      <w:r>
        <w:rPr>
          <w:rFonts w:ascii="黑体" w:hAnsi="黑体" w:eastAsia="黑体" w:cs="黑体"/>
          <w:b/>
          <w:bCs/>
          <w:sz w:val="31"/>
          <w:szCs w:val="31"/>
        </w:rPr>
        <w:t>十、其他需要说明的情况</w:t>
      </w:r>
    </w:p>
    <w:p w14:paraId="091636E5">
      <w:pPr>
        <w:pStyle w:val="2"/>
        <w:ind w:firstLine="960" w:firstLineChars="300"/>
        <w:rPr>
          <w:rFonts w:hint="eastAsia" w:ascii="Times New Roman" w:hAnsi="Times New Roman" w:eastAsia="仿宋" w:cs="仿宋"/>
          <w:snapToGrid w:val="0"/>
          <w:color w:val="000000"/>
          <w:kern w:val="0"/>
          <w:sz w:val="32"/>
          <w:szCs w:val="32"/>
          <w:lang w:val="en-US" w:eastAsia="zh-CN" w:bidi="ar-SA"/>
        </w:rPr>
        <w:sectPr>
          <w:headerReference r:id="rId7" w:type="default"/>
          <w:footerReference r:id="rId8" w:type="default"/>
          <w:pgSz w:w="11900" w:h="16830"/>
          <w:pgMar w:top="400" w:right="1344" w:bottom="2046" w:left="1489" w:header="0" w:footer="1644" w:gutter="0"/>
          <w:cols w:space="720" w:num="1"/>
        </w:sectPr>
      </w:pPr>
      <w:r>
        <w:rPr>
          <w:rFonts w:hint="eastAsia" w:ascii="Times New Roman" w:hAnsi="Times New Roman" w:eastAsia="仿宋" w:cs="仿宋"/>
          <w:snapToGrid w:val="0"/>
          <w:color w:val="000000"/>
          <w:kern w:val="0"/>
          <w:sz w:val="32"/>
          <w:szCs w:val="32"/>
          <w:lang w:val="en-US" w:eastAsia="zh-CN" w:bidi="ar-SA"/>
        </w:rPr>
        <w:t>无</w:t>
      </w:r>
      <w:r>
        <w:rPr>
          <w:rFonts w:hint="eastAsia" w:eastAsia="仿宋" w:cs="仿宋"/>
          <w:snapToGrid w:val="0"/>
          <w:color w:val="000000"/>
          <w:kern w:val="0"/>
          <w:sz w:val="32"/>
          <w:szCs w:val="32"/>
          <w:lang w:val="en-US" w:eastAsia="zh-CN" w:bidi="ar-SA"/>
        </w:rPr>
        <w:t>。</w:t>
      </w:r>
    </w:p>
    <w:p w14:paraId="A28908E9">
      <w:pPr>
        <w:spacing w:line="266" w:lineRule="auto"/>
        <w:rPr>
          <w:rFonts w:ascii="Arial"/>
          <w:sz w:val="21"/>
        </w:rPr>
      </w:pPr>
    </w:p>
    <w:p w14:paraId="CAB5681C">
      <w:pPr>
        <w:spacing w:line="266" w:lineRule="auto"/>
        <w:rPr>
          <w:rFonts w:ascii="Arial"/>
          <w:sz w:val="21"/>
        </w:rPr>
      </w:pPr>
    </w:p>
    <w:p w14:paraId="7ECC2D83">
      <w:pPr>
        <w:spacing w:line="266" w:lineRule="auto"/>
        <w:rPr>
          <w:rFonts w:ascii="Arial"/>
          <w:sz w:val="21"/>
        </w:rPr>
      </w:pPr>
    </w:p>
    <w:p w14:paraId="ADB4AB92">
      <w:pPr>
        <w:spacing w:line="266" w:lineRule="auto"/>
        <w:rPr>
          <w:rFonts w:ascii="Arial"/>
          <w:sz w:val="21"/>
        </w:rPr>
      </w:pPr>
    </w:p>
    <w:p w14:paraId="3E98EE1C">
      <w:pPr>
        <w:spacing w:line="266" w:lineRule="auto"/>
        <w:rPr>
          <w:rFonts w:ascii="Arial"/>
          <w:sz w:val="21"/>
        </w:rPr>
      </w:pPr>
    </w:p>
    <w:p w14:paraId="1E8CD913">
      <w:pPr>
        <w:spacing w:line="266" w:lineRule="auto"/>
        <w:rPr>
          <w:rFonts w:ascii="Arial"/>
          <w:sz w:val="21"/>
        </w:rPr>
      </w:pPr>
    </w:p>
    <w:p w14:paraId="B4A10AAC">
      <w:pPr>
        <w:spacing w:line="266" w:lineRule="auto"/>
        <w:rPr>
          <w:rFonts w:ascii="Arial"/>
          <w:sz w:val="21"/>
        </w:rPr>
      </w:pPr>
    </w:p>
    <w:p w14:paraId="097AC678">
      <w:pPr>
        <w:spacing w:line="266" w:lineRule="auto"/>
        <w:rPr>
          <w:rFonts w:ascii="Arial"/>
          <w:sz w:val="21"/>
        </w:rPr>
      </w:pPr>
    </w:p>
    <w:p w14:paraId="D33B221A">
      <w:pPr>
        <w:spacing w:line="267" w:lineRule="auto"/>
        <w:rPr>
          <w:rFonts w:ascii="Arial"/>
          <w:sz w:val="21"/>
        </w:rPr>
      </w:pPr>
    </w:p>
    <w:p w14:paraId="B99F6E35">
      <w:pPr>
        <w:pStyle w:val="4"/>
        <w:spacing w:before="100" w:line="222" w:lineRule="auto"/>
        <w:ind w:left="394"/>
        <w:rPr>
          <w:sz w:val="31"/>
          <w:szCs w:val="31"/>
        </w:rPr>
      </w:pPr>
      <w:r>
        <w:rPr>
          <w:spacing w:val="-5"/>
          <w:sz w:val="31"/>
          <w:szCs w:val="31"/>
        </w:rPr>
        <w:t>报告需要以下附件：</w:t>
      </w:r>
    </w:p>
    <w:p w14:paraId="D9393CA7">
      <w:pPr>
        <w:pStyle w:val="4"/>
        <w:spacing w:before="234" w:line="222" w:lineRule="auto"/>
        <w:ind w:left="394"/>
        <w:rPr>
          <w:sz w:val="31"/>
          <w:szCs w:val="31"/>
        </w:rPr>
      </w:pPr>
      <w:r>
        <w:rPr>
          <w:rFonts w:ascii="宋体" w:hAnsi="宋体" w:eastAsia="宋体" w:cs="宋体"/>
          <w:spacing w:val="7"/>
          <w:sz w:val="31"/>
          <w:szCs w:val="31"/>
        </w:rPr>
        <w:t>1、</w:t>
      </w:r>
      <w:r>
        <w:rPr>
          <w:spacing w:val="7"/>
          <w:sz w:val="31"/>
          <w:szCs w:val="31"/>
        </w:rPr>
        <w:t>部门整体支出绩效评价基础数据表</w:t>
      </w:r>
    </w:p>
    <w:p w14:paraId="C6D5F7AD">
      <w:pPr>
        <w:pStyle w:val="4"/>
        <w:spacing w:before="227" w:line="222" w:lineRule="auto"/>
        <w:ind w:left="394"/>
        <w:rPr>
          <w:sz w:val="31"/>
          <w:szCs w:val="31"/>
        </w:rPr>
      </w:pPr>
      <w:r>
        <w:rPr>
          <w:rFonts w:ascii="宋体" w:hAnsi="宋体" w:eastAsia="宋体" w:cs="宋体"/>
          <w:spacing w:val="7"/>
          <w:sz w:val="31"/>
          <w:szCs w:val="31"/>
        </w:rPr>
        <w:t>2、</w:t>
      </w:r>
      <w:r>
        <w:rPr>
          <w:spacing w:val="7"/>
          <w:sz w:val="31"/>
          <w:szCs w:val="31"/>
        </w:rPr>
        <w:t>部门整体支出绩效自评表</w:t>
      </w:r>
    </w:p>
    <w:p w14:paraId="10DF588F">
      <w:pPr>
        <w:pStyle w:val="4"/>
        <w:spacing w:before="229" w:line="222" w:lineRule="auto"/>
        <w:ind w:left="394"/>
        <w:rPr>
          <w:sz w:val="31"/>
          <w:szCs w:val="31"/>
        </w:rPr>
      </w:pPr>
      <w:r>
        <w:rPr>
          <w:rFonts w:ascii="宋体" w:hAnsi="宋体" w:eastAsia="宋体" w:cs="宋体"/>
          <w:spacing w:val="17"/>
          <w:sz w:val="31"/>
          <w:szCs w:val="31"/>
        </w:rPr>
        <w:t>3、</w:t>
      </w:r>
      <w:r>
        <w:rPr>
          <w:spacing w:val="17"/>
          <w:sz w:val="31"/>
          <w:szCs w:val="31"/>
        </w:rPr>
        <w:t>项目支出绩效自评表(每个一级项目支出一张表)</w:t>
      </w:r>
    </w:p>
    <w:p w14:paraId="938D990A">
      <w:pPr>
        <w:pStyle w:val="4"/>
        <w:spacing w:before="223" w:line="220" w:lineRule="auto"/>
        <w:ind w:left="394"/>
        <w:rPr>
          <w:sz w:val="31"/>
          <w:szCs w:val="31"/>
        </w:rPr>
      </w:pPr>
      <w:r>
        <w:rPr>
          <w:rFonts w:ascii="宋体" w:hAnsi="宋体" w:eastAsia="宋体" w:cs="宋体"/>
          <w:spacing w:val="7"/>
          <w:sz w:val="31"/>
          <w:szCs w:val="31"/>
        </w:rPr>
        <w:t>4、</w:t>
      </w:r>
      <w:r>
        <w:rPr>
          <w:spacing w:val="7"/>
          <w:sz w:val="31"/>
          <w:szCs w:val="31"/>
        </w:rPr>
        <w:t>政府性基金预算支出情况表</w:t>
      </w:r>
    </w:p>
    <w:p w14:paraId="4109CE69">
      <w:pPr>
        <w:pStyle w:val="4"/>
        <w:spacing w:before="233" w:line="222" w:lineRule="auto"/>
        <w:ind w:left="394"/>
        <w:rPr>
          <w:sz w:val="31"/>
          <w:szCs w:val="31"/>
        </w:rPr>
      </w:pPr>
      <w:r>
        <w:rPr>
          <w:rFonts w:ascii="宋体" w:hAnsi="宋体" w:eastAsia="宋体" w:cs="宋体"/>
          <w:spacing w:val="7"/>
          <w:sz w:val="31"/>
          <w:szCs w:val="31"/>
        </w:rPr>
        <w:t>5、</w:t>
      </w:r>
      <w:r>
        <w:rPr>
          <w:spacing w:val="7"/>
          <w:sz w:val="31"/>
          <w:szCs w:val="31"/>
        </w:rPr>
        <w:t>国有资本经营预算支出情况表</w:t>
      </w:r>
    </w:p>
    <w:p w14:paraId="5478C1B9">
      <w:pPr>
        <w:pStyle w:val="4"/>
        <w:spacing w:before="226" w:line="221" w:lineRule="auto"/>
        <w:ind w:left="394"/>
        <w:rPr>
          <w:sz w:val="31"/>
          <w:szCs w:val="31"/>
        </w:rPr>
        <w:sectPr>
          <w:footerReference r:id="rId9" w:type="default"/>
          <w:pgSz w:w="11900" w:h="16830"/>
          <w:pgMar w:top="400" w:right="1571" w:bottom="1996" w:left="1785" w:header="0" w:footer="1591" w:gutter="0"/>
          <w:cols w:space="720" w:num="1"/>
        </w:sectPr>
      </w:pPr>
      <w:r>
        <w:rPr>
          <w:rFonts w:ascii="宋体" w:hAnsi="宋体" w:eastAsia="宋体" w:cs="宋体"/>
          <w:spacing w:val="7"/>
          <w:sz w:val="31"/>
          <w:szCs w:val="31"/>
        </w:rPr>
        <w:t>6、</w:t>
      </w:r>
      <w:r>
        <w:rPr>
          <w:spacing w:val="7"/>
          <w:sz w:val="31"/>
          <w:szCs w:val="31"/>
        </w:rPr>
        <w:t>社会保险基金预算支出情况表</w:t>
      </w:r>
    </w:p>
    <w:p w14:paraId="98120DF2">
      <w:pPr>
        <w:rPr>
          <w:rFonts w:ascii="Arial"/>
          <w:sz w:val="21"/>
        </w:rPr>
      </w:pPr>
    </w:p>
    <w:sectPr>
      <w:footerReference r:id="rId10" w:type="default"/>
      <w:pgSz w:w="11900" w:h="1683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BF800FA-6FF9-4F7A-8F33-D817A9B12978}"/>
  </w:font>
  <w:font w:name="黑体">
    <w:panose1 w:val="02010609060101010101"/>
    <w:charset w:val="86"/>
    <w:family w:val="auto"/>
    <w:pitch w:val="default"/>
    <w:sig w:usb0="800002BF" w:usb1="38CF7CFA" w:usb2="00000016" w:usb3="00000000" w:csb0="00040001" w:csb1="00000000"/>
    <w:embedRegular r:id="rId2" w:fontKey="{BBB0A43B-755A-46C1-A054-A5BD28E344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0CADE2F0-3702-4A21-85FD-EDDBD855F3B1}"/>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B6403A9F-774C-4771-AF19-B4978B56CB9C}"/>
  </w:font>
  <w:font w:name="方正仿宋_GB2312">
    <w:panose1 w:val="02000000000000000000"/>
    <w:charset w:val="86"/>
    <w:family w:val="auto"/>
    <w:pitch w:val="default"/>
    <w:sig w:usb0="A00002BF" w:usb1="184F6CFA" w:usb2="00000012" w:usb3="00000000" w:csb0="00040001" w:csb1="00000000"/>
    <w:embedRegular r:id="rId5" w:fontKey="{74735D41-3A63-4A15-BE68-88604C777A8A}"/>
  </w:font>
  <w:font w:name="方正黑体_GBK">
    <w:altName w:val="微软雅黑"/>
    <w:panose1 w:val="03000509000000000000"/>
    <w:charset w:val="86"/>
    <w:family w:val="script"/>
    <w:pitch w:val="default"/>
    <w:sig w:usb0="00000000" w:usb1="00000000" w:usb2="00000000" w:usb3="00000000" w:csb0="00040000" w:csb1="00000000"/>
    <w:embedRegular r:id="rId6" w:fontKey="{4596187F-A330-4980-8707-69250A8B272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E1A197F9">
    <w:pPr>
      <w:spacing w:before="1" w:line="232" w:lineRule="auto"/>
      <w:rPr>
        <w:rFonts w:ascii="宋体" w:hAnsi="宋体" w:eastAsia="宋体" w:cs="宋体"/>
        <w:sz w:val="28"/>
        <w:szCs w:val="28"/>
      </w:rPr>
    </w:pPr>
    <w:r>
      <w:rPr>
        <w:rFonts w:ascii="宋体" w:hAnsi="宋体" w:eastAsia="宋体" w:cs="宋体"/>
        <w:spacing w:val="-3"/>
        <w:sz w:val="28"/>
        <w:szCs w:val="2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F9CC919">
    <w:pPr>
      <w:spacing w:line="233" w:lineRule="auto"/>
      <w:rPr>
        <w:rFonts w:ascii="宋体" w:hAnsi="宋体" w:eastAsia="宋体" w:cs="宋体"/>
        <w:sz w:val="31"/>
        <w:szCs w:val="31"/>
      </w:rPr>
    </w:pPr>
    <w:r>
      <w:rPr>
        <w:rFonts w:ascii="宋体" w:hAnsi="宋体" w:eastAsia="宋体" w:cs="宋体"/>
        <w:spacing w:val="-15"/>
        <w:sz w:val="31"/>
        <w:szCs w:val="31"/>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6B1CAD8">
    <w:pPr>
      <w:spacing w:line="235" w:lineRule="auto"/>
      <w:jc w:val="right"/>
      <w:rPr>
        <w:rFonts w:ascii="宋体" w:hAnsi="宋体" w:eastAsia="宋体" w:cs="宋体"/>
        <w:sz w:val="31"/>
        <w:szCs w:val="31"/>
      </w:rPr>
    </w:pPr>
    <w:r>
      <w:rPr>
        <w:rFonts w:ascii="宋体" w:hAnsi="宋体" w:eastAsia="宋体" w:cs="宋体"/>
        <w:spacing w:val="-16"/>
        <w:sz w:val="31"/>
        <w:szCs w:val="31"/>
      </w:rPr>
      <w:t>—1</w:t>
    </w:r>
    <w:r>
      <w:rPr>
        <w:rFonts w:ascii="宋体" w:hAnsi="宋体" w:eastAsia="宋体" w:cs="宋体"/>
        <w:spacing w:val="-15"/>
        <w:sz w:val="31"/>
        <w:szCs w:val="31"/>
      </w:rPr>
      <w:t>1</w:t>
    </w:r>
    <w:r>
      <w:rPr>
        <w:rFonts w:ascii="宋体" w:hAnsi="宋体" w:eastAsia="宋体" w:cs="宋体"/>
        <w:spacing w:val="-9"/>
        <w:sz w:val="31"/>
        <w:szCs w:val="3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F00E237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841FB28">
    <w:pPr>
      <w:spacing w:before="74" w:line="219" w:lineRule="auto"/>
      <w:ind w:left="599"/>
      <w:rPr>
        <w:rFonts w:ascii="宋体" w:hAnsi="宋体" w:eastAsia="宋体" w:cs="宋体"/>
        <w:sz w:val="28"/>
        <w:szCs w:val="28"/>
      </w:rPr>
    </w:pPr>
    <w:r>
      <w:rPr>
        <w:rFonts w:ascii="宋体" w:hAnsi="宋体" w:eastAsia="宋体" w:cs="宋体"/>
        <w:spacing w:val="-1"/>
        <w:sz w:val="28"/>
        <w:szCs w:val="28"/>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72A8FC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6EAFA"/>
    <w:multiLevelType w:val="singleLevel"/>
    <w:tmpl w:val="07D6EAFA"/>
    <w:lvl w:ilvl="0" w:tentative="0">
      <w:start w:val="3"/>
      <w:numFmt w:val="chineseCounting"/>
      <w:suff w:val="nothing"/>
      <w:lvlText w:val="%1、"/>
      <w:lvlJc w:val="left"/>
      <w:rPr>
        <w:rFonts w:hint="eastAsia"/>
      </w:rPr>
    </w:lvl>
  </w:abstractNum>
  <w:abstractNum w:abstractNumId="1">
    <w:nsid w:val="24B21624"/>
    <w:multiLevelType w:val="singleLevel"/>
    <w:tmpl w:val="24B21624"/>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I4ODk0NzM2ZTlhZmRjMmU3YmRjN2NiZDIwYmYyMjIifQ=="/>
  </w:docVars>
  <w:rsids>
    <w:rsidRoot w:val="00000000"/>
    <w:rsid w:val="334E1B38"/>
    <w:rsid w:val="334F6A6F"/>
    <w:rsid w:val="51C1398A"/>
    <w:rsid w:val="73EC2F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1"/>
    <w:autoRedefine/>
    <w:qFormat/>
    <w:uiPriority w:val="0"/>
    <w:pPr>
      <w:widowControl w:val="0"/>
      <w:spacing w:after="120" w:line="560" w:lineRule="exact"/>
      <w:jc w:val="both"/>
    </w:pPr>
    <w:rPr>
      <w:rFonts w:ascii="Times New Roman" w:hAnsi="Times New Roman" w:eastAsia="宋体" w:cs="Times New Roman"/>
      <w:kern w:val="2"/>
      <w:sz w:val="21"/>
      <w:szCs w:val="24"/>
      <w:lang w:val="en-US" w:eastAsia="zh-CN" w:bidi="ar-SA"/>
    </w:r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w:basedOn w:val="1"/>
    <w:qFormat/>
    <w:uiPriority w:val="0"/>
    <w:rPr>
      <w:rFonts w:ascii="仿宋" w:hAnsi="仿宋" w:eastAsia="仿宋" w:cs="仿宋"/>
      <w:sz w:val="32"/>
      <w:szCs w:val="32"/>
      <w:lang w:val="en-US" w:eastAsia="en-US" w:bidi="ar-SA"/>
    </w:rPr>
  </w:style>
  <w:style w:type="paragraph" w:styleId="5">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Table Text"/>
    <w:basedOn w:val="1"/>
    <w:qFormat/>
    <w:uiPriority w:val="0"/>
    <w:rPr>
      <w:rFonts w:ascii="Arial" w:hAnsi="Arial" w:eastAsia="Arial" w:cs="Arial"/>
      <w:sz w:val="21"/>
      <w:szCs w:val="21"/>
      <w:lang w:val="en-US" w:eastAsia="en-US" w:bidi="ar-SA"/>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1866</Words>
  <Characters>2031</Characters>
  <Paragraphs>782</Paragraphs>
  <TotalTime>21</TotalTime>
  <ScaleCrop>false</ScaleCrop>
  <LinksUpToDate>false</LinksUpToDate>
  <CharactersWithSpaces>2043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2025-04-08T09:22:00Z</dcterms:created>
  <dc:creator>WPS Office</dc:creator>
  <cp:lastModifiedBy>悬剑</cp:lastModifiedBy>
  <dcterms:modified xsi:type="dcterms:W3CDTF">2025-04-11T00:59:21Z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67f47a3a00429e00206023dcwl</vt:lpwstr>
  </property>
  <property fmtid="{D5CDD505-2E9C-101B-9397-08002B2CF9AE}" pid="4" name="ICV">
    <vt:lpwstr>ef062498ae054a7c9876653cee7c164e</vt:lpwstr>
  </property>
  <property fmtid="{D5CDD505-2E9C-101B-9397-08002B2CF9AE}" pid="5" name="KSOProductBuildVer">
    <vt:lpwstr>2052-12.1.0.18608</vt:lpwstr>
  </property>
</Properties>
</file>