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岳阳县财政局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整体支出</w:t>
      </w:r>
    </w:p>
    <w:p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绩效自评报告</w:t>
      </w:r>
    </w:p>
    <w:p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一、部门</w:t>
      </w:r>
      <w:r>
        <w:rPr>
          <w:rFonts w:ascii="仿宋" w:hAnsi="仿宋" w:eastAsia="仿宋" w:cs="楷体"/>
          <w:bCs/>
          <w:kern w:val="2"/>
          <w:sz w:val="28"/>
          <w:szCs w:val="28"/>
        </w:rPr>
        <w:t>(</w:t>
      </w:r>
      <w:r>
        <w:rPr>
          <w:rFonts w:hint="eastAsia" w:ascii="仿宋" w:hAnsi="仿宋" w:eastAsia="仿宋" w:cs="楷体"/>
          <w:bCs/>
          <w:kern w:val="2"/>
          <w:sz w:val="28"/>
          <w:szCs w:val="28"/>
        </w:rPr>
        <w:t>单位</w:t>
      </w:r>
      <w:r>
        <w:rPr>
          <w:rFonts w:ascii="仿宋" w:hAnsi="仿宋" w:eastAsia="仿宋" w:cs="楷体"/>
          <w:bCs/>
          <w:kern w:val="2"/>
          <w:sz w:val="28"/>
          <w:szCs w:val="28"/>
        </w:rPr>
        <w:t>)</w:t>
      </w:r>
      <w:r>
        <w:rPr>
          <w:rFonts w:hint="eastAsia" w:ascii="仿宋" w:hAnsi="仿宋" w:eastAsia="仿宋" w:cs="楷体"/>
          <w:bCs/>
          <w:kern w:val="2"/>
          <w:sz w:val="28"/>
          <w:szCs w:val="28"/>
        </w:rPr>
        <w:t>基本情况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 xml:space="preserve"> （一）主要职能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1.组织贯彻执行国家财税方针政策，拟订和执行全县财政政策、改革方案，指导全县财政工作。起草财政、财务、会计管理等规章草案，制定和执行财政、财务、会计管理的制度及办法。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2.承担县本级各项财政收支管理的责任。负责编制年度县本级预算决算草案并组织执行，组织制订县本级经费开支标准、定额，审核批复部门（单位）的年度预决算。完善转移支付制度，推进财政体制改革。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3.负责政府非税收入管理、政府性基金管理，按规定管理行政事业性收费。组织制定国库管理制度、国库集中收付制度，指导和监督县本级国库业务，按规定开展国库现金管理工作。负责制定政府采购制度并实施监督管理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4.贯彻执行国家税收法律、法规和税收调整政策，反馈政策执行情况，及时提出调整方案并组织实施。制定全县行政事业单位国有资产管理规章制度，按规定管理行政事业单位国有资产。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5.负责办理和监督县财政的经济发展支出、县级政府性投资项目的财政拨款，参与拟订县建设投资的有关政策，组织实施基本建设财务制度，负责有关政策性补贴和专项储备资金财政管理工作。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6.贯彻执行政府内外债务管理的政策，防范财政风险。负责统一管理县政府外债，制定基本管理制度。按规定管理外国政府和国际金融组织贷（赠）款。承担财税领域交流与合作的具体工作。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7.负责管理全县的会计工作，监督和规范会计行为，组织实施国家统一的会计制度。监督检查财税法律法规、政策的执行情况，反映财政收支管理中的重大问题，提出加强财政管理的政策和建议。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8.承办县委、县人民政府交办的其他事项。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（二）机构设置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财政局共设办公室、法规股、信息股、人事股、工会、综合规划股、预算股、 绩效评价股、国库股、教科文股、行政政法股、经济建设股、社会保障股、农业农村股、财计股、企业股、金融债务股、对外经济贸易股、财政投资评审中心、会计股、自然资然股、政府采购办、国资股、财监股、等股室；下辖县财政事务管理中心、县乡镇财政服务中心、县财政国库集中支付中心、县国有资产服务中心4个副科级事业单位。我局编制</w:t>
      </w:r>
      <w:r>
        <w:rPr>
          <w:rFonts w:hint="eastAsia" w:ascii="仿宋" w:hAnsi="仿宋" w:eastAsia="仿宋" w:cs="楷体"/>
          <w:bCs/>
          <w:kern w:val="2"/>
          <w:sz w:val="28"/>
          <w:szCs w:val="28"/>
          <w:lang w:val="en-US" w:eastAsia="zh-CN"/>
        </w:rPr>
        <w:t>107</w:t>
      </w:r>
      <w:r>
        <w:rPr>
          <w:rFonts w:hint="eastAsia" w:ascii="仿宋" w:hAnsi="仿宋" w:eastAsia="仿宋" w:cs="楷体"/>
          <w:bCs/>
          <w:kern w:val="2"/>
          <w:sz w:val="28"/>
          <w:szCs w:val="28"/>
        </w:rPr>
        <w:t>名，其中工勤编制1名。我局年末实有人数178人，其中，在职112人，离退休66人。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二、一般公共预算支出情况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（一）基本支出情况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2024年县财政局基本支出共计2406.82万元，主要用于人员支出1554.22万元，公用支出852.60万元，其中“三公”经费合计1.05万元，包括公务接待费1.05万元。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（二）项目支出情况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1.2024年财政预算安排县财政局保运转资金206.5万元，主要是全县网络维护等；2.保运转资金实际使用323.38万元；3.保运转资金按实际情况实行了专款专用，单位分管领导对资金的使用进行全程监督，保证资金使用的合规性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三、政府性基金预算支出情况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2024年度政府性基金预算支出484.84万元，其中基本支出194.87万元，项目支出289.97万元。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四、国有资本经营预算支出情况</w:t>
      </w:r>
      <w:bookmarkStart w:id="0" w:name="_GoBack"/>
      <w:bookmarkEnd w:id="0"/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无。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五、社会保险基金预算支出情况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无。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六、部门整体支出绩效情况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1.执行了预算政策要求。我局工作经费安排严格按照年初预算来执行，有效防止了超预算；认真学习财经法规，严格执行财经纪律，防止了违法违纪行为的发生；认真落实了有关资金要求，主动及时上缴年度结转结余资金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2.保障了机关有效运转。严格按照厉行节约的要求，精打细算，规范机关事务管理工作，提高服务质量，降低运行成本，合理配置，提高保障能力，保障干部待遇按政策发放落实。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3.加强了干部队伍建设。我局党组认真贯彻落实从严治党各项要求，严抓工作纪律。不定期开展党风廉政建设专题党课活动，深化推进党风廉政建设和反腐败工作纵深发展。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4.强化了财政职能工作。顺利推进税制改革、预算改革、PPP工作、政府购买服务等。积极化解财政风险，强化债务风险。进一步摸清全县债务情况，规范地方政府债务管理，综合债务率逐年下降；积极强化财政监管，提升了管理水平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七、存在的问题及原因分析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1.预算监督管理机制还有待加强；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2.财务工作是一个单位的命脉，创新机制正在逐步加强，要求财务工作水平越来越高。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八、下一步改进措施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1.进一步完善单位预算制度，和各个财务活动的工作流程，做到事前、事中、事后的统一控制，尽量减少非生产性开支。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2.充实财务人员，加强财务人员培训，保持积极向上的工作态度。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3.综合以上各项指标，财务管理健全规范，没有发生违法违规现象，建议在以后的工作中加强预算管理，严格控制各项经费的开支，提高经费的使用效率。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九、部门整体支出绩效自评结果拟应用和公开情况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财政局2024年度部门整体支出绩效自评得分98.96分，自评结果：优秀。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十、其他需要说明的情况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无。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hint="eastAsia" w:ascii="仿宋" w:hAnsi="仿宋" w:eastAsia="仿宋" w:cs="楷体"/>
          <w:bCs/>
          <w:kern w:val="2"/>
          <w:sz w:val="28"/>
          <w:szCs w:val="28"/>
        </w:rPr>
        <w:t>报告需要以下附件：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ascii="仿宋" w:hAnsi="仿宋" w:eastAsia="仿宋" w:cs="楷体"/>
          <w:bCs/>
          <w:kern w:val="2"/>
          <w:sz w:val="28"/>
          <w:szCs w:val="28"/>
        </w:rPr>
        <w:t>1</w:t>
      </w:r>
      <w:r>
        <w:rPr>
          <w:rFonts w:hint="eastAsia" w:ascii="仿宋" w:hAnsi="仿宋" w:eastAsia="仿宋" w:cs="楷体"/>
          <w:bCs/>
          <w:kern w:val="2"/>
          <w:sz w:val="28"/>
          <w:szCs w:val="28"/>
        </w:rPr>
        <w:t>、部门整体支出绩效评价基础数据表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ascii="仿宋" w:hAnsi="仿宋" w:eastAsia="仿宋" w:cs="楷体"/>
          <w:bCs/>
          <w:kern w:val="2"/>
          <w:sz w:val="28"/>
          <w:szCs w:val="28"/>
        </w:rPr>
        <w:t>2</w:t>
      </w:r>
      <w:r>
        <w:rPr>
          <w:rFonts w:hint="eastAsia" w:ascii="仿宋" w:hAnsi="仿宋" w:eastAsia="仿宋" w:cs="楷体"/>
          <w:bCs/>
          <w:kern w:val="2"/>
          <w:sz w:val="28"/>
          <w:szCs w:val="28"/>
        </w:rPr>
        <w:t>、部门整体支出绩效自评表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ascii="仿宋" w:hAnsi="仿宋" w:eastAsia="仿宋" w:cs="楷体"/>
          <w:bCs/>
          <w:kern w:val="2"/>
          <w:sz w:val="28"/>
          <w:szCs w:val="28"/>
        </w:rPr>
        <w:t>3</w:t>
      </w:r>
      <w:r>
        <w:rPr>
          <w:rFonts w:hint="eastAsia" w:ascii="仿宋" w:hAnsi="仿宋" w:eastAsia="仿宋" w:cs="楷体"/>
          <w:bCs/>
          <w:kern w:val="2"/>
          <w:sz w:val="28"/>
          <w:szCs w:val="28"/>
        </w:rPr>
        <w:t>、项目支出绩效自评表（每个一级项目支出一张表）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ascii="仿宋" w:hAnsi="仿宋" w:eastAsia="仿宋" w:cs="楷体"/>
          <w:bCs/>
          <w:kern w:val="2"/>
          <w:sz w:val="28"/>
          <w:szCs w:val="28"/>
        </w:rPr>
        <w:t>4</w:t>
      </w:r>
      <w:r>
        <w:rPr>
          <w:rFonts w:hint="eastAsia" w:ascii="仿宋" w:hAnsi="仿宋" w:eastAsia="仿宋" w:cs="楷体"/>
          <w:bCs/>
          <w:kern w:val="2"/>
          <w:sz w:val="28"/>
          <w:szCs w:val="28"/>
        </w:rPr>
        <w:t>、政府性基金预算支出情况表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ascii="仿宋" w:hAnsi="仿宋" w:eastAsia="仿宋" w:cs="楷体"/>
          <w:bCs/>
          <w:kern w:val="2"/>
          <w:sz w:val="28"/>
          <w:szCs w:val="28"/>
        </w:rPr>
        <w:t>5</w:t>
      </w:r>
      <w:r>
        <w:rPr>
          <w:rFonts w:hint="eastAsia" w:ascii="仿宋" w:hAnsi="仿宋" w:eastAsia="仿宋" w:cs="楷体"/>
          <w:bCs/>
          <w:kern w:val="2"/>
          <w:sz w:val="28"/>
          <w:szCs w:val="28"/>
        </w:rPr>
        <w:t>、国有资本经营预算支出情况表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  <w:r>
        <w:rPr>
          <w:rFonts w:ascii="仿宋" w:hAnsi="仿宋" w:eastAsia="仿宋" w:cs="楷体"/>
          <w:bCs/>
          <w:kern w:val="2"/>
          <w:sz w:val="28"/>
          <w:szCs w:val="28"/>
        </w:rPr>
        <w:t>6</w:t>
      </w:r>
      <w:r>
        <w:rPr>
          <w:rFonts w:hint="eastAsia" w:ascii="仿宋" w:hAnsi="仿宋" w:eastAsia="仿宋" w:cs="楷体"/>
          <w:bCs/>
          <w:kern w:val="2"/>
          <w:sz w:val="28"/>
          <w:szCs w:val="28"/>
        </w:rPr>
        <w:t>、社会保险基金预算支出情况表</w:t>
      </w:r>
    </w:p>
    <w:p>
      <w:pPr>
        <w:pStyle w:val="5"/>
        <w:widowControl/>
        <w:spacing w:before="0" w:beforeAutospacing="0" w:after="0" w:afterAutospacing="0" w:line="560" w:lineRule="exact"/>
        <w:ind w:firstLine="560" w:firstLineChars="200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</w:p>
    <w:p>
      <w:pPr>
        <w:pStyle w:val="5"/>
        <w:widowControl/>
        <w:spacing w:before="0" w:beforeAutospacing="0" w:after="0" w:afterAutospacing="0" w:line="26" w:lineRule="atLeast"/>
        <w:jc w:val="both"/>
        <w:rPr>
          <w:rFonts w:ascii="仿宋" w:hAnsi="仿宋" w:eastAsia="仿宋" w:cs="楷体"/>
          <w:bCs/>
          <w:kern w:val="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7C7"/>
    <w:rsid w:val="00075023"/>
    <w:rsid w:val="00145D47"/>
    <w:rsid w:val="00166C3F"/>
    <w:rsid w:val="003379EA"/>
    <w:rsid w:val="004F3D8E"/>
    <w:rsid w:val="00531DC0"/>
    <w:rsid w:val="005743E2"/>
    <w:rsid w:val="00607362"/>
    <w:rsid w:val="007460F4"/>
    <w:rsid w:val="0077353A"/>
    <w:rsid w:val="00850D52"/>
    <w:rsid w:val="0096217A"/>
    <w:rsid w:val="00C130F3"/>
    <w:rsid w:val="00C1388A"/>
    <w:rsid w:val="00CE17C7"/>
    <w:rsid w:val="00D5256F"/>
    <w:rsid w:val="00E03127"/>
    <w:rsid w:val="00F250A9"/>
    <w:rsid w:val="00F44DD6"/>
    <w:rsid w:val="019C38F6"/>
    <w:rsid w:val="321D61EC"/>
    <w:rsid w:val="3ABA235E"/>
    <w:rsid w:val="707F4A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 w:val="0"/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hAnsi="Times New Roman" w:eastAsia="宋体" w:cs="Times New Roman"/>
      <w:snapToGrid/>
      <w:color w:val="auto"/>
      <w:sz w:val="24"/>
      <w:szCs w:val="24"/>
      <w:lang w:eastAsia="zh-CN"/>
    </w:rPr>
  </w:style>
  <w:style w:type="character" w:customStyle="1" w:styleId="8">
    <w:name w:val="正文文本 Char"/>
    <w:basedOn w:val="7"/>
    <w:link w:val="2"/>
    <w:semiHidden/>
    <w:uiPriority w:val="0"/>
    <w:rPr>
      <w:rFonts w:ascii="仿宋" w:hAnsi="仿宋" w:eastAsia="仿宋" w:cs="仿宋"/>
      <w:snapToGrid w:val="0"/>
      <w:color w:val="000000"/>
      <w:kern w:val="0"/>
      <w:sz w:val="35"/>
      <w:szCs w:val="35"/>
      <w:lang w:eastAsia="en-US"/>
    </w:rPr>
  </w:style>
  <w:style w:type="character" w:customStyle="1" w:styleId="9">
    <w:name w:val="页眉 Char"/>
    <w:basedOn w:val="7"/>
    <w:link w:val="4"/>
    <w:semiHidden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0">
    <w:name w:val="页脚 Char"/>
    <w:basedOn w:val="7"/>
    <w:link w:val="3"/>
    <w:semiHidden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309</Words>
  <Characters>1765</Characters>
  <Lines>14</Lines>
  <Paragraphs>4</Paragraphs>
  <TotalTime>49</TotalTime>
  <ScaleCrop>false</ScaleCrop>
  <LinksUpToDate>false</LinksUpToDate>
  <CharactersWithSpaces>2070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2024-06-14T12:56:00Z</dcterms:created>
  <dc:creator>微软用户</dc:creator>
  <cp:lastModifiedBy>Administrator</cp:lastModifiedBy>
  <dcterms:modified xsi:type="dcterms:W3CDTF">2025-09-22T08:34:38Z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