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5B" w:rsidRDefault="0062335B" w:rsidP="0062335B">
      <w:pPr>
        <w:jc w:val="center"/>
        <w:rPr>
          <w:rStyle w:val="NormalCharacter"/>
          <w:b/>
          <w:sz w:val="32"/>
          <w:szCs w:val="32"/>
        </w:rPr>
      </w:pPr>
      <w:r>
        <w:rPr>
          <w:rStyle w:val="NormalCharacter"/>
          <w:rFonts w:hint="eastAsia"/>
          <w:b/>
          <w:sz w:val="32"/>
          <w:szCs w:val="32"/>
        </w:rPr>
        <w:t>岳阳县畜禽良种繁殖场</w:t>
      </w:r>
    </w:p>
    <w:p w:rsidR="0062335B" w:rsidRDefault="0062335B" w:rsidP="0062335B">
      <w:pPr>
        <w:jc w:val="center"/>
        <w:rPr>
          <w:rStyle w:val="NormalCharacter"/>
          <w:b/>
          <w:sz w:val="32"/>
          <w:szCs w:val="32"/>
        </w:rPr>
      </w:pPr>
      <w:r>
        <w:rPr>
          <w:rStyle w:val="NormalCharacter"/>
          <w:rFonts w:hint="eastAsia"/>
          <w:b/>
          <w:sz w:val="32"/>
          <w:szCs w:val="32"/>
        </w:rPr>
        <w:t>202</w:t>
      </w:r>
      <w:r w:rsidR="004644F8">
        <w:rPr>
          <w:rStyle w:val="NormalCharacter"/>
          <w:rFonts w:hint="eastAsia"/>
          <w:b/>
          <w:sz w:val="32"/>
          <w:szCs w:val="32"/>
        </w:rPr>
        <w:t>4</w:t>
      </w:r>
      <w:r>
        <w:rPr>
          <w:rStyle w:val="NormalCharacter"/>
          <w:b/>
          <w:sz w:val="32"/>
          <w:szCs w:val="32"/>
        </w:rPr>
        <w:t>部门整体财政支出绩效</w:t>
      </w:r>
    </w:p>
    <w:p w:rsidR="0062335B" w:rsidRDefault="0062335B" w:rsidP="0062335B">
      <w:pPr>
        <w:jc w:val="center"/>
        <w:rPr>
          <w:rStyle w:val="NormalCharacter"/>
          <w:b/>
          <w:sz w:val="32"/>
          <w:szCs w:val="32"/>
        </w:rPr>
      </w:pPr>
      <w:r>
        <w:rPr>
          <w:rStyle w:val="NormalCharacter"/>
          <w:b/>
          <w:sz w:val="32"/>
          <w:szCs w:val="32"/>
        </w:rPr>
        <w:t>自评报告</w:t>
      </w:r>
    </w:p>
    <w:p w:rsidR="0062335B" w:rsidRPr="00696F75" w:rsidRDefault="0062335B" w:rsidP="0062335B">
      <w:pPr>
        <w:spacing w:line="560" w:lineRule="exact"/>
        <w:ind w:firstLineChars="200" w:firstLine="46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0537C9">
        <w:rPr>
          <w:rStyle w:val="NormalCharacter"/>
          <w:rFonts w:ascii="微软雅黑" w:eastAsia="微软雅黑" w:hAnsi="微软雅黑"/>
          <w:kern w:val="0"/>
          <w:sz w:val="24"/>
        </w:rPr>
        <w:t>一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、单位概况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（一）单位基本情况</w:t>
      </w:r>
    </w:p>
    <w:p w:rsidR="00524ABE" w:rsidRPr="00696F75" w:rsidRDefault="007A0AD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岳阳县畜禽良种繁殖场是</w:t>
      </w:r>
      <w:r w:rsidR="00524ABE"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隶属于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岳阳县畜牧水产发展服务中心</w:t>
      </w:r>
      <w:r w:rsidR="00524ABE"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的二级机构，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主要</w:t>
      </w:r>
      <w:r w:rsidR="00524ABE"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负责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畜禽类优质高效遗传控制和改良研究，研究开发畜禽育种技术</w:t>
      </w:r>
      <w:r w:rsidR="00524ABE"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、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建立科学的畜禽良种繁育体系，推广应用冷精配种技术和研究开发胚胎繁殖技术</w:t>
      </w:r>
      <w:r w:rsidR="00524ABE"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等。</w:t>
      </w:r>
    </w:p>
    <w:p w:rsidR="00576444" w:rsidRPr="00696F75" w:rsidRDefault="0062335B" w:rsidP="00576444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二、单位整体支出管理及使用情况</w:t>
      </w:r>
    </w:p>
    <w:p w:rsidR="007A0ADB" w:rsidRPr="00576444" w:rsidRDefault="00524ABE" w:rsidP="00576444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我单位</w:t>
      </w:r>
      <w:r w:rsidR="007A0ADB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对部门整体支出的预算执行高度重视。一是大力提倡勤俭节约，坚持把有限的经费用在</w:t>
      </w: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畜牧良种繁殖</w:t>
      </w:r>
      <w:r w:rsidR="007A0ADB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发展项目上；二是严肃财经纪律，严格执</w:t>
      </w: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行财务制度，坚持先有预算、后有支出，坚持“三公”经费公开制度；三</w:t>
      </w:r>
      <w:r w:rsidR="007A0ADB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是</w:t>
      </w: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坚持由局机关对本单位重大收支计划监督制度，严谨审批程序，坚持财务审票，根据开支类别，由经办人在发票上签明事由，超过1000元开支还需局机关分管领导签字后才能开支，</w:t>
      </w:r>
      <w:r w:rsidR="007A0ADB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这些措施，较好地保证了财务开支和资金使用的合法合规、安全有效。</w:t>
      </w:r>
      <w:r w:rsidR="00576444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 xml:space="preserve">   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三、单位专项组织实施情况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我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单位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高度重视项目管理工作，制订了《岳阳县畜牧水产发展服务中心项目管理办法》，严格按国家有关项目管理规定规范项目实施程序，规范项目财务管理，确保“专款专用”。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四、单位整体支出绩效情况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目标1：全年预算申请到位和下达数量在95%以上，三公经费变动率≤0。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lastRenderedPageBreak/>
        <w:t>目标2：社会效益、经济效益、生态效益、可持续影响和社会公众满意度达到预期目标</w:t>
      </w:r>
    </w:p>
    <w:p w:rsidR="0062335B" w:rsidRPr="00696F75" w:rsidRDefault="0062335B" w:rsidP="00696F75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完成县委、县政府及上级主管部门交办的各项工作任务。</w:t>
      </w:r>
    </w:p>
    <w:p w:rsidR="00696F75" w:rsidRPr="00576444" w:rsidRDefault="00696F75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（一）经济性分析</w:t>
      </w:r>
    </w:p>
    <w:p w:rsidR="00BE65AF" w:rsidRPr="00696F75" w:rsidRDefault="00BE65AF" w:rsidP="00BE65AF">
      <w:pPr>
        <w:spacing w:line="560" w:lineRule="exact"/>
        <w:ind w:firstLineChars="200" w:firstLine="588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202</w:t>
      </w:r>
      <w:r w:rsidR="004644F8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4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年我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单位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基本支出共计</w:t>
      </w:r>
      <w:r w:rsidR="002525D9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499.29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万元，主要用于人员支出</w:t>
      </w:r>
      <w:r w:rsidR="00F367EB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232.31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万元，公用支出</w:t>
      </w:r>
      <w:r w:rsidR="00F367EB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266.98</w:t>
      </w:r>
      <w:r w:rsidRPr="00696F75"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  <w:t>万元</w:t>
      </w:r>
      <w:r w:rsidRPr="00696F75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。</w:t>
      </w:r>
    </w:p>
    <w:p w:rsidR="00696F75" w:rsidRPr="00576444" w:rsidRDefault="00696F75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（二）效率性分析</w:t>
      </w:r>
    </w:p>
    <w:p w:rsidR="00696F75" w:rsidRPr="00576444" w:rsidRDefault="00BE65AF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我单位</w:t>
      </w:r>
      <w:r w:rsidR="00696F75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202</w:t>
      </w:r>
      <w:r w:rsidR="007552C3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4</w:t>
      </w:r>
      <w:r w:rsidR="00696F75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年部门整体支出绩效情况较好，各部门均按年初设定的目标任务积极完成各项工作。</w:t>
      </w:r>
    </w:p>
    <w:p w:rsidR="00696F75" w:rsidRPr="00576444" w:rsidRDefault="00696F75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（三）有效性分析</w:t>
      </w:r>
    </w:p>
    <w:p w:rsidR="00696F75" w:rsidRPr="00576444" w:rsidRDefault="00BE65AF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我单位</w:t>
      </w:r>
      <w:r w:rsidR="00696F75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较好地完成了202</w:t>
      </w:r>
      <w:r w:rsidR="007552C3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4</w:t>
      </w:r>
      <w:r w:rsidR="00696F75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年初设定的工作任务，202</w:t>
      </w:r>
      <w:r w:rsidR="00454558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年</w:t>
      </w:r>
      <w:r w:rsidR="00696F75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实际支出总额未超出年初预算，专项经费实际支出也未超出年初预算，在实现任务目标的同时，节约了部门预算经费。</w:t>
      </w:r>
    </w:p>
    <w:p w:rsidR="00696F75" w:rsidRPr="00576444" w:rsidRDefault="00696F75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（四）可持续性分析</w:t>
      </w:r>
    </w:p>
    <w:p w:rsidR="00696F75" w:rsidRPr="00576444" w:rsidRDefault="00BE65AF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我单位</w:t>
      </w:r>
      <w:r w:rsidR="00696F75"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厉行节约，坚持把有限的专项经费用在刀刃上，进一步完善财务管理制度，坚持财务开支公开透明，接受全局监督，经得起上级各项审计检查，这些措施，较好地保证了财务开支和资金使用的合法合规、安全有效，较好地保证了卫生事业的可持续性发展。</w:t>
      </w:r>
    </w:p>
    <w:p w:rsidR="00696F75" w:rsidRPr="00576444" w:rsidRDefault="00696F75" w:rsidP="00696F75">
      <w:pPr>
        <w:spacing w:line="340" w:lineRule="auto"/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  <w:r w:rsidRPr="00576444">
        <w:rPr>
          <w:rFonts w:ascii="宋体" w:hAnsi="宋体" w:cs="宋体" w:hint="eastAsia"/>
          <w:snapToGrid w:val="0"/>
          <w:color w:val="3D3D3D"/>
          <w:sz w:val="30"/>
          <w:szCs w:val="30"/>
          <w:shd w:val="clear" w:color="auto" w:fill="FFFFFF"/>
        </w:rPr>
        <w:t>七、存在的问题及原因分析</w:t>
      </w:r>
    </w:p>
    <w:p w:rsidR="00696F75" w:rsidRPr="00576444" w:rsidRDefault="00696F75" w:rsidP="00696F75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因部门整体支出的资金安排和使用上具有不可预见性，在科学设置预算绩效指标上还需进一步加强。由于行政经费少，年初编制的预算不够精确，编制范围不太全面，预算执行情况还有待进一步加强，再加上预算内资金拨付不能及时到位，致使工作开展受到影响。开支的补充，难以产生真正的项目效益。</w:t>
      </w:r>
    </w:p>
    <w:p w:rsidR="00696F75" w:rsidRPr="00576444" w:rsidRDefault="00696F75" w:rsidP="00696F75">
      <w:pPr>
        <w:pStyle w:val="a4"/>
        <w:spacing w:before="225" w:line="357" w:lineRule="auto"/>
        <w:ind w:right="233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  <w:lang w:eastAsia="zh-CN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  <w:lang w:eastAsia="zh-CN"/>
        </w:rPr>
        <w:t>八、下一步改进措施</w:t>
      </w:r>
    </w:p>
    <w:p w:rsidR="00696F75" w:rsidRPr="00576444" w:rsidRDefault="00696F75" w:rsidP="00576444">
      <w:pPr>
        <w:pStyle w:val="a3"/>
        <w:shd w:val="clear" w:color="auto" w:fill="FFFFFF"/>
        <w:spacing w:beforeAutospacing="0" w:after="120" w:afterAutospacing="0" w:line="408" w:lineRule="atLeast"/>
        <w:ind w:firstLine="420"/>
        <w:jc w:val="both"/>
        <w:rPr>
          <w:rFonts w:ascii="宋体" w:eastAsia="宋体" w:hAnsi="宋体" w:cs="宋体"/>
          <w:color w:val="3D3D3D"/>
          <w:kern w:val="2"/>
          <w:sz w:val="30"/>
          <w:szCs w:val="30"/>
          <w:shd w:val="clear" w:color="auto" w:fill="FFFFFF"/>
        </w:rPr>
      </w:pP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t>高度重视财务人员队伍建设，加强对财务人员业务工作指导和规范化培训，尤其是加强新《预算法》、《事业单位会计制度》等学习培训。规范</w:t>
      </w:r>
      <w:r w:rsidRPr="00576444">
        <w:rPr>
          <w:rFonts w:ascii="宋体" w:eastAsia="宋体" w:hAnsi="宋体" w:cs="宋体" w:hint="eastAsia"/>
          <w:color w:val="3D3D3D"/>
          <w:kern w:val="2"/>
          <w:sz w:val="30"/>
          <w:szCs w:val="30"/>
          <w:shd w:val="clear" w:color="auto" w:fill="FFFFFF"/>
        </w:rPr>
        <w:lastRenderedPageBreak/>
        <w:t>部门预算收支核算，一是制定和完善基本支出、项目支出等各项支出标准，严格按项目和进度执行预算，增强预算的约束力和严肃性。二是落实预算执行分析，及时了解预算执行差异，合理调整、纠正预算执行偏差，切实提高部门预算收支管理水平。</w:t>
      </w:r>
    </w:p>
    <w:p w:rsidR="00E52FD9" w:rsidRPr="00576444" w:rsidRDefault="00E52FD9">
      <w:pPr>
        <w:rPr>
          <w:rFonts w:ascii="宋体" w:hAnsi="宋体" w:cs="宋体"/>
          <w:snapToGrid w:val="0"/>
          <w:color w:val="3D3D3D"/>
          <w:sz w:val="30"/>
          <w:szCs w:val="30"/>
          <w:shd w:val="clear" w:color="auto" w:fill="FFFFFF"/>
        </w:rPr>
      </w:pPr>
    </w:p>
    <w:sectPr w:rsidR="00E52FD9" w:rsidRPr="00576444" w:rsidSect="003F3679">
      <w:pgSz w:w="11906" w:h="16838"/>
      <w:pgMar w:top="1588" w:right="1191" w:bottom="1588" w:left="1191" w:header="851" w:footer="851" w:gutter="0"/>
      <w:pgNumType w:start="8"/>
      <w:cols w:space="425"/>
      <w:docGrid w:type="linesAndChars" w:linePitch="602" w:charSpace="-12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824" w:rsidRDefault="00633824" w:rsidP="00E10727">
      <w:r>
        <w:separator/>
      </w:r>
    </w:p>
  </w:endnote>
  <w:endnote w:type="continuationSeparator" w:id="1">
    <w:p w:rsidR="00633824" w:rsidRDefault="00633824" w:rsidP="00E10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824" w:rsidRDefault="00633824" w:rsidP="00E10727">
      <w:r>
        <w:separator/>
      </w:r>
    </w:p>
  </w:footnote>
  <w:footnote w:type="continuationSeparator" w:id="1">
    <w:p w:rsidR="00633824" w:rsidRDefault="00633824" w:rsidP="00E107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81555"/>
    <w:multiLevelType w:val="hybridMultilevel"/>
    <w:tmpl w:val="06C2B9B4"/>
    <w:lvl w:ilvl="0" w:tplc="AC908348">
      <w:numFmt w:val="decimal"/>
      <w:lvlText w:val="%1年"/>
      <w:lvlJc w:val="left"/>
      <w:pPr>
        <w:ind w:left="4788" w:hanging="4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8" w:hanging="420"/>
      </w:pPr>
    </w:lvl>
    <w:lvl w:ilvl="2" w:tplc="0409001B" w:tentative="1">
      <w:start w:val="1"/>
      <w:numFmt w:val="lowerRoman"/>
      <w:lvlText w:val="%3."/>
      <w:lvlJc w:val="right"/>
      <w:pPr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ind w:left="2268" w:hanging="420"/>
      </w:pPr>
    </w:lvl>
    <w:lvl w:ilvl="4" w:tplc="04090019" w:tentative="1">
      <w:start w:val="1"/>
      <w:numFmt w:val="lowerLetter"/>
      <w:lvlText w:val="%5)"/>
      <w:lvlJc w:val="left"/>
      <w:pPr>
        <w:ind w:left="2688" w:hanging="420"/>
      </w:pPr>
    </w:lvl>
    <w:lvl w:ilvl="5" w:tplc="0409001B" w:tentative="1">
      <w:start w:val="1"/>
      <w:numFmt w:val="lowerRoman"/>
      <w:lvlText w:val="%6."/>
      <w:lvlJc w:val="right"/>
      <w:pPr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ind w:left="3528" w:hanging="420"/>
      </w:pPr>
    </w:lvl>
    <w:lvl w:ilvl="7" w:tplc="04090019" w:tentative="1">
      <w:start w:val="1"/>
      <w:numFmt w:val="lowerLetter"/>
      <w:lvlText w:val="%8)"/>
      <w:lvlJc w:val="left"/>
      <w:pPr>
        <w:ind w:left="3948" w:hanging="420"/>
      </w:pPr>
    </w:lvl>
    <w:lvl w:ilvl="8" w:tplc="0409001B" w:tentative="1">
      <w:start w:val="1"/>
      <w:numFmt w:val="lowerRoman"/>
      <w:lvlText w:val="%9."/>
      <w:lvlJc w:val="right"/>
      <w:pPr>
        <w:ind w:left="436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35B"/>
    <w:rsid w:val="000E2FD3"/>
    <w:rsid w:val="002525D9"/>
    <w:rsid w:val="002F1A02"/>
    <w:rsid w:val="003966B9"/>
    <w:rsid w:val="003E2676"/>
    <w:rsid w:val="00454558"/>
    <w:rsid w:val="004644F8"/>
    <w:rsid w:val="00524ABE"/>
    <w:rsid w:val="00576444"/>
    <w:rsid w:val="0062335B"/>
    <w:rsid w:val="00633824"/>
    <w:rsid w:val="00696F75"/>
    <w:rsid w:val="007552C3"/>
    <w:rsid w:val="007A0ADB"/>
    <w:rsid w:val="007E4551"/>
    <w:rsid w:val="00A55204"/>
    <w:rsid w:val="00AD4057"/>
    <w:rsid w:val="00B858DF"/>
    <w:rsid w:val="00BE65AF"/>
    <w:rsid w:val="00C27DDD"/>
    <w:rsid w:val="00E10727"/>
    <w:rsid w:val="00E52FD9"/>
    <w:rsid w:val="00F367EB"/>
    <w:rsid w:val="00FE0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335B"/>
    <w:pPr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62335B"/>
  </w:style>
  <w:style w:type="paragraph" w:styleId="a3">
    <w:name w:val="Normal (Web)"/>
    <w:basedOn w:val="a"/>
    <w:autoRedefine/>
    <w:qFormat/>
    <w:rsid w:val="007A0ADB"/>
    <w:pPr>
      <w:kinsoku w:val="0"/>
      <w:autoSpaceDE w:val="0"/>
      <w:autoSpaceDN w:val="0"/>
      <w:adjustRightInd w:val="0"/>
      <w:snapToGrid w:val="0"/>
      <w:spacing w:beforeAutospacing="1" w:afterAutospacing="1"/>
      <w:jc w:val="left"/>
    </w:pPr>
    <w:rPr>
      <w:rFonts w:ascii="Arial" w:eastAsia="Arial" w:hAnsi="Arial"/>
      <w:snapToGrid w:val="0"/>
      <w:color w:val="000000"/>
      <w:kern w:val="0"/>
      <w:sz w:val="24"/>
      <w:szCs w:val="21"/>
    </w:rPr>
  </w:style>
  <w:style w:type="paragraph" w:styleId="a4">
    <w:name w:val="Body Text"/>
    <w:basedOn w:val="a"/>
    <w:link w:val="Char"/>
    <w:semiHidden/>
    <w:qFormat/>
    <w:rsid w:val="00696F75"/>
    <w:pPr>
      <w:kinsoku w:val="0"/>
      <w:autoSpaceDE w:val="0"/>
      <w:autoSpaceDN w:val="0"/>
      <w:adjustRightInd w:val="0"/>
      <w:snapToGrid w:val="0"/>
      <w:jc w:val="left"/>
    </w:pPr>
    <w:rPr>
      <w:rFonts w:ascii="仿宋" w:eastAsia="仿宋" w:hAnsi="仿宋" w:cs="仿宋"/>
      <w:snapToGrid w:val="0"/>
      <w:color w:val="000000"/>
      <w:kern w:val="0"/>
      <w:sz w:val="37"/>
      <w:szCs w:val="37"/>
      <w:lang w:eastAsia="en-US"/>
    </w:rPr>
  </w:style>
  <w:style w:type="character" w:customStyle="1" w:styleId="Char">
    <w:name w:val="正文文本 Char"/>
    <w:basedOn w:val="a0"/>
    <w:link w:val="a4"/>
    <w:semiHidden/>
    <w:rsid w:val="00696F75"/>
    <w:rPr>
      <w:rFonts w:ascii="仿宋" w:eastAsia="仿宋" w:hAnsi="仿宋" w:cs="仿宋"/>
      <w:snapToGrid w:val="0"/>
      <w:color w:val="000000"/>
      <w:kern w:val="0"/>
      <w:sz w:val="37"/>
      <w:szCs w:val="37"/>
      <w:lang w:eastAsia="en-US"/>
    </w:rPr>
  </w:style>
  <w:style w:type="paragraph" w:styleId="a5">
    <w:name w:val="List Paragraph"/>
    <w:basedOn w:val="a"/>
    <w:uiPriority w:val="34"/>
    <w:qFormat/>
    <w:rsid w:val="00576444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464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4F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464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4644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1066</Characters>
  <Application>Microsoft Office Word</Application>
  <DocSecurity>0</DocSecurity>
  <Lines>8</Lines>
  <Paragraphs>2</Paragraphs>
  <ScaleCrop>false</ScaleCrop>
  <Company>china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2025-09-16T08:20:00Z</dcterms:created>
  <dcterms:modified xsi:type="dcterms:W3CDTF">2025-09-16T08:20:00Z</dcterms:modified>
</cp:coreProperties>
</file>