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5"/>
        <w:jc w:val="center"/>
        <w:rPr>
          <w:rFonts w:hint="eastAsia" w:ascii="微软雅黑" w:hAnsi="微软雅黑" w:eastAsia="微软雅黑" w:cs="微软雅黑"/>
          <w:sz w:val="56"/>
          <w:szCs w:val="56"/>
        </w:rPr>
      </w:pPr>
    </w:p>
    <w:p w14:paraId="6AA61587">
      <w:pPr>
        <w:pStyle w:val="15"/>
        <w:jc w:val="center"/>
        <w:rPr>
          <w:rFonts w:hint="eastAsia" w:ascii="微软雅黑" w:hAnsi="微软雅黑" w:eastAsia="微软雅黑" w:cs="微软雅黑"/>
          <w:sz w:val="56"/>
          <w:szCs w:val="56"/>
        </w:rPr>
      </w:pPr>
    </w:p>
    <w:p w14:paraId="063A3D1E">
      <w:pPr>
        <w:pStyle w:val="15"/>
        <w:jc w:val="center"/>
        <w:rPr>
          <w:rFonts w:hint="eastAsia" w:ascii="微软雅黑" w:hAnsi="微软雅黑" w:eastAsia="微软雅黑" w:cs="微软雅黑"/>
          <w:sz w:val="84"/>
          <w:szCs w:val="84"/>
        </w:rPr>
      </w:pPr>
    </w:p>
    <w:p w14:paraId="2B43E4A7">
      <w:pPr>
        <w:pStyle w:val="15"/>
        <w:jc w:val="center"/>
        <w:rPr>
          <w:rFonts w:hint="eastAsia" w:ascii="微软雅黑" w:hAnsi="微软雅黑" w:eastAsia="微软雅黑" w:cs="微软雅黑"/>
          <w:sz w:val="84"/>
          <w:szCs w:val="84"/>
        </w:rPr>
      </w:pPr>
    </w:p>
    <w:p w14:paraId="70F1861E">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08ABFFF2">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岳阳县市场建设管理中心</w:t>
      </w:r>
    </w:p>
    <w:p w14:paraId="1F82586A">
      <w:pPr>
        <w:pStyle w:val="15"/>
        <w:jc w:val="center"/>
        <w:rPr>
          <w:rFonts w:hint="eastAsia" w:ascii="微软雅黑" w:hAnsi="微软雅黑" w:eastAsia="微软雅黑" w:cs="微软雅黑"/>
          <w:b/>
          <w:bCs/>
          <w:sz w:val="84"/>
          <w:szCs w:val="84"/>
        </w:rPr>
      </w:pPr>
      <w:r>
        <w:rPr>
          <w:rFonts w:ascii="微软雅黑" w:hAnsi="微软雅黑" w:eastAsia="微软雅黑" w:cs="微软雅黑"/>
          <w:b/>
          <w:sz w:val="84"/>
        </w:rPr>
        <w:t>部门决算</w:t>
      </w:r>
    </w:p>
    <w:p w14:paraId="75AE3C46">
      <w:pPr>
        <w:pStyle w:val="15"/>
        <w:jc w:val="center"/>
        <w:rPr>
          <w:rFonts w:hint="eastAsia" w:ascii="微软雅黑" w:hAnsi="微软雅黑" w:eastAsia="微软雅黑" w:cs="微软雅黑"/>
          <w:sz w:val="84"/>
          <w:szCs w:val="84"/>
        </w:rPr>
      </w:pPr>
    </w:p>
    <w:p w14:paraId="68E4FE28">
      <w:pPr>
        <w:pStyle w:val="15"/>
        <w:jc w:val="center"/>
        <w:rPr>
          <w:rFonts w:hint="eastAsia" w:ascii="微软雅黑" w:hAnsi="微软雅黑" w:eastAsia="微软雅黑" w:cs="微软雅黑"/>
          <w:sz w:val="84"/>
          <w:szCs w:val="84"/>
        </w:rPr>
      </w:pPr>
    </w:p>
    <w:p w14:paraId="4F27891B">
      <w:pPr>
        <w:pStyle w:val="15"/>
        <w:jc w:val="center"/>
        <w:rPr>
          <w:rFonts w:hint="eastAsia" w:ascii="微软雅黑" w:hAnsi="微软雅黑" w:eastAsia="微软雅黑" w:cs="微软雅黑"/>
          <w:sz w:val="84"/>
          <w:szCs w:val="84"/>
        </w:rPr>
      </w:pPr>
    </w:p>
    <w:p w14:paraId="2434F2FB">
      <w:pPr>
        <w:pStyle w:val="15"/>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5"/>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5"/>
        <w:spacing w:line="500" w:lineRule="exact"/>
        <w:jc w:val="center"/>
        <w:rPr>
          <w:rFonts w:hint="eastAsia" w:ascii="微软雅黑" w:hAnsi="微软雅黑" w:eastAsia="微软雅黑" w:cs="微软雅黑"/>
          <w:b/>
          <w:sz w:val="36"/>
          <w:szCs w:val="28"/>
        </w:rPr>
      </w:pPr>
    </w:p>
    <w:p w14:paraId="157216F0">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岳阳县市场建设管理中心单位概况</w:t>
      </w:r>
    </w:p>
    <w:p w14:paraId="240AF2E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5"/>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5"/>
        <w:jc w:val="center"/>
        <w:rPr>
          <w:rFonts w:hint="eastAsia" w:ascii="微软雅黑" w:hAnsi="微软雅黑" w:eastAsia="微软雅黑" w:cs="微软雅黑"/>
          <w:b/>
          <w:bCs/>
          <w:sz w:val="84"/>
          <w:szCs w:val="84"/>
        </w:rPr>
      </w:pPr>
    </w:p>
    <w:p w14:paraId="4433F748">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岳阳县市场建设管理中心</w:t>
      </w:r>
    </w:p>
    <w:p w14:paraId="66291003">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单位概况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79AD0A7F">
      <w:pPr>
        <w:jc w:val="center"/>
        <w:rPr>
          <w:rFonts w:hint="eastAsia" w:ascii="微软雅黑" w:hAnsi="微软雅黑" w:eastAsia="微软雅黑" w:cs="微软雅黑"/>
          <w:sz w:val="72"/>
          <w:szCs w:val="72"/>
        </w:rPr>
      </w:pPr>
    </w:p>
    <w:p w14:paraId="3F84CF8C">
      <w:pPr>
        <w:jc w:val="center"/>
        <w:rPr>
          <w:rFonts w:hint="eastAsia" w:ascii="微软雅黑" w:hAnsi="微软雅黑" w:eastAsia="微软雅黑" w:cs="微软雅黑"/>
          <w:sz w:val="72"/>
          <w:szCs w:val="72"/>
        </w:rPr>
      </w:pPr>
    </w:p>
    <w:p w14:paraId="22E8C870">
      <w:pPr>
        <w:pStyle w:val="16"/>
        <w:numPr>
          <w:ilvl w:val="0"/>
          <w:numId w:val="0"/>
        </w:numPr>
        <w:ind w:leftChars="0" w:firstLine="640" w:firstLineChars="20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25C1DB90">
      <w:pPr>
        <w:widowControl/>
        <w:spacing w:line="600" w:lineRule="exact"/>
        <w:ind w:firstLine="640" w:firstLineChars="200"/>
        <w:rPr>
          <w:rFonts w:hint="eastAsia" w:ascii="仿宋" w:hAnsi="仿宋" w:eastAsia="仿宋" w:cs="仿宋"/>
          <w:color w:val="333333"/>
          <w:kern w:val="0"/>
          <w:sz w:val="32"/>
          <w:szCs w:val="32"/>
        </w:rPr>
      </w:pPr>
      <w:r>
        <w:rPr>
          <w:rFonts w:hint="eastAsia" w:ascii="微软雅黑" w:hAnsi="微软雅黑" w:eastAsia="微软雅黑" w:cs="微软雅黑"/>
          <w:sz w:val="32"/>
          <w:szCs w:val="32"/>
        </w:rPr>
        <w:t>（一）</w:t>
      </w:r>
      <w:r>
        <w:rPr>
          <w:rFonts w:hint="eastAsia" w:ascii="仿宋" w:hAnsi="仿宋" w:eastAsia="仿宋" w:cs="仿宋"/>
          <w:color w:val="333333"/>
          <w:kern w:val="0"/>
          <w:sz w:val="32"/>
          <w:szCs w:val="32"/>
        </w:rPr>
        <w:t>岳阳县市场建设管理中心主要负责所辖市场资产的经营管理及市场内物业管理、市场开发和维修。</w:t>
      </w:r>
    </w:p>
    <w:p w14:paraId="6BFCF1E6">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w:t>
      </w:r>
      <w:r>
        <w:rPr>
          <w:rFonts w:hint="eastAsia" w:ascii="仿宋" w:hAnsi="仿宋" w:eastAsia="仿宋" w:cs="仿宋"/>
          <w:color w:val="333333"/>
          <w:kern w:val="0"/>
          <w:sz w:val="32"/>
          <w:szCs w:val="32"/>
        </w:rPr>
        <w:t>提供交易场所和服务设施。</w:t>
      </w:r>
    </w:p>
    <w:p w14:paraId="1675BDDD">
      <w:pPr>
        <w:widowControl/>
        <w:spacing w:line="600" w:lineRule="exact"/>
        <w:ind w:firstLine="640" w:firstLineChars="200"/>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73706B5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hint="eastAsia" w:ascii="仿宋" w:hAnsi="仿宋" w:eastAsia="仿宋" w:cs="仿宋"/>
          <w:color w:val="333333"/>
          <w:kern w:val="0"/>
          <w:sz w:val="32"/>
          <w:szCs w:val="32"/>
        </w:rPr>
        <w:t>岳阳县市场建设管理中心</w:t>
      </w:r>
      <w:r>
        <w:rPr>
          <w:rFonts w:hint="eastAsia" w:ascii="仿宋" w:hAnsi="仿宋" w:eastAsia="仿宋" w:cs="仿宋"/>
          <w:bCs/>
          <w:kern w:val="0"/>
          <w:sz w:val="32"/>
          <w:szCs w:val="32"/>
        </w:rPr>
        <w:t>内设机构包括：</w:t>
      </w:r>
      <w:r>
        <w:rPr>
          <w:rFonts w:hint="eastAsia" w:ascii="仿宋" w:hAnsi="仿宋" w:eastAsia="仿宋" w:cs="仿宋"/>
          <w:color w:val="333333"/>
          <w:kern w:val="0"/>
          <w:sz w:val="32"/>
          <w:szCs w:val="32"/>
        </w:rPr>
        <w:t>办公室、财务室、物业股、秩序卫生股</w:t>
      </w:r>
      <w:r>
        <w:rPr>
          <w:rFonts w:hint="eastAsia" w:ascii="仿宋" w:hAnsi="仿宋" w:eastAsia="仿宋" w:cs="仿宋"/>
          <w:color w:val="333333"/>
          <w:kern w:val="0"/>
          <w:sz w:val="32"/>
          <w:szCs w:val="32"/>
          <w:lang w:eastAsia="zh-CN"/>
        </w:rPr>
        <w:t>四</w:t>
      </w:r>
      <w:r>
        <w:rPr>
          <w:rFonts w:hint="eastAsia" w:ascii="仿宋" w:hAnsi="仿宋" w:eastAsia="仿宋" w:cs="仿宋"/>
          <w:color w:val="333333"/>
          <w:kern w:val="0"/>
          <w:sz w:val="32"/>
          <w:szCs w:val="32"/>
        </w:rPr>
        <w:t>个股室。</w:t>
      </w:r>
      <w:r>
        <w:rPr>
          <w:rFonts w:hint="eastAsia" w:ascii="仿宋" w:hAnsi="仿宋" w:eastAsia="仿宋" w:cs="仿宋"/>
          <w:color w:val="333333"/>
          <w:kern w:val="0"/>
          <w:sz w:val="32"/>
          <w:szCs w:val="32"/>
          <w:lang w:val="en-US" w:eastAsia="zh-CN"/>
        </w:rPr>
        <w:t>2024</w:t>
      </w:r>
      <w:r>
        <w:rPr>
          <w:rFonts w:hint="eastAsia" w:ascii="仿宋" w:hAnsi="仿宋" w:eastAsia="仿宋" w:cs="仿宋"/>
          <w:color w:val="333333"/>
          <w:kern w:val="0"/>
          <w:sz w:val="32"/>
          <w:szCs w:val="32"/>
        </w:rPr>
        <w:t>年年末实有在编人数</w:t>
      </w:r>
      <w:r>
        <w:rPr>
          <w:rFonts w:hint="eastAsia" w:ascii="仿宋" w:hAnsi="仿宋" w:eastAsia="仿宋" w:cs="仿宋"/>
          <w:color w:val="333333"/>
          <w:kern w:val="0"/>
          <w:sz w:val="32"/>
          <w:szCs w:val="32"/>
          <w:lang w:val="en-US" w:eastAsia="zh-CN"/>
        </w:rPr>
        <w:t>46</w:t>
      </w:r>
      <w:r>
        <w:rPr>
          <w:rFonts w:hint="eastAsia" w:ascii="仿宋" w:hAnsi="仿宋" w:eastAsia="仿宋" w:cs="仿宋"/>
          <w:color w:val="333333"/>
          <w:kern w:val="0"/>
          <w:sz w:val="32"/>
          <w:szCs w:val="32"/>
        </w:rPr>
        <w:t>人，退休2</w:t>
      </w: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人，临聘市场清洁人员</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eastAsia="zh-CN"/>
        </w:rPr>
        <w:t>。</w:t>
      </w:r>
    </w:p>
    <w:p w14:paraId="030AD9C0">
      <w:pPr>
        <w:widowControl/>
        <w:spacing w:line="600" w:lineRule="exact"/>
        <w:ind w:firstLine="640" w:firstLineChars="200"/>
        <w:rPr>
          <w:rFonts w:hint="default" w:ascii="仿宋" w:hAnsi="仿宋" w:eastAsia="仿宋" w:cs="仿宋"/>
          <w:bCs/>
          <w:kern w:val="0"/>
          <w:sz w:val="32"/>
          <w:szCs w:val="32"/>
          <w:lang w:val="en-US" w:eastAsia="zh-CN"/>
        </w:rPr>
      </w:pPr>
      <w:r>
        <w:rPr>
          <w:rFonts w:hint="eastAsia" w:ascii="微软雅黑" w:hAnsi="微软雅黑" w:eastAsia="微软雅黑" w:cs="微软雅黑"/>
          <w:bCs/>
          <w:kern w:val="0"/>
          <w:sz w:val="32"/>
          <w:szCs w:val="32"/>
        </w:rPr>
        <w:t>（二）决算单位构成。</w:t>
      </w:r>
      <w:r>
        <w:rPr>
          <w:rFonts w:hint="eastAsia" w:ascii="仿宋" w:hAnsi="仿宋" w:eastAsia="仿宋" w:cs="仿宋"/>
          <w:color w:val="333333"/>
          <w:kern w:val="0"/>
          <w:sz w:val="32"/>
          <w:szCs w:val="32"/>
        </w:rPr>
        <w:t>岳阳县市场建设管理中心</w:t>
      </w:r>
      <w:r>
        <w:rPr>
          <w:rFonts w:hint="eastAsia" w:ascii="仿宋" w:hAnsi="仿宋" w:eastAsia="仿宋" w:cs="仿宋"/>
          <w:color w:val="333333"/>
          <w:kern w:val="0"/>
          <w:sz w:val="32"/>
          <w:szCs w:val="32"/>
          <w:lang w:val="en-US" w:eastAsia="zh-CN"/>
        </w:rPr>
        <w:t>属于岳阳县商务粮食局的下属公益二类事业单位，</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w:t>
      </w:r>
      <w:r>
        <w:rPr>
          <w:rFonts w:hint="eastAsia" w:ascii="仿宋" w:hAnsi="仿宋" w:eastAsia="仿宋" w:cs="仿宋"/>
          <w:bCs/>
          <w:kern w:val="0"/>
          <w:sz w:val="32"/>
          <w:szCs w:val="32"/>
          <w:lang w:eastAsia="zh-CN"/>
        </w:rPr>
        <w:t>为</w:t>
      </w:r>
      <w:r>
        <w:rPr>
          <w:rFonts w:hint="eastAsia" w:ascii="仿宋" w:hAnsi="仿宋" w:eastAsia="仿宋" w:cs="仿宋"/>
          <w:color w:val="333333"/>
          <w:kern w:val="0"/>
          <w:sz w:val="32"/>
          <w:szCs w:val="32"/>
        </w:rPr>
        <w:t>岳阳县市场建设管理中心</w:t>
      </w:r>
      <w:r>
        <w:rPr>
          <w:rFonts w:hint="eastAsia" w:ascii="仿宋" w:hAnsi="仿宋" w:eastAsia="仿宋" w:cs="仿宋"/>
          <w:bCs/>
          <w:kern w:val="0"/>
          <w:sz w:val="32"/>
          <w:szCs w:val="32"/>
        </w:rPr>
        <w:t>本级</w:t>
      </w:r>
      <w:r>
        <w:rPr>
          <w:rFonts w:hint="eastAsia" w:ascii="仿宋" w:hAnsi="仿宋" w:eastAsia="仿宋" w:cs="仿宋"/>
          <w:bCs/>
          <w:kern w:val="0"/>
          <w:sz w:val="32"/>
          <w:szCs w:val="32"/>
          <w:lang w:eastAsia="zh-CN"/>
        </w:rPr>
        <w:t>。</w:t>
      </w:r>
    </w:p>
    <w:p w14:paraId="52C618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Cs/>
          <w:kern w:val="0"/>
          <w:sz w:val="32"/>
          <w:szCs w:val="32"/>
        </w:rPr>
      </w:pPr>
    </w:p>
    <w:p w14:paraId="2580A6B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p>
    <w:p w14:paraId="7A7504E3">
      <w:pPr>
        <w:jc w:val="center"/>
        <w:rPr>
          <w:rFonts w:hint="eastAsia" w:ascii="微软雅黑" w:hAnsi="微软雅黑" w:eastAsia="微软雅黑" w:cs="微软雅黑"/>
          <w:sz w:val="72"/>
          <w:szCs w:val="72"/>
        </w:rPr>
      </w:pP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5"/>
        <w:jc w:val="center"/>
        <w:rPr>
          <w:rFonts w:hint="eastAsia" w:ascii="微软雅黑" w:hAnsi="微软雅黑" w:eastAsia="微软雅黑" w:cs="微软雅黑"/>
          <w:sz w:val="84"/>
          <w:szCs w:val="84"/>
        </w:rPr>
      </w:pPr>
    </w:p>
    <w:p w14:paraId="29224D5D">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5"/>
        <w:jc w:val="center"/>
        <w:rPr>
          <w:rFonts w:hint="eastAsia" w:ascii="微软雅黑" w:hAnsi="微软雅黑" w:eastAsia="微软雅黑" w:cs="微软雅黑"/>
          <w:b/>
          <w:bCs/>
          <w:sz w:val="72"/>
          <w:szCs w:val="72"/>
        </w:rPr>
      </w:pPr>
    </w:p>
    <w:p w14:paraId="36C01BF0">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00F9EF25">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8F864">
      <w:pPr>
        <w:pStyle w:val="15"/>
        <w:jc w:val="center"/>
        <w:rPr>
          <w:rFonts w:hint="eastAsia" w:ascii="微软雅黑" w:hAnsi="微软雅黑" w:eastAsia="微软雅黑" w:cs="微软雅黑"/>
          <w:sz w:val="72"/>
          <w:szCs w:val="72"/>
        </w:rPr>
      </w:pPr>
    </w:p>
    <w:p w14:paraId="0B052895">
      <w:pPr>
        <w:pStyle w:val="15"/>
        <w:jc w:val="center"/>
        <w:rPr>
          <w:rFonts w:hint="eastAsia" w:ascii="微软雅黑" w:hAnsi="微软雅黑" w:eastAsia="微软雅黑" w:cs="微软雅黑"/>
          <w:sz w:val="72"/>
          <w:szCs w:val="72"/>
        </w:rPr>
      </w:pPr>
    </w:p>
    <w:p w14:paraId="1A38A4B0">
      <w:pPr>
        <w:pStyle w:val="15"/>
        <w:jc w:val="center"/>
        <w:rPr>
          <w:rFonts w:hint="eastAsia" w:ascii="微软雅黑" w:hAnsi="微软雅黑" w:eastAsia="微软雅黑" w:cs="微软雅黑"/>
          <w:sz w:val="72"/>
          <w:szCs w:val="72"/>
        </w:rPr>
      </w:pPr>
    </w:p>
    <w:p w14:paraId="09AF1447">
      <w:pPr>
        <w:pStyle w:val="15"/>
        <w:jc w:val="center"/>
        <w:rPr>
          <w:rFonts w:hint="eastAsia" w:ascii="微软雅黑" w:hAnsi="微软雅黑" w:eastAsia="微软雅黑" w:cs="微软雅黑"/>
          <w:sz w:val="72"/>
          <w:szCs w:val="72"/>
        </w:rPr>
      </w:pPr>
    </w:p>
    <w:p w14:paraId="1AC08E3D">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928C40F">
      <w:pPr>
        <w:pStyle w:val="15"/>
        <w:jc w:val="center"/>
        <w:rPr>
          <w:rFonts w:hint="eastAsia" w:ascii="微软雅黑" w:hAnsi="微软雅黑" w:eastAsia="微软雅黑" w:cs="微软雅黑"/>
          <w:b/>
          <w:bCs/>
          <w:sz w:val="70"/>
          <w:szCs w:val="70"/>
        </w:rPr>
      </w:pPr>
    </w:p>
    <w:p w14:paraId="2DD92FE3">
      <w:pPr>
        <w:pStyle w:val="15"/>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2024</w:t>
      </w:r>
      <w:r>
        <w:rPr>
          <w:rFonts w:hint="eastAsia" w:ascii="微软雅黑" w:hAnsi="微软雅黑" w:eastAsia="微软雅黑" w:cs="微软雅黑"/>
          <w:b/>
          <w:bCs/>
          <w:sz w:val="70"/>
          <w:szCs w:val="70"/>
        </w:rPr>
        <w:t>年度部门决算情况说明</w:t>
      </w:r>
    </w:p>
    <w:p w14:paraId="422B5A88">
      <w:pPr>
        <w:pStyle w:val="15"/>
        <w:jc w:val="center"/>
        <w:rPr>
          <w:rFonts w:hint="eastAsia" w:ascii="微软雅黑" w:hAnsi="微软雅黑" w:eastAsia="微软雅黑" w:cs="微软雅黑"/>
          <w:sz w:val="70"/>
          <w:szCs w:val="70"/>
        </w:rPr>
      </w:pPr>
    </w:p>
    <w:p w14:paraId="7701B91A">
      <w:pPr>
        <w:pStyle w:val="15"/>
        <w:jc w:val="center"/>
        <w:rPr>
          <w:rFonts w:hint="eastAsia" w:ascii="微软雅黑" w:hAnsi="微软雅黑" w:eastAsia="微软雅黑" w:cs="微软雅黑"/>
          <w:sz w:val="70"/>
          <w:szCs w:val="70"/>
        </w:rPr>
      </w:pPr>
    </w:p>
    <w:p w14:paraId="47981D21">
      <w:pPr>
        <w:pStyle w:val="15"/>
        <w:jc w:val="center"/>
        <w:rPr>
          <w:rFonts w:hint="eastAsia" w:ascii="微软雅黑" w:hAnsi="微软雅黑" w:eastAsia="微软雅黑" w:cs="微软雅黑"/>
          <w:sz w:val="70"/>
          <w:szCs w:val="70"/>
        </w:rPr>
      </w:pPr>
    </w:p>
    <w:p w14:paraId="17FCB2AF">
      <w:pPr>
        <w:pStyle w:val="15"/>
        <w:jc w:val="center"/>
        <w:rPr>
          <w:rFonts w:hint="eastAsia" w:ascii="微软雅黑" w:hAnsi="微软雅黑" w:eastAsia="微软雅黑" w:cs="微软雅黑"/>
          <w:sz w:val="70"/>
          <w:szCs w:val="70"/>
        </w:rPr>
      </w:pPr>
    </w:p>
    <w:p w14:paraId="2CA93B76">
      <w:pPr>
        <w:pStyle w:val="15"/>
        <w:jc w:val="center"/>
        <w:rPr>
          <w:rFonts w:hint="eastAsia" w:ascii="微软雅黑" w:hAnsi="微软雅黑" w:eastAsia="微软雅黑" w:cs="微软雅黑"/>
          <w:sz w:val="70"/>
          <w:szCs w:val="70"/>
        </w:rPr>
      </w:pPr>
    </w:p>
    <w:p w14:paraId="0AB426D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2024年度收、支总计617.86万元。与上年相比，减少82.31万元，减少11.76%，主要是因为有人员调出和退休，减少了工资福利、津贴补贴等。</w:t>
      </w:r>
    </w:p>
    <w:p w14:paraId="2E3574C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2024年度收入合计617.08万元，其中：财政拨款收入601.90万元，占97.54%；上级补助收入0万元，占0%；事业收入0万元，占0%；经营收入0万元，占0%；附属单位上缴收入0万元，占0%；其他收入15.18万元，占2.46%。</w:t>
      </w:r>
    </w:p>
    <w:p w14:paraId="41B031C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2024年度支出合计615.82万元，其中：基本支出570.73万元，占92.68%；项目支出45.09万元，占7.32%；上缴上级支出0万元，占0%；经营支出0万元，占0%；对附属单位补助支出0万元，占0%。</w:t>
      </w:r>
    </w:p>
    <w:p w14:paraId="440FCE0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07470B1C">
      <w:pPr>
        <w:pStyle w:val="15"/>
        <w:keepNext w:val="0"/>
        <w:keepLines w:val="0"/>
        <w:pageBreakBefore w:val="0"/>
        <w:widowControl w:val="0"/>
        <w:kinsoku/>
        <w:wordWrap/>
        <w:overflowPunct/>
        <w:topLinePunct w:val="0"/>
        <w:bidi w:val="0"/>
        <w:snapToGrid/>
        <w:spacing w:line="600" w:lineRule="exact"/>
        <w:ind w:firstLine="640"/>
        <w:textAlignment w:val="auto"/>
        <w:rPr>
          <w:rFonts w:ascii="微软雅黑" w:hAnsi="微软雅黑" w:eastAsia="微软雅黑" w:cs="微软雅黑"/>
          <w:sz w:val="32"/>
        </w:rPr>
      </w:pPr>
      <w:r>
        <w:rPr>
          <w:rFonts w:hint="eastAsia" w:ascii="Times New Roman" w:hAnsi="Times New Roman" w:eastAsia="仿宋_GB2312" w:cs="Times New Roman"/>
          <w:color w:val="auto"/>
          <w:kern w:val="0"/>
          <w:sz w:val="32"/>
          <w:szCs w:val="32"/>
          <w:lang w:val="en-US" w:eastAsia="zh-CN" w:bidi="ar-SA"/>
        </w:rPr>
        <w:t>2024年度财政拨款收、支总计602.68万元，与上年相比，减少25.97万元,减少4.13%，主要是因为有人员调出和退休，减少了工资福利、津贴补贴等。</w:t>
      </w:r>
    </w:p>
    <w:p w14:paraId="2DCAE40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0AEDEDE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Times New Roman" w:hAnsi="Times New Roman" w:eastAsia="仿宋_GB2312" w:cs="Times New Roman"/>
          <w:color w:val="auto"/>
          <w:kern w:val="0"/>
          <w:sz w:val="32"/>
          <w:szCs w:val="32"/>
          <w:lang w:val="en-US" w:eastAsia="zh-CN" w:bidi="ar-SA"/>
        </w:rPr>
        <w:t>2024年度财政拨款支出602.64万元，占本年支出合计的97.86%，与上年相比，财政拨款支出减少25.23万元，减少4.02%，主要是因为有人员调出和退休，减少了工资福利、津贴补贴等。</w:t>
      </w:r>
    </w:p>
    <w:p w14:paraId="64556F6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723126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财政拨款支出602.64万元，主要用于以下方面：一般公共服务（类）支出0万元，占0%；教育（类）支出28.34万元，占4.70%;科学技术（类）支出12万元，占2%;社会保障和就业（类）支出60.77万元，占10.08%；卫生健康（类）支出28.78万元，占4.78%；城乡社区（类）支出21.68万元，占3.6%;商业服务业（类）支出415.05万元，占68.87%；住房保障（类）支出36.02万元，占5.97%。</w:t>
      </w:r>
    </w:p>
    <w:p w14:paraId="40FE352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2024年度财政拨款支出年初预算数为543.99万元，支出决算数为602.64万元，完成年初预算的110.78%，其中：</w:t>
      </w:r>
    </w:p>
    <w:p w14:paraId="105F29F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1、教育支出（类）普通教育（款）其他普通教育支出（项）。</w:t>
      </w:r>
    </w:p>
    <w:p w14:paraId="6A8F868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年初预算为0万元,支出决算为28.34 万元，因为预算数为0，无法计算百分比,决算数大于年初预算数的主要原因是增加了市场临聘人员的经费支出。</w:t>
      </w:r>
    </w:p>
    <w:p w14:paraId="77B33F5C">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2、</w:t>
      </w:r>
      <w:r>
        <w:rPr>
          <w:rFonts w:hint="default" w:ascii="Times New Roman" w:hAnsi="Times New Roman" w:eastAsia="仿宋_GB2312" w:cs="Times New Roman"/>
          <w:color w:val="auto"/>
          <w:kern w:val="0"/>
          <w:sz w:val="32"/>
          <w:szCs w:val="32"/>
          <w:lang w:val="en-US" w:eastAsia="zh-CN" w:bidi="ar-SA"/>
        </w:rPr>
        <w:t>科学技术支出</w:t>
      </w:r>
      <w:r>
        <w:rPr>
          <w:rFonts w:hint="eastAsia" w:ascii="Times New Roman" w:hAnsi="Times New Roman" w:eastAsia="仿宋_GB2312" w:cs="Times New Roman"/>
          <w:color w:val="auto"/>
          <w:kern w:val="0"/>
          <w:sz w:val="32"/>
          <w:szCs w:val="32"/>
          <w:lang w:val="en-US" w:eastAsia="zh-CN" w:bidi="ar-SA"/>
        </w:rPr>
        <w:t>（类）技术研究与开发（款）科技成果转化与扩散（项）</w:t>
      </w:r>
    </w:p>
    <w:p w14:paraId="22BAB2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年初预算为0万元,支出决算为12 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 xml:space="preserve">,决算数大于年初预算数的主要原因是增加了退休人员的经费开支。       </w:t>
      </w:r>
    </w:p>
    <w:p w14:paraId="3A613F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3、社会保障和就业支出（类）行政事业单位养老支出（款）机关事业单位基本养老保险缴费支出（项）。</w:t>
      </w:r>
    </w:p>
    <w:p w14:paraId="0C05E5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年初预算为48.48万元,支出决算为47.74 万元，完成年初预算的98.47%,决算数小于年初预算数的主要原因是人员调出、退休减少了经费支出。</w:t>
      </w:r>
    </w:p>
    <w:p w14:paraId="5ACD23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4、社会保障和就业支出（类）就业补助（款）其他就业补助支出（项）。</w:t>
      </w:r>
    </w:p>
    <w:p w14:paraId="7879F3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年初预算为0万元,支出决算为10万元，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,决算数大于年初预算数的主要原因是增加了市场临聘人员经费支出。</w:t>
      </w:r>
    </w:p>
    <w:p w14:paraId="0905596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5、社会保障和就业支出（类）其他社会保障和就业支出（款）其他社会保障和就业支出（项）。</w:t>
      </w:r>
    </w:p>
    <w:p w14:paraId="6AABE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年初预算为3.03万元,支出决算为3.03万元，完成年初预算的100%。决算数与年初数持平的主要原因是严格执行预算。</w:t>
      </w:r>
    </w:p>
    <w:p w14:paraId="32FCE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6、卫生健康支出（类）行政事业单位医疗（款）事业单位医疗（项）。</w:t>
      </w:r>
    </w:p>
    <w:p w14:paraId="2D662B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年初预算为25.75万元,支出决算为25.75万元，完成年初预算的100%。决算数与年初数持平的主要原因是严格执行预算。</w:t>
      </w:r>
    </w:p>
    <w:p w14:paraId="6DBCC3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7、卫生健康支出（类）行政事业单位医疗（款）公务员医疗补助（项）。</w:t>
      </w:r>
    </w:p>
    <w:p w14:paraId="342324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年初预算为3.03万元,支出决算为3.03万元，完成年初预算的100%。决算数与年初数持平的主要原因是严格执行预算。</w:t>
      </w:r>
    </w:p>
    <w:p w14:paraId="29FAE9F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8、城乡社区支出（类）建设市场管理与监督（款）建设市场管理与监督（项）</w:t>
      </w:r>
    </w:p>
    <w:p w14:paraId="5C7E9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年初预算为0万元,支出决算为21.68 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 xml:space="preserve">,决算数大于年初预算数的主要原因是增加了乡村振兴人员经费开支。 </w:t>
      </w:r>
    </w:p>
    <w:p w14:paraId="33813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9、商业服务业等支出（类）商业流通事务（款）市场监测及信息管理（项）。</w:t>
      </w:r>
    </w:p>
    <w:p w14:paraId="5E90C6E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年初预算为426.51万元,支出决算为414.22万元，完成年初预算的97.12%，决算数小于年初预算数的主要原因是压缩了开支。</w:t>
      </w:r>
    </w:p>
    <w:p w14:paraId="765CB42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10、商业服务业等支出（类）其他商业服务业等支出（款）其他商业服务业等支出（项）。</w:t>
      </w:r>
    </w:p>
    <w:p w14:paraId="5D3BA3C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年初预算为0.83万元,支出决算为0.83万元，完成年初预算的100%,决算数与年初数持平的主要原因是严格执行预算。</w:t>
      </w:r>
    </w:p>
    <w:p w14:paraId="04B9636E">
      <w:pPr>
        <w:widowControl/>
        <w:numPr>
          <w:ilvl w:val="0"/>
          <w:numId w:val="0"/>
        </w:numPr>
        <w:spacing w:line="60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11、住房保障（类）住房改革支出（款）住房公积金（项）。</w:t>
      </w:r>
    </w:p>
    <w:p w14:paraId="4D64AE4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Times New Roman" w:hAnsi="Times New Roman" w:eastAsia="仿宋_GB2312" w:cs="Times New Roman"/>
          <w:color w:val="auto"/>
          <w:kern w:val="0"/>
          <w:sz w:val="32"/>
          <w:szCs w:val="32"/>
          <w:lang w:val="en-US" w:eastAsia="zh-CN" w:bidi="ar-SA"/>
        </w:rPr>
        <w:t>年初预算为36.36万元,支出决算为36.02万元，完成年初预算的99.06%。决算数小于年初预算数的主要原因是压缩了开支。</w:t>
      </w:r>
    </w:p>
    <w:p w14:paraId="5C5C91D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color w:val="000000" w:themeColor="text1"/>
          <w:sz w:val="32"/>
          <w:szCs w:val="32"/>
          <w14:textFill>
            <w14:solidFill>
              <w14:schemeClr w14:val="tx1"/>
            </w14:solidFill>
          </w14:textFill>
        </w:rPr>
        <w:t>六、一般公共预算财政拨款基本支出决算情况说明</w:t>
      </w:r>
    </w:p>
    <w:p w14:paraId="25B37939">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2024年度财政拨款基本支出557.55万元，其中：</w:t>
      </w:r>
    </w:p>
    <w:p w14:paraId="24C1584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Times New Roman" w:hAnsi="Times New Roman" w:eastAsia="仿宋_GB2312" w:cs="Times New Roman"/>
          <w:color w:val="auto"/>
          <w:kern w:val="0"/>
          <w:sz w:val="32"/>
          <w:szCs w:val="32"/>
          <w:lang w:val="en-US" w:eastAsia="zh-CN" w:bidi="ar-SA"/>
        </w:rPr>
        <w:t>人员经费540.4万元，占基本支出的96.92%,主要包括基本工资、津贴补贴、奖金、伙食补助费、绩效工资、机关事业单位基本养老保险缴费、职业年金缴费、其他社会保障缴费、其他工资福利支出、抚恤金、生活补助、医疗费、奖励金、住房公积金、其他对个人和家庭的补助支出等；</w:t>
      </w:r>
    </w:p>
    <w:p w14:paraId="2B8E5F85">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Times New Roman" w:hAnsi="Times New Roman" w:eastAsia="仿宋_GB2312" w:cs="Times New Roman"/>
          <w:color w:val="auto"/>
          <w:kern w:val="0"/>
          <w:sz w:val="32"/>
          <w:szCs w:val="32"/>
          <w:lang w:val="en-US" w:eastAsia="zh-CN" w:bidi="ar-SA"/>
        </w:rPr>
        <w:t>公用经费17.15万元，占基本支出的3.08%，主要包括办公费、印刷费、咨询费、手续费、水费、电费、邮电费、物业管理费、差旅费、维修（护）费、培训费、公务接待费、专用材料费、劳务费、工会经费、其他交通费用、其他商品和服务支出、办公设备购置等。</w:t>
      </w:r>
    </w:p>
    <w:p w14:paraId="186AF02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4A3702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auto"/>
          <w:kern w:val="0"/>
          <w:sz w:val="32"/>
          <w:szCs w:val="32"/>
          <w:lang w:val="en-US" w:eastAsia="zh-CN" w:bidi="ar-SA"/>
        </w:rPr>
        <w:t>2024年度本单位无政府性基金收支。</w:t>
      </w:r>
    </w:p>
    <w:p w14:paraId="34AD6CAF">
      <w:pPr>
        <w:pStyle w:val="15"/>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2024年度本单位无国有资本经营预算财政拨款支出。</w:t>
      </w:r>
    </w:p>
    <w:p w14:paraId="03EF82A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5"/>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“三公”经费财政拨款支出预算为0万元，支出决算为0万元，因为预算数为0，无法计算百分比，其中：</w:t>
      </w:r>
    </w:p>
    <w:p w14:paraId="716380C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Times New Roman" w:hAnsi="Times New Roman" w:eastAsia="仿宋_GB2312" w:cs="Times New Roman"/>
          <w:color w:val="auto"/>
          <w:kern w:val="0"/>
          <w:sz w:val="32"/>
          <w:szCs w:val="32"/>
          <w:lang w:val="en-US" w:eastAsia="zh-CN" w:bidi="ar-SA"/>
        </w:rPr>
        <w:t>因公出国（境）费支出预算为0万元，支出决算为0万元，因为预算数为0，无法计算百分比，决算数与预算数持</w:t>
      </w:r>
      <w:r>
        <w:rPr>
          <w:rFonts w:hint="eastAsia" w:ascii="仿宋" w:hAnsi="仿宋" w:eastAsia="仿宋" w:cs="仿宋"/>
          <w:sz w:val="32"/>
          <w:szCs w:val="32"/>
          <w:lang w:eastAsia="zh-CN"/>
        </w:rPr>
        <w:t>平，且</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Times New Roman" w:hAnsi="Times New Roman" w:eastAsia="仿宋_GB2312"/>
          <w:sz w:val="32"/>
          <w:szCs w:val="32"/>
        </w:rPr>
        <w:t>原因是</w:t>
      </w:r>
      <w:r>
        <w:rPr>
          <w:rFonts w:hint="eastAsia" w:ascii="仿宋" w:hAnsi="仿宋" w:eastAsia="仿宋" w:cs="仿宋"/>
          <w:i w:val="0"/>
          <w:iCs w:val="0"/>
          <w:caps w:val="0"/>
          <w:color w:val="000000"/>
          <w:spacing w:val="0"/>
          <w:sz w:val="32"/>
          <w:szCs w:val="32"/>
          <w:shd w:val="clear" w:color="auto" w:fill="FFFFFF"/>
        </w:rPr>
        <w:t>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因公出国（境）</w:t>
      </w:r>
      <w:r>
        <w:rPr>
          <w:rFonts w:hint="eastAsia" w:ascii="仿宋" w:hAnsi="仿宋" w:eastAsia="仿宋" w:cs="仿宋"/>
          <w:i w:val="0"/>
          <w:iCs w:val="0"/>
          <w:caps w:val="0"/>
          <w:color w:val="000000"/>
          <w:spacing w:val="0"/>
          <w:sz w:val="32"/>
          <w:szCs w:val="32"/>
          <w:shd w:val="clear" w:color="auto" w:fill="FFFFFF"/>
          <w:lang w:eastAsia="zh-CN"/>
        </w:rPr>
        <w:t>费支出。</w:t>
      </w:r>
    </w:p>
    <w:p w14:paraId="112BB7D1">
      <w:pPr>
        <w:pStyle w:val="15"/>
        <w:ind w:firstLine="640" w:firstLineChars="200"/>
        <w:rPr>
          <w:rFonts w:hint="eastAsia" w:ascii="仿宋" w:hAnsi="仿宋" w:eastAsia="仿宋" w:cs="仿宋"/>
          <w:i w:val="0"/>
          <w:iCs w:val="0"/>
          <w:caps w:val="0"/>
          <w:color w:val="000000"/>
          <w:spacing w:val="0"/>
          <w:sz w:val="32"/>
          <w:szCs w:val="32"/>
          <w:shd w:val="clear" w:color="auto" w:fill="FFFFFF"/>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且</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Times New Roman" w:hAnsi="Times New Roman" w:eastAsia="仿宋_GB2312"/>
          <w:sz w:val="32"/>
          <w:szCs w:val="32"/>
        </w:rPr>
        <w:t>主要原因是</w:t>
      </w:r>
      <w:r>
        <w:rPr>
          <w:rFonts w:hint="eastAsia" w:ascii="仿宋" w:hAnsi="仿宋" w:eastAsia="仿宋" w:cs="仿宋"/>
          <w:i w:val="0"/>
          <w:iCs w:val="0"/>
          <w:caps w:val="0"/>
          <w:color w:val="000000"/>
          <w:spacing w:val="0"/>
          <w:sz w:val="32"/>
          <w:szCs w:val="32"/>
          <w:shd w:val="clear" w:color="auto" w:fill="FFFFFF"/>
        </w:rPr>
        <w:t>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无公务接待费支出。</w:t>
      </w:r>
    </w:p>
    <w:p w14:paraId="3E42514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且</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数持平。主要</w:t>
      </w:r>
      <w:r>
        <w:rPr>
          <w:rFonts w:hint="eastAsia" w:ascii="仿宋" w:hAnsi="仿宋" w:eastAsia="仿宋" w:cs="仿宋"/>
          <w:i w:val="0"/>
          <w:iCs w:val="0"/>
          <w:caps w:val="0"/>
          <w:color w:val="000000"/>
          <w:spacing w:val="0"/>
          <w:sz w:val="32"/>
          <w:szCs w:val="32"/>
          <w:shd w:val="clear" w:color="auto" w:fill="FFFFFF"/>
        </w:rPr>
        <w:t>原因是认真贯彻落实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公务用车</w:t>
      </w:r>
      <w:r>
        <w:rPr>
          <w:rFonts w:hint="eastAsia" w:ascii="Times New Roman" w:hAnsi="Times New Roman" w:eastAsia="仿宋_GB2312"/>
          <w:sz w:val="32"/>
          <w:szCs w:val="32"/>
        </w:rPr>
        <w:t>购置费支出</w:t>
      </w:r>
      <w:r>
        <w:rPr>
          <w:rFonts w:hint="eastAsia" w:ascii="Times New Roman" w:hAnsi="Times New Roman" w:eastAsia="仿宋_GB2312"/>
          <w:sz w:val="32"/>
          <w:szCs w:val="32"/>
          <w:lang w:eastAsia="zh-CN"/>
        </w:rPr>
        <w:t>。</w:t>
      </w:r>
    </w:p>
    <w:p w14:paraId="351C5DC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且</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仿宋" w:hAnsi="仿宋" w:eastAsia="仿宋" w:cs="仿宋"/>
          <w:i w:val="0"/>
          <w:iCs w:val="0"/>
          <w:caps w:val="0"/>
          <w:color w:val="000000"/>
          <w:spacing w:val="0"/>
          <w:sz w:val="32"/>
          <w:szCs w:val="32"/>
          <w:shd w:val="clear" w:color="auto" w:fill="FFFFFF"/>
        </w:rPr>
        <w:t>原因是认真贯彻落实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公务用车运行维护费支出</w:t>
      </w:r>
      <w:r>
        <w:rPr>
          <w:rFonts w:hint="eastAsia" w:ascii="仿宋" w:hAnsi="仿宋" w:eastAsia="仿宋" w:cs="仿宋"/>
          <w:sz w:val="32"/>
          <w:szCs w:val="32"/>
        </w:rPr>
        <w:t>。</w:t>
      </w:r>
    </w:p>
    <w:p w14:paraId="7130F27B">
      <w:pPr>
        <w:pStyle w:val="1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lang w:eastAsia="zh-CN"/>
        </w:rPr>
        <w:t>2024</w:t>
      </w:r>
      <w:r>
        <w:rPr>
          <w:rFonts w:hint="eastAsia" w:ascii="仿宋" w:hAnsi="仿宋" w:eastAsia="仿宋" w:cs="仿宋"/>
          <w:i w:val="0"/>
          <w:iCs w:val="0"/>
          <w:caps w:val="0"/>
          <w:color w:val="000000"/>
          <w:spacing w:val="0"/>
          <w:sz w:val="32"/>
          <w:szCs w:val="32"/>
          <w:shd w:val="clear" w:color="auto" w:fill="FFFFFF"/>
        </w:rPr>
        <w:t>年度“三公”经费财政拨款支出决算中，公务接待费支出决算0万元，占0%,因公出国（境）费支出决算0万元，占0%,公务用车购置费及运行维护费支出决算0万元，占0%。其中：</w:t>
      </w:r>
    </w:p>
    <w:p w14:paraId="6F5543D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因公出国（境）费支出决算为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万元，全年安排因公出国（境）团组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个，累计</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人次</w:t>
      </w:r>
      <w:r>
        <w:rPr>
          <w:rFonts w:hint="eastAsia" w:ascii="仿宋" w:hAnsi="仿宋" w:eastAsia="仿宋" w:cs="仿宋"/>
          <w:i w:val="0"/>
          <w:iCs w:val="0"/>
          <w:caps w:val="0"/>
          <w:color w:val="000000"/>
          <w:spacing w:val="0"/>
          <w:sz w:val="32"/>
          <w:szCs w:val="32"/>
          <w:shd w:val="clear" w:color="auto" w:fill="FFFFFF"/>
          <w:lang w:eastAsia="zh-CN"/>
        </w:rPr>
        <w:t>。</w:t>
      </w:r>
    </w:p>
    <w:p w14:paraId="385FCC5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2、公务接待费支出决算为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万元，全年共接待来访团组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个、来宾</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人次</w:t>
      </w:r>
      <w:r>
        <w:rPr>
          <w:rFonts w:hint="eastAsia" w:ascii="仿宋" w:hAnsi="仿宋" w:eastAsia="仿宋" w:cs="仿宋"/>
          <w:i w:val="0"/>
          <w:iCs w:val="0"/>
          <w:caps w:val="0"/>
          <w:color w:val="000000"/>
          <w:spacing w:val="0"/>
          <w:sz w:val="32"/>
          <w:szCs w:val="32"/>
          <w:shd w:val="clear" w:color="auto" w:fill="FFFFFF"/>
          <w:lang w:eastAsia="zh-CN"/>
        </w:rPr>
        <w:t>。</w:t>
      </w:r>
    </w:p>
    <w:p w14:paraId="75EA88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rPr>
        <w:t>3、公务用车购置费及运行维护费支出决算为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万元，其中：公务用车购置费</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岳阳县市场建设管理中心更新公务用车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辆。公务用车运行维护费</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万元，截</w:t>
      </w:r>
      <w:r>
        <w:rPr>
          <w:rFonts w:hint="eastAsia" w:ascii="仿宋" w:hAnsi="仿宋" w:eastAsia="仿宋" w:cs="仿宋"/>
          <w:i w:val="0"/>
          <w:iCs w:val="0"/>
          <w:caps w:val="0"/>
          <w:color w:val="000000"/>
          <w:spacing w:val="0"/>
          <w:sz w:val="32"/>
          <w:szCs w:val="32"/>
          <w:shd w:val="clear" w:color="auto" w:fill="FFFFFF"/>
          <w:lang w:val="en-US" w:eastAsia="zh-CN"/>
        </w:rPr>
        <w:t>至</w:t>
      </w: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年12月31日，我单位开支财政拨款的公务用车保有量为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辆。</w:t>
      </w:r>
    </w:p>
    <w:p w14:paraId="1B4472F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30BCC5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本级和所属单位均为事业单位，按照机关运行经费的口径，本年度机关运行经费为</w:t>
      </w:r>
      <w:r>
        <w:rPr>
          <w:rFonts w:hint="eastAsia" w:ascii="仿宋" w:hAnsi="仿宋" w:eastAsia="仿宋" w:cs="仿宋"/>
          <w:i w:val="0"/>
          <w:iCs w:val="0"/>
          <w:caps w:val="0"/>
          <w:color w:val="000000"/>
          <w:spacing w:val="0"/>
          <w:sz w:val="32"/>
          <w:szCs w:val="32"/>
          <w:shd w:val="clear" w:color="auto" w:fill="FFFFFF"/>
          <w:lang w:val="en-US" w:eastAsia="zh-CN"/>
        </w:rPr>
        <w:t>0。</w:t>
      </w:r>
    </w:p>
    <w:p w14:paraId="5835FDE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2024年本部门开支会议费0万元，开支培训费1.4</w:t>
      </w:r>
      <w:r>
        <w:rPr>
          <w:rFonts w:hint="eastAsia" w:ascii="仿宋" w:hAnsi="仿宋" w:eastAsia="仿宋" w:cs="仿宋"/>
          <w:i w:val="0"/>
          <w:iCs w:val="0"/>
          <w:caps w:val="0"/>
          <w:color w:val="000000"/>
          <w:spacing w:val="0"/>
          <w:sz w:val="32"/>
          <w:szCs w:val="32"/>
          <w:shd w:val="clear" w:color="auto" w:fill="FFFFFF"/>
          <w:lang w:val="en-US" w:eastAsia="zh-CN"/>
        </w:rPr>
        <w:t>9</w:t>
      </w:r>
      <w:r>
        <w:rPr>
          <w:rFonts w:hint="eastAsia" w:ascii="仿宋" w:hAnsi="仿宋" w:eastAsia="仿宋" w:cs="仿宋"/>
          <w:i w:val="0"/>
          <w:iCs w:val="0"/>
          <w:caps w:val="0"/>
          <w:color w:val="000000"/>
          <w:spacing w:val="0"/>
          <w:sz w:val="32"/>
          <w:szCs w:val="32"/>
          <w:shd w:val="clear" w:color="auto" w:fill="FFFFFF"/>
          <w:lang w:eastAsia="zh-CN"/>
        </w:rPr>
        <w:t>万元，用于开展事业单位在岗人员培训，人数</w:t>
      </w:r>
      <w:r>
        <w:rPr>
          <w:rFonts w:hint="eastAsia" w:ascii="仿宋" w:hAnsi="仿宋" w:eastAsia="仿宋" w:cs="仿宋"/>
          <w:i w:val="0"/>
          <w:iCs w:val="0"/>
          <w:caps w:val="0"/>
          <w:color w:val="000000"/>
          <w:spacing w:val="0"/>
          <w:sz w:val="32"/>
          <w:szCs w:val="32"/>
          <w:shd w:val="clear" w:color="auto" w:fill="FFFFFF"/>
          <w:lang w:val="en-US" w:eastAsia="zh-CN"/>
        </w:rPr>
        <w:t>36</w:t>
      </w:r>
      <w:r>
        <w:rPr>
          <w:rFonts w:hint="eastAsia" w:ascii="仿宋" w:hAnsi="仿宋" w:eastAsia="仿宋" w:cs="仿宋"/>
          <w:i w:val="0"/>
          <w:iCs w:val="0"/>
          <w:caps w:val="0"/>
          <w:color w:val="000000"/>
          <w:spacing w:val="0"/>
          <w:sz w:val="32"/>
          <w:szCs w:val="32"/>
          <w:shd w:val="clear" w:color="auto" w:fill="FFFFFF"/>
          <w:lang w:eastAsia="zh-CN"/>
        </w:rPr>
        <w:t>人，内容为在岗培训和二十届三中全会学习培训；</w:t>
      </w:r>
      <w:r>
        <w:rPr>
          <w:rFonts w:hint="eastAsia" w:ascii="仿宋" w:hAnsi="仿宋" w:eastAsia="仿宋" w:cs="仿宋"/>
          <w:i w:val="0"/>
          <w:iCs w:val="0"/>
          <w:caps w:val="0"/>
          <w:color w:val="000000"/>
          <w:spacing w:val="0"/>
          <w:sz w:val="32"/>
          <w:szCs w:val="32"/>
          <w:shd w:val="clear" w:color="auto" w:fill="FFFFFF"/>
          <w:lang w:val="en-US" w:eastAsia="zh-CN"/>
        </w:rPr>
        <w:t>2024年本单位未</w:t>
      </w:r>
      <w:r>
        <w:rPr>
          <w:rFonts w:hint="eastAsia" w:ascii="仿宋" w:hAnsi="仿宋" w:eastAsia="仿宋" w:cs="仿宋"/>
          <w:i w:val="0"/>
          <w:iCs w:val="0"/>
          <w:caps w:val="0"/>
          <w:color w:val="000000"/>
          <w:spacing w:val="0"/>
          <w:sz w:val="32"/>
          <w:szCs w:val="32"/>
          <w:shd w:val="clear" w:color="auto" w:fill="FFFFFF"/>
          <w:lang w:eastAsia="zh-CN"/>
        </w:rPr>
        <w:t>举办节庆、晚会、论坛、赛事等活动，开支</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w:t>
      </w:r>
    </w:p>
    <w:p w14:paraId="72C3B2C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6107FA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本部门2024年度政府采购支出总额</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lang w:eastAsia="zh-CN"/>
        </w:rPr>
        <w:t>万元</w:t>
      </w:r>
      <w:r>
        <w:rPr>
          <w:rFonts w:hint="eastAsia" w:ascii="微软雅黑" w:hAnsi="微软雅黑" w:eastAsia="微软雅黑" w:cs="微软雅黑"/>
          <w:sz w:val="32"/>
          <w:szCs w:val="32"/>
        </w:rPr>
        <w:t>，</w:t>
      </w:r>
      <w:r>
        <w:rPr>
          <w:rFonts w:hint="eastAsia" w:ascii="仿宋" w:hAnsi="仿宋" w:eastAsia="仿宋" w:cs="仿宋"/>
          <w:i w:val="0"/>
          <w:iCs w:val="0"/>
          <w:caps w:val="0"/>
          <w:color w:val="000000"/>
          <w:spacing w:val="0"/>
          <w:sz w:val="32"/>
          <w:szCs w:val="32"/>
          <w:shd w:val="clear" w:color="auto" w:fill="FFFFFF"/>
          <w:lang w:eastAsia="zh-CN"/>
        </w:rPr>
        <w:t>其中：政府采购货物支出</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lang w:eastAsia="zh-CN"/>
        </w:rPr>
        <w:t>万元、政府采购工程支出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万元、政府采购服务支出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万元。授予中小企业合同金额</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lang w:eastAsia="zh-CN"/>
        </w:rPr>
        <w:t>万元，占政府采购支出总额的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%，其中：授予小微企业合同金额</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lang w:eastAsia="zh-CN"/>
        </w:rPr>
        <w:t>万元，占授予中小企业合同金额的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%。货物采购授予中小企业合同金额占货物支出金额的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%，工程采购授予中小企业合同金额占工程支出金额的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%，服务采购授予中小企业合同金额占服务支出金额的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w:t>
      </w:r>
    </w:p>
    <w:p w14:paraId="2E5EAD4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21BE0C8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仿宋" w:hAnsi="仿宋" w:eastAsia="仿宋" w:cs="仿宋"/>
          <w:i w:val="0"/>
          <w:iCs w:val="0"/>
          <w:caps w:val="0"/>
          <w:color w:val="000000"/>
          <w:spacing w:val="0"/>
          <w:sz w:val="32"/>
          <w:szCs w:val="32"/>
          <w:shd w:val="clear" w:color="auto" w:fill="FFFFFF"/>
          <w:lang w:eastAsia="zh-CN"/>
        </w:rPr>
        <w:t>截至2024年12月31日</w:t>
      </w:r>
      <w:r>
        <w:rPr>
          <w:rFonts w:hint="eastAsia" w:ascii="微软雅黑" w:hAnsi="微软雅黑" w:eastAsia="微软雅黑" w:cs="微软雅黑"/>
          <w:sz w:val="32"/>
          <w:szCs w:val="32"/>
        </w:rPr>
        <w:t>，</w:t>
      </w:r>
      <w:r>
        <w:rPr>
          <w:rFonts w:hint="eastAsia" w:ascii="仿宋" w:hAnsi="仿宋" w:eastAsia="仿宋" w:cs="仿宋"/>
          <w:i w:val="0"/>
          <w:iCs w:val="0"/>
          <w:caps w:val="0"/>
          <w:color w:val="000000"/>
          <w:spacing w:val="0"/>
          <w:sz w:val="32"/>
          <w:szCs w:val="32"/>
          <w:shd w:val="clear" w:color="auto" w:fill="FFFFFF"/>
          <w:lang w:eastAsia="zh-CN"/>
        </w:rPr>
        <w:t>本单位共有车辆</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辆，其中，主要领导干部用车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辆，机要通信用车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辆、应急保障用车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辆、执法执勤用车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辆、特种专业技术用车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辆、其他用车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辆；单位价值50万元以上通用设备</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台（套）；单位价值100万元以上专用设备</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台（套）。</w:t>
      </w:r>
    </w:p>
    <w:p w14:paraId="109794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12B7AFF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根据预算绩效管理要求，我单位组织对2024年度一般公共预算项目支出全面开展绩效自评，其</w:t>
      </w:r>
      <w:r>
        <w:rPr>
          <w:rFonts w:hint="eastAsia" w:ascii="仿宋" w:hAnsi="仿宋" w:eastAsia="仿宋" w:cs="仿宋"/>
          <w:color w:val="000000"/>
          <w:sz w:val="32"/>
          <w:lang w:eastAsia="zh-CN"/>
        </w:rPr>
        <w:t>中</w:t>
      </w:r>
      <w:r>
        <w:rPr>
          <w:rFonts w:hint="eastAsia" w:ascii="微软雅黑" w:hAnsi="微软雅黑" w:eastAsia="微软雅黑" w:cs="微软雅黑"/>
          <w:color w:val="000000"/>
          <w:sz w:val="32"/>
          <w:lang w:eastAsia="zh-CN"/>
        </w:rPr>
        <w:t>：</w:t>
      </w:r>
      <w:r>
        <w:rPr>
          <w:rFonts w:hint="eastAsia" w:ascii="仿宋" w:hAnsi="仿宋" w:eastAsia="仿宋" w:cs="仿宋"/>
          <w:i w:val="0"/>
          <w:iCs w:val="0"/>
          <w:caps w:val="0"/>
          <w:color w:val="000000"/>
          <w:spacing w:val="0"/>
          <w:kern w:val="0"/>
          <w:sz w:val="32"/>
          <w:szCs w:val="32"/>
          <w:shd w:val="clear" w:color="auto" w:fill="FFFFFF"/>
          <w:lang w:val="en-US" w:eastAsia="zh-CN" w:bidi="ar-SA"/>
        </w:rPr>
        <w:t>一级项目0个，二级项目0 个，共涉及资金0万元，占一般公共预算项目支出总额的0%。组织对2024年度0个政府性基金预算项目支出开展绩效自评，共涉及资金</w:t>
      </w:r>
      <w:bookmarkStart w:id="0" w:name="_GoBack"/>
      <w:bookmarkEnd w:id="0"/>
      <w:r>
        <w:rPr>
          <w:rFonts w:hint="eastAsia" w:ascii="仿宋" w:hAnsi="仿宋" w:eastAsia="仿宋" w:cs="仿宋"/>
          <w:i w:val="0"/>
          <w:iCs w:val="0"/>
          <w:caps w:val="0"/>
          <w:color w:val="000000"/>
          <w:spacing w:val="0"/>
          <w:kern w:val="0"/>
          <w:sz w:val="32"/>
          <w:szCs w:val="32"/>
          <w:shd w:val="clear" w:color="auto" w:fill="FFFFFF"/>
          <w:lang w:val="en-US" w:eastAsia="zh-CN" w:bidi="ar-SA"/>
        </w:rPr>
        <w:t>0万元，占政府性基金预算项目支出总额的0%。组织对2024年度0个国有资本经营预算项目支出开展绩效自评，共涉及资金0万元，占国有资本经营预算项目支出总额的0%。</w:t>
      </w:r>
    </w:p>
    <w:p w14:paraId="7104F2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组织对0个项目开展了部门评价，涉及一般公共预算支出0万元，政府性基金预算支出0万元，国有资本经营预算支出0万元。</w:t>
      </w:r>
    </w:p>
    <w:p w14:paraId="1723F0B7">
      <w:pPr>
        <w:autoSpaceDE w:val="0"/>
        <w:autoSpaceDN w:val="0"/>
        <w:adjustRightInd w:val="0"/>
        <w:ind w:firstLine="640"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组织对岳阳县市场建设管理中心1个单位开展整体支出绩效评价，涉及一般公共预算支出602.64万元，政府性基金预算支出0万元。从评价情况来看，部门整体支出绩效自评得分99.47分，评价等级为“优秀”，已按县财政局统一要求随同部门决算作为附件公开。</w:t>
      </w:r>
    </w:p>
    <w:p w14:paraId="7A8FFBA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395DCB70">
      <w:pPr>
        <w:autoSpaceDE w:val="0"/>
        <w:autoSpaceDN w:val="0"/>
        <w:adjustRightInd w:val="0"/>
        <w:ind w:firstLine="640" w:firstLineChars="200"/>
        <w:jc w:val="left"/>
        <w:rPr>
          <w:rFonts w:hint="eastAsia" w:ascii="宋体" w:hAnsi="宋体" w:eastAsia="宋体" w:cs="黑体"/>
          <w:color w:val="auto"/>
          <w:kern w:val="0"/>
          <w:sz w:val="32"/>
          <w:szCs w:val="32"/>
          <w:lang w:eastAsia="zh-CN"/>
        </w:rPr>
      </w:pPr>
      <w:r>
        <w:rPr>
          <w:rFonts w:hint="eastAsia" w:ascii="仿宋" w:hAnsi="仿宋" w:eastAsia="仿宋" w:cs="仿宋"/>
          <w:color w:val="auto"/>
          <w:kern w:val="0"/>
          <w:sz w:val="32"/>
          <w:szCs w:val="32"/>
          <w:lang w:val="en-US" w:eastAsia="zh-CN"/>
        </w:rPr>
        <w:t>2024年度本单位无</w:t>
      </w:r>
      <w:r>
        <w:rPr>
          <w:rFonts w:hint="eastAsia" w:ascii="仿宋" w:hAnsi="仿宋" w:eastAsia="仿宋" w:cs="仿宋"/>
          <w:color w:val="auto"/>
          <w:kern w:val="0"/>
          <w:sz w:val="32"/>
          <w:szCs w:val="32"/>
        </w:rPr>
        <w:t>项目</w:t>
      </w:r>
      <w:r>
        <w:rPr>
          <w:rFonts w:hint="eastAsia" w:ascii="仿宋" w:hAnsi="仿宋" w:eastAsia="仿宋" w:cs="仿宋"/>
          <w:color w:val="auto"/>
          <w:kern w:val="0"/>
          <w:sz w:val="32"/>
          <w:szCs w:val="32"/>
          <w:lang w:eastAsia="zh-CN"/>
        </w:rPr>
        <w:t>支出</w:t>
      </w:r>
      <w:r>
        <w:rPr>
          <w:rFonts w:hint="eastAsia" w:ascii="仿宋" w:hAnsi="仿宋" w:eastAsia="仿宋" w:cs="仿宋"/>
          <w:color w:val="auto"/>
          <w:kern w:val="0"/>
          <w:sz w:val="32"/>
          <w:szCs w:val="32"/>
        </w:rPr>
        <w:t>绩效</w:t>
      </w:r>
      <w:r>
        <w:rPr>
          <w:rFonts w:hint="eastAsia" w:ascii="仿宋" w:hAnsi="仿宋" w:eastAsia="仿宋" w:cs="仿宋"/>
          <w:color w:val="auto"/>
          <w:kern w:val="0"/>
          <w:sz w:val="32"/>
          <w:szCs w:val="32"/>
          <w:lang w:eastAsia="zh-CN"/>
        </w:rPr>
        <w:t>评价</w:t>
      </w:r>
      <w:r>
        <w:rPr>
          <w:rFonts w:hint="eastAsia" w:ascii="宋体" w:hAnsi="宋体" w:cs="黑体"/>
          <w:color w:val="auto"/>
          <w:kern w:val="0"/>
          <w:sz w:val="32"/>
          <w:szCs w:val="32"/>
          <w:lang w:eastAsia="zh-CN"/>
        </w:rPr>
        <w:t>。</w:t>
      </w:r>
    </w:p>
    <w:p w14:paraId="1F9416B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30D83D37">
      <w:pPr>
        <w:autoSpaceDE w:val="0"/>
        <w:autoSpaceDN w:val="0"/>
        <w:adjustRightInd w:val="0"/>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1712956">
      <w:pPr>
        <w:pStyle w:val="1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5"/>
        <w:jc w:val="center"/>
        <w:rPr>
          <w:rFonts w:hint="eastAsia" w:ascii="微软雅黑" w:hAnsi="微软雅黑" w:eastAsia="微软雅黑" w:cs="微软雅黑"/>
          <w:sz w:val="72"/>
          <w:szCs w:val="72"/>
        </w:rPr>
      </w:pPr>
    </w:p>
    <w:p w14:paraId="74F01676">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DB2F5"/>
    <w:multiLevelType w:val="singleLevel"/>
    <w:tmpl w:val="6FEDB2F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164C1"/>
    <w:rsid w:val="020A5DD5"/>
    <w:rsid w:val="023C1A7D"/>
    <w:rsid w:val="024969C1"/>
    <w:rsid w:val="05482261"/>
    <w:rsid w:val="06BD0B7D"/>
    <w:rsid w:val="074309F6"/>
    <w:rsid w:val="07966D78"/>
    <w:rsid w:val="07E04F3D"/>
    <w:rsid w:val="08850B9A"/>
    <w:rsid w:val="096227F5"/>
    <w:rsid w:val="0966277A"/>
    <w:rsid w:val="0AC57974"/>
    <w:rsid w:val="0F0963DC"/>
    <w:rsid w:val="0F9016DB"/>
    <w:rsid w:val="0FE268D2"/>
    <w:rsid w:val="10A73DA4"/>
    <w:rsid w:val="10D95BF6"/>
    <w:rsid w:val="11A63AC3"/>
    <w:rsid w:val="13135140"/>
    <w:rsid w:val="13457FBA"/>
    <w:rsid w:val="134641EF"/>
    <w:rsid w:val="136B7D14"/>
    <w:rsid w:val="140E413A"/>
    <w:rsid w:val="15986B0A"/>
    <w:rsid w:val="15A64981"/>
    <w:rsid w:val="17D85E72"/>
    <w:rsid w:val="191A1185"/>
    <w:rsid w:val="1A4B623A"/>
    <w:rsid w:val="1B8151F1"/>
    <w:rsid w:val="1CBD04AB"/>
    <w:rsid w:val="1F841C40"/>
    <w:rsid w:val="202249CA"/>
    <w:rsid w:val="21680401"/>
    <w:rsid w:val="22456F79"/>
    <w:rsid w:val="22BA5BB9"/>
    <w:rsid w:val="239313F0"/>
    <w:rsid w:val="24961D0D"/>
    <w:rsid w:val="24997A50"/>
    <w:rsid w:val="27B766F6"/>
    <w:rsid w:val="29701875"/>
    <w:rsid w:val="2A677CA8"/>
    <w:rsid w:val="2B054B6B"/>
    <w:rsid w:val="2C2A0B96"/>
    <w:rsid w:val="2C2F0132"/>
    <w:rsid w:val="2CEA52EC"/>
    <w:rsid w:val="2D855015"/>
    <w:rsid w:val="2F026361"/>
    <w:rsid w:val="2F5729E1"/>
    <w:rsid w:val="306F0E15"/>
    <w:rsid w:val="310B6DA8"/>
    <w:rsid w:val="31B77767"/>
    <w:rsid w:val="31BE0AF5"/>
    <w:rsid w:val="33022C64"/>
    <w:rsid w:val="338C3D33"/>
    <w:rsid w:val="33E12879"/>
    <w:rsid w:val="34095384"/>
    <w:rsid w:val="34E24AFB"/>
    <w:rsid w:val="36E96615"/>
    <w:rsid w:val="38860958"/>
    <w:rsid w:val="39CB511C"/>
    <w:rsid w:val="3A4D0C68"/>
    <w:rsid w:val="3BC62A80"/>
    <w:rsid w:val="3C37572C"/>
    <w:rsid w:val="3FA00A41"/>
    <w:rsid w:val="3FD348C7"/>
    <w:rsid w:val="40C80669"/>
    <w:rsid w:val="41940D6D"/>
    <w:rsid w:val="42415557"/>
    <w:rsid w:val="42FC322C"/>
    <w:rsid w:val="43577BBB"/>
    <w:rsid w:val="44AC435F"/>
    <w:rsid w:val="46E46CF4"/>
    <w:rsid w:val="472206E9"/>
    <w:rsid w:val="487D493C"/>
    <w:rsid w:val="48CA7928"/>
    <w:rsid w:val="493A4AAE"/>
    <w:rsid w:val="49EF440A"/>
    <w:rsid w:val="4C76404F"/>
    <w:rsid w:val="4C8D1398"/>
    <w:rsid w:val="4CD86AB8"/>
    <w:rsid w:val="4D542DAB"/>
    <w:rsid w:val="4EC618D0"/>
    <w:rsid w:val="4EC70B92"/>
    <w:rsid w:val="4FC13833"/>
    <w:rsid w:val="512C2F2E"/>
    <w:rsid w:val="52AE13E2"/>
    <w:rsid w:val="52E579D6"/>
    <w:rsid w:val="55C63EE6"/>
    <w:rsid w:val="55D0369C"/>
    <w:rsid w:val="56A143BE"/>
    <w:rsid w:val="570F5142"/>
    <w:rsid w:val="5777D4F5"/>
    <w:rsid w:val="57D94F90"/>
    <w:rsid w:val="57EF2F07"/>
    <w:rsid w:val="582C415B"/>
    <w:rsid w:val="58906498"/>
    <w:rsid w:val="59743537"/>
    <w:rsid w:val="59D423B5"/>
    <w:rsid w:val="5B4F3FC2"/>
    <w:rsid w:val="5D2E44D2"/>
    <w:rsid w:val="5DA84284"/>
    <w:rsid w:val="5DB1138B"/>
    <w:rsid w:val="5DE96D9A"/>
    <w:rsid w:val="5E026FEC"/>
    <w:rsid w:val="5FC6BB1E"/>
    <w:rsid w:val="5FF720F1"/>
    <w:rsid w:val="6243457B"/>
    <w:rsid w:val="62865D5A"/>
    <w:rsid w:val="62E713AB"/>
    <w:rsid w:val="63930AB7"/>
    <w:rsid w:val="643C1282"/>
    <w:rsid w:val="645753D4"/>
    <w:rsid w:val="6545060B"/>
    <w:rsid w:val="65B05FE0"/>
    <w:rsid w:val="660109D5"/>
    <w:rsid w:val="67013B45"/>
    <w:rsid w:val="6720463D"/>
    <w:rsid w:val="67FF2CF3"/>
    <w:rsid w:val="686A3AA5"/>
    <w:rsid w:val="6AAA163C"/>
    <w:rsid w:val="6B673089"/>
    <w:rsid w:val="6BD30F4C"/>
    <w:rsid w:val="6D15603E"/>
    <w:rsid w:val="6D1D2BA3"/>
    <w:rsid w:val="6D340BE9"/>
    <w:rsid w:val="6E296D1B"/>
    <w:rsid w:val="6E4E0530"/>
    <w:rsid w:val="6F631DB9"/>
    <w:rsid w:val="6FB16FC8"/>
    <w:rsid w:val="70AC01C9"/>
    <w:rsid w:val="71B615C9"/>
    <w:rsid w:val="724D2874"/>
    <w:rsid w:val="72853156"/>
    <w:rsid w:val="72D57472"/>
    <w:rsid w:val="734E65AD"/>
    <w:rsid w:val="73653335"/>
    <w:rsid w:val="737D59BA"/>
    <w:rsid w:val="73D15FE7"/>
    <w:rsid w:val="73E54E99"/>
    <w:rsid w:val="743957DE"/>
    <w:rsid w:val="75063912"/>
    <w:rsid w:val="75D7705D"/>
    <w:rsid w:val="772C33D8"/>
    <w:rsid w:val="776B5ABC"/>
    <w:rsid w:val="776D2CE2"/>
    <w:rsid w:val="77C37683"/>
    <w:rsid w:val="78482494"/>
    <w:rsid w:val="79FF515B"/>
    <w:rsid w:val="7A401675"/>
    <w:rsid w:val="7A7D5EE5"/>
    <w:rsid w:val="7C4D3A17"/>
    <w:rsid w:val="7DBC4EC9"/>
    <w:rsid w:val="7E9F11B4"/>
    <w:rsid w:val="7EE2464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批注框文本 Char"/>
    <w:basedOn w:val="8"/>
    <w:link w:val="3"/>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font1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794</Words>
  <Characters>828</Characters>
  <Lines>63</Lines>
  <Paragraphs>18</Paragraphs>
  <TotalTime>13</TotalTime>
  <ScaleCrop>false</ScaleCrop>
  <LinksUpToDate>false</LinksUpToDate>
  <CharactersWithSpaces>834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何荣荣</cp:lastModifiedBy>
  <cp:lastPrinted>2023-08-15T09:28:00Z</cp:lastPrinted>
  <dcterms:modified xsi:type="dcterms:W3CDTF">2025-09-24T02:13:49Z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661ABA64067A42B98A18CBAF8FC9F9FC_13</vt:lpwstr>
  </property>
  <property fmtid="{D5CDD505-2E9C-101B-9397-08002B2CF9AE}" pid="4" name="KSOTemplateDocerSaveRecord">
    <vt:lpwstr>eyJoZGlkIjoiYWI0YTVjYTIyMmQ2ZGZiNzljNzFhMTAyNzRlODllNTAiLCJ1c2VySWQiOiIxMTU3MzMyNTc1In0=</vt:lpwstr>
  </property>
</Properties>
</file>