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8E87C">
      <w:pPr>
        <w:widowControl/>
        <w:kinsoku w:val="0"/>
        <w:autoSpaceDE w:val="0"/>
        <w:autoSpaceDN w:val="0"/>
        <w:adjustRightInd w:val="0"/>
        <w:snapToGrid w:val="0"/>
        <w:spacing w:before="166" w:line="290" w:lineRule="auto"/>
        <w:ind w:right="550"/>
        <w:jc w:val="center"/>
        <w:textAlignment w:val="baseline"/>
        <w:rPr>
          <w:rFonts w:hint="eastAsia" w:ascii="方正小标宋简体" w:hAnsi="方正小标宋简体" w:eastAsia="方正小标宋简体" w:cs="方正小标宋简体"/>
          <w:b w:val="0"/>
          <w:bCs w:val="0"/>
          <w:snapToGrid w:val="0"/>
          <w:color w:val="000000"/>
          <w:spacing w:val="1"/>
          <w:kern w:val="0"/>
          <w:sz w:val="44"/>
          <w:szCs w:val="44"/>
          <w:lang w:eastAsia="en-US"/>
        </w:rPr>
      </w:pPr>
      <w:r>
        <w:rPr>
          <w:rFonts w:hint="eastAsia" w:ascii="方正小标宋简体" w:hAnsi="方正小标宋简体" w:eastAsia="方正小标宋简体" w:cs="方正小标宋简体"/>
          <w:b w:val="0"/>
          <w:bCs w:val="0"/>
          <w:snapToGrid w:val="0"/>
          <w:color w:val="000000"/>
          <w:spacing w:val="1"/>
          <w:kern w:val="0"/>
          <w:sz w:val="44"/>
          <w:szCs w:val="44"/>
          <w:lang w:eastAsia="en-US"/>
        </w:rPr>
        <w:t>202</w:t>
      </w:r>
      <w:r>
        <w:rPr>
          <w:rFonts w:hint="eastAsia" w:ascii="方正小标宋简体" w:hAnsi="方正小标宋简体" w:eastAsia="方正小标宋简体" w:cs="方正小标宋简体"/>
          <w:b w:val="0"/>
          <w:bCs w:val="0"/>
          <w:snapToGrid w:val="0"/>
          <w:color w:val="000000"/>
          <w:spacing w:val="1"/>
          <w:kern w:val="0"/>
          <w:sz w:val="44"/>
          <w:szCs w:val="44"/>
          <w:lang w:val="en-US" w:eastAsia="en-US"/>
        </w:rPr>
        <w:t>4</w:t>
      </w:r>
      <w:r>
        <w:rPr>
          <w:rFonts w:hint="eastAsia" w:ascii="方正小标宋简体" w:hAnsi="方正小标宋简体" w:eastAsia="方正小标宋简体" w:cs="方正小标宋简体"/>
          <w:b w:val="0"/>
          <w:bCs w:val="0"/>
          <w:snapToGrid w:val="0"/>
          <w:color w:val="000000"/>
          <w:spacing w:val="1"/>
          <w:kern w:val="0"/>
          <w:sz w:val="44"/>
          <w:szCs w:val="44"/>
          <w:lang w:eastAsia="en-US"/>
        </w:rPr>
        <w:t>年度</w:t>
      </w:r>
      <w:r>
        <w:rPr>
          <w:rFonts w:hint="eastAsia" w:ascii="方正小标宋简体" w:hAnsi="方正小标宋简体" w:eastAsia="方正小标宋简体" w:cs="方正小标宋简体"/>
          <w:b w:val="0"/>
          <w:bCs w:val="0"/>
          <w:snapToGrid w:val="0"/>
          <w:color w:val="000000"/>
          <w:spacing w:val="1"/>
          <w:kern w:val="0"/>
          <w:sz w:val="44"/>
          <w:szCs w:val="44"/>
          <w:lang w:val="en-US" w:eastAsia="zh-CN"/>
        </w:rPr>
        <w:t>岳阳县纪委</w:t>
      </w:r>
      <w:r>
        <w:rPr>
          <w:rFonts w:hint="eastAsia" w:ascii="方正小标宋简体" w:hAnsi="方正小标宋简体" w:eastAsia="方正小标宋简体" w:cs="方正小标宋简体"/>
          <w:b w:val="0"/>
          <w:bCs w:val="0"/>
          <w:snapToGrid w:val="0"/>
          <w:color w:val="000000"/>
          <w:spacing w:val="1"/>
          <w:kern w:val="0"/>
          <w:sz w:val="44"/>
          <w:szCs w:val="44"/>
          <w:lang w:eastAsia="en-US"/>
        </w:rPr>
        <w:t>整体支出</w:t>
      </w:r>
    </w:p>
    <w:p w14:paraId="46C89928">
      <w:pPr>
        <w:widowControl/>
        <w:kinsoku w:val="0"/>
        <w:autoSpaceDE w:val="0"/>
        <w:autoSpaceDN w:val="0"/>
        <w:adjustRightInd w:val="0"/>
        <w:snapToGrid w:val="0"/>
        <w:spacing w:before="166" w:line="290" w:lineRule="auto"/>
        <w:ind w:right="550"/>
        <w:jc w:val="center"/>
        <w:textAlignment w:val="baseline"/>
        <w:rPr>
          <w:rFonts w:ascii="宋体" w:hAnsi="宋体" w:eastAsia="宋体" w:cs="宋体"/>
          <w:b/>
          <w:bCs/>
          <w:snapToGrid w:val="0"/>
          <w:color w:val="000000"/>
          <w:spacing w:val="8"/>
          <w:kern w:val="0"/>
          <w:sz w:val="42"/>
          <w:szCs w:val="42"/>
          <w:lang w:eastAsia="en-US"/>
        </w:rPr>
      </w:pPr>
      <w:r>
        <w:rPr>
          <w:rFonts w:hint="eastAsia" w:ascii="方正小标宋简体" w:hAnsi="方正小标宋简体" w:eastAsia="方正小标宋简体" w:cs="方正小标宋简体"/>
          <w:b w:val="0"/>
          <w:bCs w:val="0"/>
          <w:snapToGrid w:val="0"/>
          <w:color w:val="000000"/>
          <w:spacing w:val="8"/>
          <w:kern w:val="0"/>
          <w:sz w:val="44"/>
          <w:szCs w:val="44"/>
          <w:lang w:eastAsia="en-US"/>
        </w:rPr>
        <w:t>绩效自评报告</w:t>
      </w:r>
    </w:p>
    <w:p w14:paraId="21C586FA">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14:paraId="A07271D2">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14:paraId="57CEC4DC">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14:paraId="0DF5B41D">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14:paraId="F5A4EDB9">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14:paraId="F61574D7">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14:paraId="3A21DFA9">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14:paraId="B184E1D8">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14:paraId="634EF9D6">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14:paraId="CA2D6C3D">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14:paraId="BE447159">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14:paraId="5DB6FBE1">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14:paraId="DE44644B">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14:paraId="522A2C09">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14:paraId="7E03651A">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14:paraId="82C5E08C">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14:paraId="F3F182BA">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14:paraId="2674C3E0">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14:paraId="718F0D6B">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14:paraId="9482CA95">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14:paraId="818B0C5B">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14:paraId="855E652F">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14:paraId="7D3885BB">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14:paraId="020DC37A">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p w14:paraId="418CA6EF">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p w14:paraId="30D2A05D">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p w14:paraId="A68F03DA">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p w14:paraId="1817413D">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p w14:paraId="E7735B71">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p w14:paraId="81940550">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p w14:paraId="7D24E6A5">
      <w:pPr>
        <w:widowControl/>
        <w:kinsoku w:val="0"/>
        <w:autoSpaceDE w:val="0"/>
        <w:autoSpaceDN w:val="0"/>
        <w:adjustRightInd w:val="0"/>
        <w:snapToGrid w:val="0"/>
        <w:spacing w:before="91" w:line="224" w:lineRule="auto"/>
        <w:ind w:left="3154"/>
        <w:jc w:val="left"/>
        <w:textAlignment w:val="baseline"/>
        <w:rPr>
          <w:rFonts w:ascii="楷体" w:hAnsi="楷体" w:eastAsia="楷体" w:cs="楷体"/>
          <w:snapToGrid w:val="0"/>
          <w:color w:val="000000"/>
          <w:kern w:val="0"/>
          <w:sz w:val="28"/>
          <w:szCs w:val="28"/>
          <w:lang w:eastAsia="en-US"/>
        </w:rPr>
      </w:pPr>
      <w:bookmarkStart w:id="0" w:name="_GoBack"/>
      <w:bookmarkEnd w:id="0"/>
      <w:r>
        <w:rPr>
          <w:rFonts w:ascii="楷体" w:hAnsi="楷体" w:eastAsia="楷体" w:cs="楷体"/>
          <w:b/>
          <w:bCs/>
          <w:snapToGrid w:val="0"/>
          <w:color w:val="000000"/>
          <w:spacing w:val="-5"/>
          <w:kern w:val="0"/>
          <w:sz w:val="28"/>
          <w:szCs w:val="28"/>
          <w:lang w:eastAsia="en-US"/>
        </w:rPr>
        <w:t>部门(单位)名称：</w:t>
      </w:r>
      <w:r>
        <w:rPr>
          <w:rFonts w:ascii="楷体" w:hAnsi="楷体" w:eastAsia="楷体" w:cs="楷体"/>
          <w:snapToGrid w:val="0"/>
          <w:color w:val="000000"/>
          <w:spacing w:val="-76"/>
          <w:kern w:val="0"/>
          <w:sz w:val="28"/>
          <w:szCs w:val="28"/>
          <w:lang w:eastAsia="en-US"/>
        </w:rPr>
        <w:t xml:space="preserve"> </w:t>
      </w:r>
      <w:r>
        <w:rPr>
          <w:rFonts w:ascii="楷体" w:hAnsi="楷体" w:eastAsia="楷体" w:cs="楷体"/>
          <w:snapToGrid w:val="0"/>
          <w:color w:val="000000"/>
          <w:spacing w:val="-77"/>
          <w:kern w:val="0"/>
          <w:sz w:val="28"/>
          <w:szCs w:val="28"/>
          <w:u w:val="single" w:color="auto"/>
          <w:lang w:eastAsia="en-US"/>
        </w:rPr>
        <w:t xml:space="preserve"> </w:t>
      </w:r>
      <w:r>
        <w:rPr>
          <w:rFonts w:ascii="楷体" w:hAnsi="楷体" w:eastAsia="楷体" w:cs="楷体"/>
          <w:b/>
          <w:bCs/>
          <w:snapToGrid w:val="0"/>
          <w:color w:val="000000"/>
          <w:spacing w:val="-5"/>
          <w:kern w:val="0"/>
          <w:sz w:val="28"/>
          <w:szCs w:val="28"/>
          <w:u w:val="single" w:color="auto"/>
          <w:lang w:eastAsia="en-US"/>
        </w:rPr>
        <w:t>(盖章)</w:t>
      </w:r>
    </w:p>
    <w:p w14:paraId="1C72607B">
      <w:pPr>
        <w:widowControl/>
        <w:kinsoku w:val="0"/>
        <w:autoSpaceDE w:val="0"/>
        <w:autoSpaceDN w:val="0"/>
        <w:adjustRightInd w:val="0"/>
        <w:snapToGrid w:val="0"/>
        <w:spacing w:before="290" w:line="225" w:lineRule="auto"/>
        <w:ind w:left="3754"/>
        <w:jc w:val="left"/>
        <w:textAlignment w:val="baseline"/>
        <w:rPr>
          <w:rFonts w:ascii="楷体" w:hAnsi="楷体" w:eastAsia="楷体" w:cs="楷体"/>
          <w:snapToGrid w:val="0"/>
          <w:color w:val="000000"/>
          <w:kern w:val="0"/>
          <w:sz w:val="28"/>
          <w:szCs w:val="28"/>
          <w:lang w:eastAsia="en-US"/>
        </w:rPr>
      </w:pPr>
      <w:r>
        <w:rPr>
          <w:rFonts w:hint="eastAsia" w:ascii="楷体" w:hAnsi="楷体" w:eastAsia="楷体" w:cs="楷体"/>
          <w:b/>
          <w:bCs/>
          <w:snapToGrid w:val="0"/>
          <w:color w:val="000000"/>
          <w:spacing w:val="-15"/>
          <w:kern w:val="0"/>
          <w:sz w:val="28"/>
          <w:szCs w:val="28"/>
          <w:lang w:val="en-US" w:eastAsia="zh-CN"/>
        </w:rPr>
        <w:t>2025</w:t>
      </w:r>
      <w:r>
        <w:rPr>
          <w:rFonts w:ascii="楷体" w:hAnsi="楷体" w:eastAsia="楷体" w:cs="楷体"/>
          <w:b/>
          <w:bCs/>
          <w:snapToGrid w:val="0"/>
          <w:color w:val="000000"/>
          <w:spacing w:val="-15"/>
          <w:kern w:val="0"/>
          <w:sz w:val="28"/>
          <w:szCs w:val="28"/>
          <w:lang w:eastAsia="en-US"/>
        </w:rPr>
        <w:t>年</w:t>
      </w:r>
      <w:r>
        <w:rPr>
          <w:rFonts w:ascii="楷体" w:hAnsi="楷体" w:eastAsia="楷体" w:cs="楷体"/>
          <w:snapToGrid w:val="0"/>
          <w:color w:val="000000"/>
          <w:spacing w:val="27"/>
          <w:kern w:val="0"/>
          <w:sz w:val="28"/>
          <w:szCs w:val="28"/>
          <w:lang w:eastAsia="en-US"/>
        </w:rPr>
        <w:t xml:space="preserve"> </w:t>
      </w:r>
      <w:r>
        <w:rPr>
          <w:rFonts w:hint="eastAsia" w:ascii="楷体" w:hAnsi="楷体" w:eastAsia="楷体" w:cs="楷体"/>
          <w:snapToGrid w:val="0"/>
          <w:color w:val="000000"/>
          <w:spacing w:val="27"/>
          <w:kern w:val="0"/>
          <w:sz w:val="28"/>
          <w:szCs w:val="28"/>
          <w:lang w:val="en-US" w:eastAsia="zh-CN"/>
        </w:rPr>
        <w:t>5</w:t>
      </w:r>
      <w:r>
        <w:rPr>
          <w:rFonts w:ascii="楷体" w:hAnsi="楷体" w:eastAsia="楷体" w:cs="楷体"/>
          <w:b/>
          <w:bCs/>
          <w:snapToGrid w:val="0"/>
          <w:color w:val="000000"/>
          <w:spacing w:val="-15"/>
          <w:kern w:val="0"/>
          <w:sz w:val="28"/>
          <w:szCs w:val="28"/>
          <w:lang w:eastAsia="en-US"/>
        </w:rPr>
        <w:t>月</w:t>
      </w:r>
      <w:r>
        <w:rPr>
          <w:rFonts w:hint="eastAsia" w:ascii="楷体" w:hAnsi="楷体" w:eastAsia="楷体" w:cs="楷体"/>
          <w:b/>
          <w:bCs/>
          <w:snapToGrid w:val="0"/>
          <w:color w:val="000000"/>
          <w:spacing w:val="-15"/>
          <w:kern w:val="0"/>
          <w:sz w:val="28"/>
          <w:szCs w:val="28"/>
          <w:lang w:val="en-US" w:eastAsia="zh-CN"/>
        </w:rPr>
        <w:t xml:space="preserve"> 28</w:t>
      </w:r>
      <w:r>
        <w:rPr>
          <w:rFonts w:ascii="楷体" w:hAnsi="楷体" w:eastAsia="楷体" w:cs="楷体"/>
          <w:b/>
          <w:bCs/>
          <w:snapToGrid w:val="0"/>
          <w:color w:val="000000"/>
          <w:spacing w:val="-15"/>
          <w:kern w:val="0"/>
          <w:sz w:val="28"/>
          <w:szCs w:val="28"/>
          <w:lang w:eastAsia="en-US"/>
        </w:rPr>
        <w:t>日</w:t>
      </w:r>
    </w:p>
    <w:p w14:paraId="578A97A7">
      <w:pPr>
        <w:spacing w:before="296" w:line="230" w:lineRule="auto"/>
        <w:ind w:left="3814"/>
        <w:rPr>
          <w:rFonts w:ascii="楷体" w:hAnsi="楷体" w:eastAsia="楷体" w:cs="楷体"/>
          <w:sz w:val="28"/>
          <w:szCs w:val="28"/>
        </w:rPr>
        <w:sectPr>
          <w:headerReference r:id="rId3" w:type="default"/>
          <w:footerReference r:id="rId4" w:type="default"/>
          <w:pgSz w:w="11900" w:h="16830"/>
          <w:pgMar w:top="1605" w:right="1785" w:bottom="2000" w:left="1480" w:header="2014" w:footer="1637" w:gutter="0"/>
          <w:cols w:space="720" w:num="1"/>
        </w:sectPr>
      </w:pPr>
      <w:r>
        <w:rPr>
          <w:rFonts w:ascii="楷体" w:hAnsi="楷体" w:eastAsia="楷体" w:cs="楷体"/>
          <w:b/>
          <w:bCs/>
          <w:snapToGrid w:val="0"/>
          <w:color w:val="000000"/>
          <w:spacing w:val="25"/>
          <w:kern w:val="0"/>
          <w:sz w:val="28"/>
          <w:szCs w:val="28"/>
          <w:lang w:eastAsia="en-US"/>
        </w:rPr>
        <w:t>(此页为封面)</w:t>
      </w:r>
    </w:p>
    <w:p w14:paraId="555DD204">
      <w:pPr>
        <w:widowControl/>
        <w:kinsoku w:val="0"/>
        <w:autoSpaceDE w:val="0"/>
        <w:autoSpaceDN w:val="0"/>
        <w:adjustRightInd w:val="0"/>
        <w:snapToGrid w:val="0"/>
        <w:spacing w:line="269" w:lineRule="auto"/>
        <w:jc w:val="left"/>
        <w:textAlignment w:val="baseline"/>
        <w:rPr>
          <w:rFonts w:ascii="Arial" w:hAnsi="Arial" w:eastAsia="Arial" w:cs="Arial"/>
          <w:snapToGrid w:val="0"/>
          <w:color w:val="000000"/>
          <w:kern w:val="0"/>
          <w:sz w:val="32"/>
          <w:szCs w:val="32"/>
          <w:lang w:eastAsia="en-US"/>
        </w:rPr>
      </w:pPr>
    </w:p>
    <w:p w14:paraId="231C4008">
      <w:pPr>
        <w:keepNext w:val="0"/>
        <w:keepLines w:val="0"/>
        <w:pageBreakBefore w:val="0"/>
        <w:widowControl/>
        <w:kinsoku w:val="0"/>
        <w:wordWrap/>
        <w:overflowPunct/>
        <w:topLinePunct w:val="0"/>
        <w:autoSpaceDE w:val="0"/>
        <w:autoSpaceDN w:val="0"/>
        <w:bidi w:val="0"/>
        <w:adjustRightInd w:val="0"/>
        <w:snapToGrid w:val="0"/>
        <w:spacing w:line="620" w:lineRule="exact"/>
        <w:ind w:left="679"/>
        <w:jc w:val="left"/>
        <w:textAlignment w:val="baseline"/>
        <w:rPr>
          <w:rFonts w:ascii="黑体" w:hAnsi="黑体" w:eastAsia="黑体" w:cs="黑体"/>
          <w:snapToGrid w:val="0"/>
          <w:color w:val="000000"/>
          <w:spacing w:val="-9"/>
          <w:kern w:val="0"/>
          <w:sz w:val="32"/>
          <w:szCs w:val="32"/>
          <w:lang w:eastAsia="en-US"/>
        </w:rPr>
      </w:pPr>
      <w:r>
        <w:rPr>
          <w:rFonts w:ascii="黑体" w:hAnsi="黑体" w:eastAsia="黑体" w:cs="黑体"/>
          <w:snapToGrid w:val="0"/>
          <w:color w:val="000000"/>
          <w:spacing w:val="-9"/>
          <w:kern w:val="0"/>
          <w:sz w:val="32"/>
          <w:szCs w:val="32"/>
          <w:lang w:eastAsia="en-US"/>
        </w:rPr>
        <w:t>一</w:t>
      </w:r>
      <w:r>
        <w:rPr>
          <w:rFonts w:ascii="黑体" w:hAnsi="黑体" w:eastAsia="黑体" w:cs="黑体"/>
          <w:snapToGrid w:val="0"/>
          <w:color w:val="000000"/>
          <w:spacing w:val="-86"/>
          <w:kern w:val="0"/>
          <w:sz w:val="32"/>
          <w:szCs w:val="32"/>
          <w:lang w:eastAsia="en-US"/>
        </w:rPr>
        <w:t xml:space="preserve"> </w:t>
      </w:r>
      <w:r>
        <w:rPr>
          <w:rFonts w:ascii="黑体" w:hAnsi="黑体" w:eastAsia="黑体" w:cs="黑体"/>
          <w:snapToGrid w:val="0"/>
          <w:color w:val="000000"/>
          <w:spacing w:val="-9"/>
          <w:kern w:val="0"/>
          <w:sz w:val="32"/>
          <w:szCs w:val="32"/>
          <w:lang w:eastAsia="en-US"/>
        </w:rPr>
        <w:t>、部门(单位)基本情况</w:t>
      </w:r>
    </w:p>
    <w:p w14:paraId="6B1223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仿宋_GB2312" w:hAnsi="仿宋_GB2312" w:eastAsia="仿宋_GB2312" w:cs="仿宋_GB2312"/>
          <w:bCs/>
          <w:snapToGrid/>
          <w:kern w:val="2"/>
          <w:sz w:val="32"/>
          <w:szCs w:val="32"/>
          <w:lang w:val="en-US" w:eastAsia="zh-CN" w:bidi="ar-SA"/>
        </w:rPr>
      </w:pPr>
      <w:r>
        <w:rPr>
          <w:rFonts w:hint="eastAsia" w:ascii="楷体" w:hAnsi="楷体" w:eastAsia="楷体" w:cs="楷体"/>
          <w:bCs/>
          <w:snapToGrid/>
          <w:kern w:val="2"/>
          <w:sz w:val="32"/>
          <w:szCs w:val="32"/>
          <w:lang w:val="en-US" w:eastAsia="zh-CN" w:bidi="ar-SA"/>
        </w:rPr>
        <w:t>（一）职能职责</w:t>
      </w:r>
    </w:p>
    <w:p w14:paraId="1FD019FE">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bCs/>
          <w:snapToGrid/>
          <w:color w:val="000000"/>
          <w:kern w:val="2"/>
          <w:sz w:val="32"/>
          <w:szCs w:val="32"/>
          <w:lang w:val="en-US" w:eastAsia="zh-CN" w:bidi="ar-SA"/>
        </w:rPr>
      </w:pPr>
      <w:r>
        <w:rPr>
          <w:rFonts w:hint="eastAsia" w:ascii="仿宋_GB2312" w:hAnsi="仿宋_GB2312" w:eastAsia="仿宋_GB2312" w:cs="仿宋_GB2312"/>
          <w:bCs/>
          <w:snapToGrid/>
          <w:color w:val="000000"/>
          <w:kern w:val="2"/>
          <w:sz w:val="32"/>
          <w:szCs w:val="32"/>
          <w:lang w:val="en-US" w:eastAsia="zh-CN" w:bidi="ar-SA"/>
        </w:rPr>
        <w:t>根据《中共岳阳县纪律检查委员会、岳阳县监察委员会机关职能配置、内设机构和人员编制规定》，县纪委与县监委合署办公，实行一套工作机构、两个机关名称，履行党的纪律检查和国家监察两项职责。</w:t>
      </w:r>
    </w:p>
    <w:p w14:paraId="158CA4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楷体" w:hAnsi="楷体" w:eastAsia="楷体" w:cs="楷体"/>
          <w:bCs/>
          <w:snapToGrid/>
          <w:kern w:val="2"/>
          <w:sz w:val="32"/>
          <w:szCs w:val="32"/>
          <w:lang w:val="en-US" w:eastAsia="zh-CN" w:bidi="ar-SA"/>
        </w:rPr>
      </w:pPr>
      <w:r>
        <w:rPr>
          <w:rFonts w:hint="eastAsia" w:ascii="楷体" w:hAnsi="楷体" w:eastAsia="楷体" w:cs="楷体"/>
          <w:bCs/>
          <w:snapToGrid/>
          <w:kern w:val="2"/>
          <w:sz w:val="32"/>
          <w:szCs w:val="32"/>
          <w:lang w:val="en-US" w:eastAsia="zh-CN" w:bidi="ar-SA"/>
        </w:rPr>
        <w:t>（二）机构设置</w:t>
      </w:r>
    </w:p>
    <w:p w14:paraId="11E505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ascii="黑体" w:hAnsi="黑体" w:eastAsia="黑体" w:cs="黑体"/>
          <w:spacing w:val="-9"/>
          <w:kern w:val="0"/>
          <w:sz w:val="32"/>
          <w:szCs w:val="32"/>
          <w:lang w:val="en-US" w:eastAsia="zh-CN" w:bidi="ar"/>
        </w:rPr>
      </w:pPr>
      <w:r>
        <w:rPr>
          <w:rFonts w:hint="eastAsia" w:ascii="仿宋_GB2312" w:hAnsi="仿宋_GB2312" w:eastAsia="仿宋_GB2312" w:cs="仿宋_GB2312"/>
          <w:bCs/>
          <w:snapToGrid/>
          <w:kern w:val="2"/>
          <w:sz w:val="32"/>
          <w:szCs w:val="32"/>
          <w:lang w:val="en-US" w:eastAsia="zh-CN" w:bidi="ar"/>
        </w:rPr>
        <w:t>单位现有编制114人，在编在岗干部职工103人，退休干部17人。县纪委(县监委)机关设置16个内设机构分别为：办公室、组织部、党风政风监督室、信访室(举报中心)、案件监督管理室、第一至第九纪检监察室、案件审理室、纪检监察干部监督室，按章程设立机关党委，有2个下属副科级事业机构县纪委网络信息中心和岳阳县廉政警示教育中心，13个县纪委派驻纪检监察组，派驻改革要求配行政编制54个。县纪委机关及下属二级机构、县纪委派驻纪检监察组全部纳入2024年县纪委本级财务预算，没有单独核算机构。</w:t>
      </w:r>
    </w:p>
    <w:p w14:paraId="DD220DB6">
      <w:pPr>
        <w:keepNext w:val="0"/>
        <w:keepLines w:val="0"/>
        <w:pageBreakBefore w:val="0"/>
        <w:widowControl/>
        <w:kinsoku w:val="0"/>
        <w:wordWrap/>
        <w:overflowPunct/>
        <w:topLinePunct w:val="0"/>
        <w:autoSpaceDE w:val="0"/>
        <w:autoSpaceDN w:val="0"/>
        <w:bidi w:val="0"/>
        <w:adjustRightInd w:val="0"/>
        <w:snapToGrid w:val="0"/>
        <w:spacing w:line="620" w:lineRule="exact"/>
        <w:ind w:left="679"/>
        <w:jc w:val="left"/>
        <w:textAlignment w:val="baseline"/>
        <w:rPr>
          <w:rFonts w:ascii="黑体" w:hAnsi="黑体" w:eastAsia="黑体" w:cs="黑体"/>
          <w:snapToGrid w:val="0"/>
          <w:color w:val="000000"/>
          <w:kern w:val="0"/>
          <w:sz w:val="32"/>
          <w:szCs w:val="32"/>
          <w:lang w:eastAsia="en-US"/>
        </w:rPr>
      </w:pPr>
      <w:r>
        <w:rPr>
          <w:rFonts w:ascii="黑体" w:hAnsi="黑体" w:eastAsia="黑体" w:cs="黑体"/>
          <w:snapToGrid w:val="0"/>
          <w:color w:val="000000"/>
          <w:spacing w:val="4"/>
          <w:kern w:val="0"/>
          <w:sz w:val="32"/>
          <w:szCs w:val="32"/>
          <w:lang w:eastAsia="en-US"/>
        </w:rPr>
        <w:t>二、一般公共预算支出情况</w:t>
      </w:r>
    </w:p>
    <w:p w14:paraId="CA43D06B">
      <w:pPr>
        <w:keepNext w:val="0"/>
        <w:keepLines w:val="0"/>
        <w:pageBreakBefore w:val="0"/>
        <w:widowControl/>
        <w:kinsoku w:val="0"/>
        <w:wordWrap/>
        <w:overflowPunct/>
        <w:topLinePunct w:val="0"/>
        <w:autoSpaceDE w:val="0"/>
        <w:autoSpaceDN w:val="0"/>
        <w:bidi w:val="0"/>
        <w:adjustRightInd w:val="0"/>
        <w:snapToGrid w:val="0"/>
        <w:spacing w:line="620" w:lineRule="exact"/>
        <w:ind w:left="814"/>
        <w:jc w:val="left"/>
        <w:textAlignment w:val="baseline"/>
        <w:rPr>
          <w:rFonts w:ascii="仿宋" w:hAnsi="仿宋" w:eastAsia="仿宋" w:cs="仿宋"/>
          <w:snapToGrid w:val="0"/>
          <w:color w:val="000000"/>
          <w:spacing w:val="-2"/>
          <w:kern w:val="0"/>
          <w:sz w:val="32"/>
          <w:szCs w:val="32"/>
          <w:lang w:val="en-US" w:eastAsia="en-US" w:bidi="ar-SA"/>
        </w:rPr>
      </w:pPr>
      <w:r>
        <w:rPr>
          <w:rFonts w:ascii="楷体" w:hAnsi="楷体" w:eastAsia="楷体" w:cs="楷体"/>
          <w:b/>
          <w:bCs/>
          <w:snapToGrid w:val="0"/>
          <w:color w:val="000000"/>
          <w:spacing w:val="-2"/>
          <w:kern w:val="0"/>
          <w:sz w:val="32"/>
          <w:szCs w:val="32"/>
          <w:lang w:val="en-US" w:eastAsia="en-US" w:bidi="ar-SA"/>
        </w:rPr>
        <w:t>(</w:t>
      </w:r>
      <w:r>
        <w:rPr>
          <w:rFonts w:ascii="楷体" w:hAnsi="楷体" w:eastAsia="楷体" w:cs="楷体"/>
          <w:snapToGrid w:val="0"/>
          <w:color w:val="000000"/>
          <w:spacing w:val="-24"/>
          <w:kern w:val="0"/>
          <w:sz w:val="32"/>
          <w:szCs w:val="32"/>
          <w:lang w:val="en-US" w:eastAsia="en-US" w:bidi="ar-SA"/>
        </w:rPr>
        <w:t xml:space="preserve"> </w:t>
      </w:r>
      <w:r>
        <w:rPr>
          <w:rFonts w:ascii="楷体" w:hAnsi="楷体" w:eastAsia="楷体" w:cs="楷体"/>
          <w:b/>
          <w:bCs/>
          <w:snapToGrid w:val="0"/>
          <w:color w:val="000000"/>
          <w:spacing w:val="-2"/>
          <w:kern w:val="0"/>
          <w:sz w:val="32"/>
          <w:szCs w:val="32"/>
          <w:lang w:val="en-US" w:eastAsia="en-US" w:bidi="ar-SA"/>
        </w:rPr>
        <w:t>一</w:t>
      </w:r>
      <w:r>
        <w:rPr>
          <w:rFonts w:ascii="楷体" w:hAnsi="楷体" w:eastAsia="楷体" w:cs="楷体"/>
          <w:snapToGrid w:val="0"/>
          <w:color w:val="000000"/>
          <w:spacing w:val="-41"/>
          <w:kern w:val="0"/>
          <w:sz w:val="32"/>
          <w:szCs w:val="32"/>
          <w:lang w:val="en-US" w:eastAsia="en-US" w:bidi="ar-SA"/>
        </w:rPr>
        <w:t xml:space="preserve"> </w:t>
      </w:r>
      <w:r>
        <w:rPr>
          <w:rFonts w:ascii="楷体" w:hAnsi="楷体" w:eastAsia="楷体" w:cs="楷体"/>
          <w:b/>
          <w:bCs/>
          <w:snapToGrid w:val="0"/>
          <w:color w:val="000000"/>
          <w:spacing w:val="-2"/>
          <w:kern w:val="0"/>
          <w:sz w:val="32"/>
          <w:szCs w:val="32"/>
          <w:lang w:val="en-US" w:eastAsia="en-US" w:bidi="ar-SA"/>
        </w:rPr>
        <w:t>)</w:t>
      </w:r>
      <w:r>
        <w:rPr>
          <w:rFonts w:ascii="仿宋" w:hAnsi="仿宋" w:eastAsia="仿宋" w:cs="仿宋"/>
          <w:snapToGrid w:val="0"/>
          <w:color w:val="000000"/>
          <w:spacing w:val="-2"/>
          <w:kern w:val="0"/>
          <w:sz w:val="32"/>
          <w:szCs w:val="32"/>
          <w:lang w:val="en-US" w:eastAsia="en-US" w:bidi="ar-SA"/>
        </w:rPr>
        <w:t>基本支出情况</w:t>
      </w:r>
    </w:p>
    <w:p w14:paraId="420F32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620" w:lineRule="exact"/>
        <w:ind w:left="0" w:right="0" w:firstLine="640"/>
        <w:jc w:val="both"/>
        <w:textAlignment w:val="baseline"/>
        <w:rPr>
          <w:rFonts w:hint="eastAsia" w:ascii="仿宋_GB2312" w:hAnsi="仿宋_GB2312" w:eastAsia="仿宋_GB2312" w:cs="仿宋_GB2312"/>
          <w:bCs/>
          <w:snapToGrid/>
          <w:color w:val="000000"/>
          <w:kern w:val="2"/>
          <w:sz w:val="32"/>
          <w:szCs w:val="32"/>
          <w:lang w:val="en-US" w:eastAsia="zh-CN" w:bidi="ar-SA"/>
        </w:rPr>
      </w:pPr>
      <w:r>
        <w:rPr>
          <w:rFonts w:hint="eastAsia" w:ascii="仿宋_GB2312" w:hAnsi="仿宋_GB2312" w:eastAsia="仿宋_GB2312" w:cs="仿宋_GB2312"/>
          <w:bCs/>
          <w:snapToGrid/>
          <w:color w:val="000000"/>
          <w:kern w:val="2"/>
          <w:sz w:val="32"/>
          <w:szCs w:val="32"/>
          <w:lang w:val="en-US" w:eastAsia="zh-CN" w:bidi="ar-SA"/>
        </w:rPr>
        <w:t>2024年基本支出数为1845.5万元，其中包括人员经费1364.93万元，日常公用经费480.57万元。是指为保障县纪委监委正常运转、完成日常工作任务而发生的各项支出，包括用于基本工资、津贴补贴等人员经费以及办公费、印刷费、水电费、差旅费等日常公用经费。均按财政部门要求进行使用和管理。其中“三公”经费的使用和管理严格规范，接待费支出完全按照省市关于公务接待的有关文件执行，2024年度我委没有因公出国（境）情况，彻落实厉行节约、严控“三公”经费。</w:t>
      </w:r>
    </w:p>
    <w:p w14:paraId="F2932813">
      <w:pPr>
        <w:keepNext w:val="0"/>
        <w:keepLines w:val="0"/>
        <w:pageBreakBefore w:val="0"/>
        <w:kinsoku w:val="0"/>
        <w:wordWrap/>
        <w:overflowPunct/>
        <w:topLinePunct w:val="0"/>
        <w:autoSpaceDE w:val="0"/>
        <w:autoSpaceDN w:val="0"/>
        <w:bidi w:val="0"/>
        <w:adjustRightInd w:val="0"/>
        <w:snapToGrid w:val="0"/>
        <w:spacing w:line="620" w:lineRule="exact"/>
        <w:ind w:left="830"/>
        <w:jc w:val="left"/>
        <w:textAlignment w:val="baseline"/>
        <w:rPr>
          <w:rFonts w:ascii="仿宋" w:hAnsi="仿宋" w:eastAsia="仿宋" w:cs="仿宋"/>
          <w:snapToGrid w:val="0"/>
          <w:color w:val="000000"/>
          <w:spacing w:val="-3"/>
          <w:kern w:val="0"/>
          <w:sz w:val="32"/>
          <w:szCs w:val="32"/>
          <w:lang w:val="en-US" w:eastAsia="en-US" w:bidi="ar-SA"/>
        </w:rPr>
      </w:pPr>
      <w:r>
        <w:rPr>
          <w:rFonts w:ascii="楷体" w:hAnsi="楷体" w:eastAsia="楷体" w:cs="楷体"/>
          <w:snapToGrid w:val="0"/>
          <w:color w:val="000000"/>
          <w:spacing w:val="-3"/>
          <w:kern w:val="0"/>
          <w:sz w:val="32"/>
          <w:szCs w:val="32"/>
          <w:lang w:val="en-US" w:eastAsia="en-US" w:bidi="ar-SA"/>
        </w:rPr>
        <w:t>(</w:t>
      </w:r>
      <w:r>
        <w:rPr>
          <w:rFonts w:ascii="楷体" w:hAnsi="楷体" w:eastAsia="楷体" w:cs="楷体"/>
          <w:snapToGrid w:val="0"/>
          <w:color w:val="000000"/>
          <w:spacing w:val="-26"/>
          <w:kern w:val="0"/>
          <w:sz w:val="32"/>
          <w:szCs w:val="32"/>
          <w:lang w:val="en-US" w:eastAsia="en-US" w:bidi="ar-SA"/>
        </w:rPr>
        <w:t xml:space="preserve"> </w:t>
      </w:r>
      <w:r>
        <w:rPr>
          <w:rFonts w:ascii="楷体" w:hAnsi="楷体" w:eastAsia="楷体" w:cs="楷体"/>
          <w:snapToGrid w:val="0"/>
          <w:color w:val="000000"/>
          <w:spacing w:val="-3"/>
          <w:kern w:val="0"/>
          <w:sz w:val="32"/>
          <w:szCs w:val="32"/>
          <w:lang w:val="en-US" w:eastAsia="en-US" w:bidi="ar-SA"/>
        </w:rPr>
        <w:t>二</w:t>
      </w:r>
      <w:r>
        <w:rPr>
          <w:rFonts w:ascii="楷体" w:hAnsi="楷体" w:eastAsia="楷体" w:cs="楷体"/>
          <w:snapToGrid w:val="0"/>
          <w:color w:val="000000"/>
          <w:spacing w:val="-36"/>
          <w:kern w:val="0"/>
          <w:sz w:val="32"/>
          <w:szCs w:val="32"/>
          <w:lang w:val="en-US" w:eastAsia="en-US" w:bidi="ar-SA"/>
        </w:rPr>
        <w:t xml:space="preserve"> </w:t>
      </w:r>
      <w:r>
        <w:rPr>
          <w:rFonts w:ascii="楷体" w:hAnsi="楷体" w:eastAsia="楷体" w:cs="楷体"/>
          <w:snapToGrid w:val="0"/>
          <w:color w:val="000000"/>
          <w:spacing w:val="-3"/>
          <w:kern w:val="0"/>
          <w:sz w:val="32"/>
          <w:szCs w:val="32"/>
          <w:lang w:val="en-US" w:eastAsia="en-US" w:bidi="ar-SA"/>
        </w:rPr>
        <w:t>)</w:t>
      </w:r>
      <w:r>
        <w:rPr>
          <w:rFonts w:ascii="仿宋" w:hAnsi="仿宋" w:eastAsia="仿宋" w:cs="仿宋"/>
          <w:snapToGrid w:val="0"/>
          <w:color w:val="000000"/>
          <w:spacing w:val="-3"/>
          <w:kern w:val="0"/>
          <w:sz w:val="32"/>
          <w:szCs w:val="32"/>
          <w:lang w:val="en-US" w:eastAsia="en-US" w:bidi="ar-SA"/>
        </w:rPr>
        <w:t>项目支出情况</w:t>
      </w:r>
    </w:p>
    <w:p w14:paraId="127179FE">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_GB2312" w:hAnsi="仿宋_GB2312" w:eastAsia="仿宋_GB2312" w:cs="仿宋_GB2312"/>
          <w:bCs/>
          <w:snapToGrid/>
          <w:color w:val="000000"/>
          <w:kern w:val="2"/>
          <w:sz w:val="32"/>
          <w:szCs w:val="32"/>
          <w:lang w:val="en-US" w:eastAsia="zh-CN" w:bidi="ar-SA"/>
        </w:rPr>
        <w:t>2024年项目支出数为985.28万元，是指县纪委监委为完成特定工作任务目标而发生的支出，其中：</w:t>
      </w:r>
      <w:r>
        <w:rPr>
          <w:rFonts w:hint="eastAsia" w:ascii="仿宋" w:hAnsi="仿宋" w:eastAsia="仿宋" w:cs="宋体"/>
          <w:snapToGrid/>
          <w:color w:val="000000"/>
          <w:kern w:val="0"/>
          <w:sz w:val="32"/>
          <w:szCs w:val="32"/>
          <w:lang w:val="en-US" w:eastAsia="zh-CN"/>
        </w:rPr>
        <w:t>1.乡镇纪检工作经费90万元，主要用于全县15个乡镇（办事处）纪委和全县六大片区开展纪检监察工作所需经费。</w:t>
      </w:r>
    </w:p>
    <w:p w14:paraId="31720D51">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2.办案经费733.7万，主要用于全年案件查办、信访调证、线索处置等开支，如办案期间的差旅费、通讯费、交通费、办案设备租用费、办案场所（留置点）使用费、调查取证费、房租费、会议费、工作人员及审查对象伙食费、生活费及陪护人员费用。</w:t>
      </w:r>
    </w:p>
    <w:p w14:paraId="25D59FA5">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ascii="Arial" w:hAnsi="Arial" w:eastAsia="Arial" w:cs="Arial"/>
          <w:snapToGrid w:val="0"/>
          <w:color w:val="000000"/>
          <w:spacing w:val="-3"/>
          <w:kern w:val="0"/>
          <w:sz w:val="32"/>
          <w:szCs w:val="32"/>
          <w:lang w:eastAsia="en-US"/>
        </w:rPr>
      </w:pPr>
      <w:r>
        <w:rPr>
          <w:rFonts w:hint="eastAsia" w:ascii="仿宋" w:hAnsi="仿宋" w:eastAsia="仿宋" w:cs="宋体"/>
          <w:snapToGrid/>
          <w:color w:val="000000"/>
          <w:kern w:val="0"/>
          <w:sz w:val="32"/>
          <w:szCs w:val="32"/>
          <w:lang w:val="en-US" w:eastAsia="zh-CN"/>
        </w:rPr>
        <w:t>3.作风建设工作经费9.13万，主要用于全县纠“四风”督查开支。</w:t>
      </w:r>
    </w:p>
    <w:p w14:paraId="50646F4B">
      <w:pPr>
        <w:keepNext w:val="0"/>
        <w:keepLines w:val="0"/>
        <w:pageBreakBefore w:val="0"/>
        <w:widowControl/>
        <w:kinsoku w:val="0"/>
        <w:wordWrap/>
        <w:overflowPunct/>
        <w:topLinePunct w:val="0"/>
        <w:autoSpaceDE w:val="0"/>
        <w:autoSpaceDN w:val="0"/>
        <w:bidi w:val="0"/>
        <w:adjustRightInd w:val="0"/>
        <w:snapToGrid w:val="0"/>
        <w:spacing w:line="620" w:lineRule="exact"/>
        <w:ind w:left="684"/>
        <w:jc w:val="left"/>
        <w:textAlignment w:val="baseline"/>
        <w:rPr>
          <w:rFonts w:ascii="黑体" w:hAnsi="黑体" w:eastAsia="黑体" w:cs="黑体"/>
          <w:b w:val="0"/>
          <w:bCs w:val="0"/>
          <w:snapToGrid w:val="0"/>
          <w:color w:val="000000"/>
          <w:kern w:val="0"/>
          <w:sz w:val="32"/>
          <w:szCs w:val="32"/>
          <w:lang w:eastAsia="en-US"/>
        </w:rPr>
      </w:pPr>
      <w:r>
        <w:rPr>
          <w:rFonts w:ascii="黑体" w:hAnsi="黑体" w:eastAsia="黑体" w:cs="黑体"/>
          <w:b w:val="0"/>
          <w:bCs w:val="0"/>
          <w:snapToGrid w:val="0"/>
          <w:color w:val="000000"/>
          <w:kern w:val="0"/>
          <w:sz w:val="32"/>
          <w:szCs w:val="32"/>
          <w:lang w:eastAsia="en-US"/>
        </w:rPr>
        <w:t>三、政府性基金预算支出情况</w:t>
      </w:r>
    </w:p>
    <w:p w14:paraId="3E568BB0">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bCs/>
          <w:snapToGrid/>
          <w:color w:val="000000"/>
          <w:kern w:val="2"/>
          <w:sz w:val="32"/>
          <w:szCs w:val="32"/>
          <w:lang w:val="en-US" w:eastAsia="zh-CN" w:bidi="ar-SA"/>
        </w:rPr>
      </w:pPr>
      <w:r>
        <w:rPr>
          <w:rFonts w:hint="eastAsia" w:ascii="仿宋_GB2312" w:hAnsi="仿宋_GB2312" w:eastAsia="仿宋_GB2312" w:cs="仿宋_GB2312"/>
          <w:bCs/>
          <w:snapToGrid/>
          <w:color w:val="000000"/>
          <w:kern w:val="2"/>
          <w:sz w:val="32"/>
          <w:szCs w:val="32"/>
          <w:lang w:val="en-US" w:eastAsia="zh-CN" w:bidi="ar-SA"/>
        </w:rPr>
        <w:t>2024年政府性基金预算支出数为152.45万元，是县纪委监委为落实上级要求，对审查调查谈话场所进行改造建设的开支。</w:t>
      </w:r>
    </w:p>
    <w:p w14:paraId="5DC947DC">
      <w:pPr>
        <w:keepNext w:val="0"/>
        <w:keepLines w:val="0"/>
        <w:pageBreakBefore w:val="0"/>
        <w:widowControl/>
        <w:numPr>
          <w:ilvl w:val="0"/>
          <w:numId w:val="1"/>
        </w:numPr>
        <w:kinsoku w:val="0"/>
        <w:wordWrap/>
        <w:overflowPunct/>
        <w:topLinePunct w:val="0"/>
        <w:autoSpaceDE w:val="0"/>
        <w:autoSpaceDN w:val="0"/>
        <w:bidi w:val="0"/>
        <w:adjustRightInd w:val="0"/>
        <w:snapToGrid w:val="0"/>
        <w:spacing w:line="620" w:lineRule="exact"/>
        <w:ind w:left="684"/>
        <w:jc w:val="left"/>
        <w:textAlignment w:val="baseline"/>
        <w:rPr>
          <w:rFonts w:ascii="黑体" w:hAnsi="黑体" w:eastAsia="黑体" w:cs="黑体"/>
          <w:b w:val="0"/>
          <w:bCs w:val="0"/>
          <w:snapToGrid w:val="0"/>
          <w:color w:val="000000"/>
          <w:kern w:val="0"/>
          <w:sz w:val="32"/>
          <w:szCs w:val="32"/>
          <w:lang w:eastAsia="en-US"/>
        </w:rPr>
      </w:pPr>
      <w:r>
        <w:rPr>
          <w:rFonts w:ascii="黑体" w:hAnsi="黑体" w:eastAsia="黑体" w:cs="黑体"/>
          <w:b w:val="0"/>
          <w:bCs w:val="0"/>
          <w:snapToGrid w:val="0"/>
          <w:color w:val="000000"/>
          <w:kern w:val="0"/>
          <w:sz w:val="32"/>
          <w:szCs w:val="32"/>
          <w:lang w:eastAsia="en-US"/>
        </w:rPr>
        <w:t>国有资本经营预算支出情况</w:t>
      </w:r>
    </w:p>
    <w:p w14:paraId="0D0A47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Autospacing="0" w:after="0" w:afterAutospacing="0" w:line="620" w:lineRule="exact"/>
        <w:ind w:left="0" w:right="0" w:firstLine="640" w:firstLineChars="200"/>
        <w:jc w:val="both"/>
        <w:textAlignment w:val="baseline"/>
        <w:rPr>
          <w:rFonts w:ascii="黑体" w:hAnsi="黑体" w:eastAsia="黑体" w:cs="黑体"/>
          <w:b/>
          <w:bCs/>
          <w:snapToGrid w:val="0"/>
          <w:color w:val="000000"/>
          <w:kern w:val="0"/>
          <w:sz w:val="32"/>
          <w:szCs w:val="32"/>
          <w:lang w:eastAsia="en-US"/>
        </w:rPr>
      </w:pPr>
      <w:r>
        <w:rPr>
          <w:rFonts w:hint="eastAsia" w:ascii="仿宋" w:hAnsi="仿宋" w:eastAsia="仿宋" w:cs="仿宋"/>
          <w:b w:val="0"/>
          <w:bCs w:val="0"/>
          <w:i w:val="0"/>
          <w:iCs w:val="0"/>
          <w:caps w:val="0"/>
          <w:snapToGrid w:val="0"/>
          <w:color w:val="000000"/>
          <w:spacing w:val="0"/>
          <w:kern w:val="0"/>
          <w:sz w:val="32"/>
          <w:szCs w:val="32"/>
          <w:lang w:val="en-US" w:eastAsia="zh-CN" w:bidi="ar"/>
        </w:rPr>
        <w:t>无。</w:t>
      </w:r>
    </w:p>
    <w:p w14:paraId="8F5899BF">
      <w:pPr>
        <w:keepNext w:val="0"/>
        <w:keepLines w:val="0"/>
        <w:pageBreakBefore w:val="0"/>
        <w:widowControl/>
        <w:kinsoku w:val="0"/>
        <w:wordWrap/>
        <w:overflowPunct/>
        <w:topLinePunct w:val="0"/>
        <w:autoSpaceDE w:val="0"/>
        <w:autoSpaceDN w:val="0"/>
        <w:bidi w:val="0"/>
        <w:adjustRightInd w:val="0"/>
        <w:snapToGrid w:val="0"/>
        <w:spacing w:line="620" w:lineRule="exact"/>
        <w:ind w:left="684"/>
        <w:jc w:val="left"/>
        <w:textAlignment w:val="baseline"/>
        <w:rPr>
          <w:rFonts w:ascii="黑体" w:hAnsi="黑体" w:eastAsia="黑体" w:cs="黑体"/>
          <w:b w:val="0"/>
          <w:bCs w:val="0"/>
          <w:snapToGrid w:val="0"/>
          <w:color w:val="000000"/>
          <w:kern w:val="0"/>
          <w:sz w:val="32"/>
          <w:szCs w:val="32"/>
          <w:lang w:eastAsia="en-US"/>
        </w:rPr>
      </w:pPr>
      <w:r>
        <w:rPr>
          <w:rFonts w:ascii="黑体" w:hAnsi="黑体" w:eastAsia="黑体" w:cs="黑体"/>
          <w:b w:val="0"/>
          <w:bCs w:val="0"/>
          <w:snapToGrid w:val="0"/>
          <w:color w:val="000000"/>
          <w:spacing w:val="1"/>
          <w:kern w:val="0"/>
          <w:sz w:val="32"/>
          <w:szCs w:val="32"/>
          <w:lang w:eastAsia="en-US"/>
        </w:rPr>
        <w:t>五、社会保险基金预算支出情</w:t>
      </w:r>
    </w:p>
    <w:p w14:paraId="70EACF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Autospacing="0" w:after="0" w:afterAutospacing="0" w:line="620" w:lineRule="exact"/>
        <w:ind w:left="0" w:right="0" w:firstLine="640" w:firstLineChars="200"/>
        <w:jc w:val="both"/>
        <w:textAlignment w:val="baseline"/>
        <w:rPr>
          <w:rFonts w:ascii="黑体" w:hAnsi="黑体" w:eastAsia="黑体" w:cs="黑体"/>
          <w:b/>
          <w:bCs/>
          <w:snapToGrid w:val="0"/>
          <w:color w:val="000000"/>
          <w:kern w:val="0"/>
          <w:sz w:val="32"/>
          <w:szCs w:val="32"/>
          <w:lang w:eastAsia="en-US"/>
        </w:rPr>
      </w:pPr>
      <w:r>
        <w:rPr>
          <w:rFonts w:hint="eastAsia" w:ascii="仿宋" w:hAnsi="仿宋" w:eastAsia="仿宋" w:cs="仿宋"/>
          <w:b w:val="0"/>
          <w:bCs w:val="0"/>
          <w:i w:val="0"/>
          <w:iCs w:val="0"/>
          <w:caps w:val="0"/>
          <w:snapToGrid w:val="0"/>
          <w:color w:val="000000"/>
          <w:spacing w:val="0"/>
          <w:kern w:val="0"/>
          <w:sz w:val="32"/>
          <w:szCs w:val="32"/>
          <w:lang w:val="en-US" w:eastAsia="zh-CN" w:bidi="ar"/>
        </w:rPr>
        <w:t>无。</w:t>
      </w:r>
    </w:p>
    <w:p w14:paraId="5B64FD0C">
      <w:pPr>
        <w:keepNext w:val="0"/>
        <w:keepLines w:val="0"/>
        <w:pageBreakBefore w:val="0"/>
        <w:widowControl/>
        <w:kinsoku w:val="0"/>
        <w:wordWrap/>
        <w:overflowPunct/>
        <w:topLinePunct w:val="0"/>
        <w:autoSpaceDE w:val="0"/>
        <w:autoSpaceDN w:val="0"/>
        <w:bidi w:val="0"/>
        <w:adjustRightInd w:val="0"/>
        <w:snapToGrid w:val="0"/>
        <w:spacing w:line="620" w:lineRule="exact"/>
        <w:ind w:left="684"/>
        <w:jc w:val="left"/>
        <w:textAlignment w:val="baseline"/>
        <w:rPr>
          <w:rFonts w:ascii="黑体" w:hAnsi="黑体" w:eastAsia="黑体" w:cs="黑体"/>
          <w:b w:val="0"/>
          <w:bCs w:val="0"/>
          <w:snapToGrid w:val="0"/>
          <w:color w:val="000000"/>
          <w:kern w:val="0"/>
          <w:sz w:val="32"/>
          <w:szCs w:val="32"/>
          <w:lang w:eastAsia="en-US"/>
        </w:rPr>
      </w:pPr>
      <w:r>
        <w:rPr>
          <w:rFonts w:ascii="黑体" w:hAnsi="黑体" w:eastAsia="黑体" w:cs="黑体"/>
          <w:b w:val="0"/>
          <w:bCs w:val="0"/>
          <w:snapToGrid w:val="0"/>
          <w:color w:val="000000"/>
          <w:kern w:val="0"/>
          <w:sz w:val="32"/>
          <w:szCs w:val="32"/>
          <w:lang w:eastAsia="en-US"/>
        </w:rPr>
        <w:t>六、部门整体支出绩效情况</w:t>
      </w:r>
    </w:p>
    <w:p w14:paraId="B14E87B7">
      <w:pPr>
        <w:keepNext w:val="0"/>
        <w:keepLines w:val="0"/>
        <w:pageBreakBefore w:val="0"/>
        <w:kinsoku w:val="0"/>
        <w:wordWrap/>
        <w:overflowPunct/>
        <w:topLinePunct w:val="0"/>
        <w:autoSpaceDE w:val="0"/>
        <w:autoSpaceDN w:val="0"/>
        <w:bidi w:val="0"/>
        <w:adjustRightInd w:val="0"/>
        <w:snapToGrid w:val="0"/>
        <w:spacing w:line="620" w:lineRule="exact"/>
        <w:ind w:left="29" w:firstLine="649"/>
        <w:jc w:val="both"/>
        <w:textAlignment w:val="baseline"/>
        <w:rPr>
          <w:rFonts w:ascii="仿宋" w:hAnsi="仿宋" w:eastAsia="仿宋" w:cs="仿宋"/>
          <w:snapToGrid w:val="0"/>
          <w:color w:val="000000"/>
          <w:kern w:val="0"/>
          <w:sz w:val="32"/>
          <w:szCs w:val="32"/>
          <w:lang w:val="en-US" w:eastAsia="en-US" w:bidi="ar-SA"/>
        </w:rPr>
      </w:pPr>
      <w:r>
        <w:rPr>
          <w:rFonts w:hint="eastAsia" w:ascii="宋体" w:hAnsi="宋体" w:eastAsia="宋体" w:cs="宋体"/>
          <w:snapToGrid w:val="0"/>
          <w:color w:val="000000"/>
          <w:kern w:val="0"/>
          <w:sz w:val="32"/>
          <w:szCs w:val="32"/>
          <w:lang w:val="en-US" w:eastAsia="zh-CN" w:bidi="ar-SA"/>
        </w:rPr>
        <w:t>2024</w:t>
      </w:r>
      <w:r>
        <w:rPr>
          <w:rFonts w:hint="eastAsia" w:ascii="仿宋" w:hAnsi="仿宋" w:eastAsia="仿宋_GB2312" w:cs="仿宋"/>
          <w:snapToGrid w:val="0"/>
          <w:color w:val="000000"/>
          <w:kern w:val="0"/>
          <w:sz w:val="32"/>
          <w:szCs w:val="32"/>
          <w:lang w:val="en-US" w:eastAsia="zh-CN" w:bidi="ar-SA"/>
        </w:rPr>
        <w:t>年，我单位严格按岳阳县财政局的批复执行预算，“三公”经费、会议费等一般公共支出严格控制在预算标准内，增强了职能履行和重点工作经费的保障能力；加快预算执行进度，提高资金使用绩效；持续推进预决算和“三公”经费公开，按时按质完成预决算公开，规范财务管理；加强财务监督检查，财务管理水平稳步提高。</w:t>
      </w:r>
    </w:p>
    <w:p w14:paraId="3E3C1228">
      <w:pPr>
        <w:keepNext w:val="0"/>
        <w:keepLines w:val="0"/>
        <w:pageBreakBefore w:val="0"/>
        <w:widowControl/>
        <w:kinsoku w:val="0"/>
        <w:wordWrap/>
        <w:overflowPunct/>
        <w:topLinePunct w:val="0"/>
        <w:autoSpaceDE w:val="0"/>
        <w:autoSpaceDN w:val="0"/>
        <w:bidi w:val="0"/>
        <w:adjustRightInd w:val="0"/>
        <w:snapToGrid w:val="0"/>
        <w:spacing w:line="620" w:lineRule="exact"/>
        <w:ind w:left="684"/>
        <w:jc w:val="left"/>
        <w:textAlignment w:val="baseline"/>
        <w:outlineLvl w:val="2"/>
        <w:rPr>
          <w:rFonts w:ascii="黑体" w:hAnsi="黑体" w:eastAsia="黑体" w:cs="黑体"/>
          <w:b w:val="0"/>
          <w:bCs w:val="0"/>
          <w:snapToGrid w:val="0"/>
          <w:color w:val="000000"/>
          <w:kern w:val="0"/>
          <w:sz w:val="32"/>
          <w:szCs w:val="32"/>
          <w:lang w:eastAsia="en-US"/>
        </w:rPr>
      </w:pPr>
      <w:r>
        <w:rPr>
          <w:rFonts w:ascii="黑体" w:hAnsi="黑体" w:eastAsia="黑体" w:cs="黑体"/>
          <w:b w:val="0"/>
          <w:bCs w:val="0"/>
          <w:snapToGrid w:val="0"/>
          <w:color w:val="000000"/>
          <w:spacing w:val="2"/>
          <w:kern w:val="0"/>
          <w:sz w:val="32"/>
          <w:szCs w:val="32"/>
          <w:lang w:eastAsia="en-US"/>
        </w:rPr>
        <w:t>七、存在的问题及原因分析</w:t>
      </w:r>
    </w:p>
    <w:p w14:paraId="74C9BBF0">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（一）预算绩效管理追踪执行力度有待加强</w:t>
      </w:r>
    </w:p>
    <w:p w14:paraId="6953FA73">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开展全面预算绩效管理，需要对各项目的绩效完成进度及资金使用情况进行持续监督与追踪，本年度对于部分年中财政临时追加下达的项目工作经费，未及时设置绩效目标。主要原因是我单位为发挥资金使用效益，结合实际资金缺口对追加资金进行了较长时间的研究和统筹。</w:t>
      </w:r>
    </w:p>
    <w:p w14:paraId="23683588">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（二）项目预算执行率有待提高</w:t>
      </w:r>
    </w:p>
    <w:p w14:paraId="29FDECD4">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从整体情况看，项目支出预算完成率和预算控制率完成较好，部分项目指标执行率有待加强。主要原因是预算指标申请金额未完全匹配实际使用需要，导致年终时有出现批量调剂指标情况。</w:t>
      </w:r>
    </w:p>
    <w:p w14:paraId="700B5430">
      <w:pPr>
        <w:keepNext w:val="0"/>
        <w:keepLines w:val="0"/>
        <w:pageBreakBefore w:val="0"/>
        <w:widowControl/>
        <w:numPr>
          <w:ilvl w:val="0"/>
          <w:numId w:val="2"/>
        </w:numPr>
        <w:kinsoku w:val="0"/>
        <w:wordWrap/>
        <w:overflowPunct/>
        <w:topLinePunct w:val="0"/>
        <w:autoSpaceDE w:val="0"/>
        <w:autoSpaceDN w:val="0"/>
        <w:bidi w:val="0"/>
        <w:adjustRightInd w:val="0"/>
        <w:snapToGrid w:val="0"/>
        <w:spacing w:line="620" w:lineRule="exact"/>
        <w:ind w:left="684"/>
        <w:jc w:val="left"/>
        <w:textAlignment w:val="baseline"/>
        <w:rPr>
          <w:rFonts w:ascii="黑体" w:hAnsi="黑体" w:eastAsia="黑体" w:cs="黑体"/>
          <w:b w:val="0"/>
          <w:bCs w:val="0"/>
          <w:snapToGrid w:val="0"/>
          <w:color w:val="000000"/>
          <w:spacing w:val="1"/>
          <w:kern w:val="0"/>
          <w:sz w:val="32"/>
          <w:szCs w:val="32"/>
          <w:lang w:eastAsia="en-US"/>
        </w:rPr>
      </w:pPr>
      <w:r>
        <w:rPr>
          <w:rFonts w:ascii="黑体" w:hAnsi="黑体" w:eastAsia="黑体" w:cs="黑体"/>
          <w:b w:val="0"/>
          <w:bCs w:val="0"/>
          <w:snapToGrid w:val="0"/>
          <w:color w:val="000000"/>
          <w:spacing w:val="1"/>
          <w:kern w:val="0"/>
          <w:sz w:val="32"/>
          <w:szCs w:val="32"/>
          <w:lang w:eastAsia="en-US"/>
        </w:rPr>
        <w:t>下一步改进措施</w:t>
      </w:r>
    </w:p>
    <w:p w14:paraId="120780CF">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（一）加强沟通对接，提升预算执行率。科学合理安排年度预算，及时申请结余已收回资金重新下达，加强与财评部门沟通联系，保障支付、财评、结算等程序进程，提高资金支付速度。</w:t>
      </w:r>
    </w:p>
    <w:p w14:paraId="41916C32">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rPr>
      </w:pPr>
      <w:r>
        <w:rPr>
          <w:rFonts w:hint="eastAsia" w:ascii="Arial" w:hAnsi="Arial" w:eastAsia="仿宋_GB2312" w:cs="Arial"/>
          <w:snapToGrid w:val="0"/>
          <w:color w:val="000000"/>
          <w:kern w:val="0"/>
          <w:sz w:val="32"/>
          <w:szCs w:val="32"/>
          <w:lang w:val="en-US" w:eastAsia="zh-CN"/>
        </w:rPr>
        <w:t>（二）进一步提高预算编制的科学性与预见性。结合实际运转需要，预编一部分不可预计费用，不断提升财政资金使用的精准性和准确性。</w:t>
      </w:r>
    </w:p>
    <w:p w14:paraId="525A4093">
      <w:pPr>
        <w:keepNext w:val="0"/>
        <w:keepLines w:val="0"/>
        <w:pageBreakBefore w:val="0"/>
        <w:widowControl/>
        <w:kinsoku w:val="0"/>
        <w:wordWrap/>
        <w:overflowPunct/>
        <w:topLinePunct w:val="0"/>
        <w:autoSpaceDE w:val="0"/>
        <w:autoSpaceDN w:val="0"/>
        <w:bidi w:val="0"/>
        <w:adjustRightInd w:val="0"/>
        <w:snapToGrid w:val="0"/>
        <w:spacing w:line="620" w:lineRule="exact"/>
        <w:ind w:firstLine="640" w:firstLineChars="200"/>
        <w:jc w:val="both"/>
        <w:textAlignment w:val="baseline"/>
        <w:rPr>
          <w:rFonts w:ascii="黑体" w:hAnsi="黑体" w:eastAsia="黑体" w:cs="黑体"/>
          <w:b/>
          <w:bCs/>
          <w:snapToGrid w:val="0"/>
          <w:color w:val="000000"/>
          <w:spacing w:val="1"/>
          <w:kern w:val="0"/>
          <w:sz w:val="31"/>
          <w:szCs w:val="31"/>
          <w:lang w:eastAsia="en-US"/>
        </w:rPr>
      </w:pPr>
      <w:r>
        <w:rPr>
          <w:rFonts w:hint="eastAsia" w:ascii="Arial" w:hAnsi="Arial" w:eastAsia="仿宋_GB2312" w:cs="Arial"/>
          <w:snapToGrid w:val="0"/>
          <w:color w:val="000000"/>
          <w:kern w:val="0"/>
          <w:sz w:val="32"/>
          <w:szCs w:val="32"/>
          <w:lang w:val="en-US" w:eastAsia="zh-CN"/>
        </w:rPr>
        <w:t>（三）严格绩效和监督管理。加强对项目的监督检查，督促项目按计划进度实施，确保项目按期实现预算绩效目标。</w:t>
      </w:r>
    </w:p>
    <w:p w14:paraId="318A10E4">
      <w:pPr>
        <w:keepNext w:val="0"/>
        <w:keepLines w:val="0"/>
        <w:pageBreakBefore w:val="0"/>
        <w:widowControl/>
        <w:kinsoku w:val="0"/>
        <w:wordWrap/>
        <w:overflowPunct/>
        <w:topLinePunct w:val="0"/>
        <w:autoSpaceDE w:val="0"/>
        <w:autoSpaceDN w:val="0"/>
        <w:bidi w:val="0"/>
        <w:adjustRightInd w:val="0"/>
        <w:snapToGrid w:val="0"/>
        <w:spacing w:line="620" w:lineRule="exact"/>
        <w:ind w:left="684"/>
        <w:jc w:val="left"/>
        <w:textAlignment w:val="baseline"/>
        <w:rPr>
          <w:rFonts w:ascii="黑体" w:hAnsi="黑体" w:eastAsia="黑体" w:cs="黑体"/>
          <w:b w:val="0"/>
          <w:bCs w:val="0"/>
          <w:snapToGrid w:val="0"/>
          <w:color w:val="000000"/>
          <w:spacing w:val="2"/>
          <w:kern w:val="0"/>
          <w:sz w:val="31"/>
          <w:szCs w:val="31"/>
          <w:lang w:eastAsia="en-US"/>
        </w:rPr>
      </w:pPr>
      <w:r>
        <w:rPr>
          <w:rFonts w:ascii="黑体" w:hAnsi="黑体" w:eastAsia="黑体" w:cs="黑体"/>
          <w:b w:val="0"/>
          <w:bCs w:val="0"/>
          <w:snapToGrid w:val="0"/>
          <w:color w:val="000000"/>
          <w:spacing w:val="2"/>
          <w:kern w:val="0"/>
          <w:sz w:val="31"/>
          <w:szCs w:val="31"/>
          <w:lang w:eastAsia="en-US"/>
        </w:rPr>
        <w:t>九、部门整体支出绩效自评结果拟应用和公开情况</w:t>
      </w:r>
    </w:p>
    <w:p w14:paraId="2BC7E5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ascii="黑体" w:hAnsi="黑体" w:eastAsia="黑体" w:cs="黑体"/>
          <w:b/>
          <w:bCs/>
          <w:snapToGrid w:val="0"/>
          <w:color w:val="000000"/>
          <w:spacing w:val="2"/>
          <w:kern w:val="0"/>
          <w:sz w:val="31"/>
          <w:szCs w:val="31"/>
          <w:lang w:eastAsia="en-US"/>
        </w:rPr>
      </w:pPr>
      <w:r>
        <w:rPr>
          <w:rFonts w:hint="eastAsia" w:ascii="Arial" w:hAnsi="Arial" w:eastAsia="仿宋_GB2312" w:cs="Arial"/>
          <w:snapToGrid w:val="0"/>
          <w:color w:val="000000"/>
          <w:kern w:val="0"/>
          <w:sz w:val="32"/>
          <w:szCs w:val="32"/>
          <w:lang w:val="en-US" w:eastAsia="zh-CN" w:bidi="ar-SA"/>
        </w:rPr>
        <w:t>针对绩效自评中发现的问题，我单位将加强与相关单位的沟通协调，采取切实可行的举措整改落实到位。</w:t>
      </w:r>
    </w:p>
    <w:p w14:paraId="7FAABD29">
      <w:pPr>
        <w:keepNext w:val="0"/>
        <w:keepLines w:val="0"/>
        <w:pageBreakBefore w:val="0"/>
        <w:widowControl/>
        <w:kinsoku w:val="0"/>
        <w:wordWrap/>
        <w:overflowPunct/>
        <w:topLinePunct w:val="0"/>
        <w:autoSpaceDE w:val="0"/>
        <w:autoSpaceDN w:val="0"/>
        <w:bidi w:val="0"/>
        <w:adjustRightInd w:val="0"/>
        <w:snapToGrid w:val="0"/>
        <w:spacing w:line="620" w:lineRule="exact"/>
        <w:ind w:left="684"/>
        <w:jc w:val="left"/>
        <w:textAlignment w:val="baseline"/>
        <w:rPr>
          <w:rFonts w:hint="eastAsia" w:ascii="黑体" w:hAnsi="黑体" w:eastAsia="黑体" w:cs="黑体"/>
          <w:b w:val="0"/>
          <w:bCs w:val="0"/>
          <w:snapToGrid w:val="0"/>
          <w:color w:val="000000"/>
          <w:kern w:val="0"/>
          <w:sz w:val="31"/>
          <w:szCs w:val="31"/>
          <w:lang w:eastAsia="zh-CN"/>
        </w:rPr>
      </w:pPr>
      <w:r>
        <w:rPr>
          <w:rFonts w:ascii="黑体" w:hAnsi="黑体" w:eastAsia="黑体" w:cs="黑体"/>
          <w:b w:val="0"/>
          <w:bCs w:val="0"/>
          <w:snapToGrid w:val="0"/>
          <w:color w:val="000000"/>
          <w:kern w:val="0"/>
          <w:sz w:val="31"/>
          <w:szCs w:val="31"/>
          <w:lang w:eastAsia="en-US"/>
        </w:rPr>
        <w:t>十、其他需要说明的情况</w:t>
      </w:r>
    </w:p>
    <w:p w14:paraId="32FB7746">
      <w:pPr>
        <w:keepNext w:val="0"/>
        <w:keepLines w:val="0"/>
        <w:pageBreakBefore w:val="0"/>
        <w:wordWrap/>
        <w:overflowPunct/>
        <w:topLinePunct w:val="0"/>
        <w:bidi w:val="0"/>
        <w:spacing w:line="600" w:lineRule="exact"/>
        <w:ind w:firstLine="640" w:firstLineChars="200"/>
        <w:rPr>
          <w:sz w:val="31"/>
          <w:szCs w:val="31"/>
        </w:rPr>
        <w:sectPr>
          <w:headerReference r:id="rId5" w:type="default"/>
          <w:footerReference r:id="rId6" w:type="default"/>
          <w:pgSz w:w="11900" w:h="16830"/>
          <w:pgMar w:top="1440" w:right="1800" w:bottom="1440" w:left="1800" w:header="0" w:footer="1591" w:gutter="0"/>
          <w:cols w:space="720" w:num="1"/>
        </w:sectPr>
      </w:pPr>
      <w:r>
        <w:rPr>
          <w:rFonts w:hint="eastAsia" w:ascii="Arial" w:hAnsi="Arial" w:eastAsia="仿宋_GB2312" w:cs="Arial"/>
          <w:snapToGrid w:val="0"/>
          <w:color w:val="000000"/>
          <w:kern w:val="0"/>
          <w:sz w:val="32"/>
          <w:szCs w:val="32"/>
          <w:lang w:val="en-US" w:eastAsia="zh-CN"/>
        </w:rPr>
        <w:t>无。</w:t>
      </w:r>
    </w:p>
    <w:p w14:paraId="98120DF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14:paraId="491D6538"/>
    <w:sectPr>
      <w:footerReference r:id="rId7" w:type="default"/>
      <w:pgSz w:w="11900" w:h="16830"/>
      <w:pgMar w:top="0" w:right="0" w:bottom="0" w:left="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E1A197F9">
    <w:pPr>
      <w:widowControl/>
      <w:kinsoku w:val="0"/>
      <w:autoSpaceDE w:val="0"/>
      <w:autoSpaceDN w:val="0"/>
      <w:adjustRightInd w:val="0"/>
      <w:snapToGrid w:val="0"/>
      <w:spacing w:before="1" w:line="232" w:lineRule="auto"/>
      <w:jc w:val="left"/>
      <w:textAlignment w:val="baseline"/>
      <w:rPr>
        <w:rFonts w:ascii="宋体" w:hAnsi="宋体" w:eastAsia="宋体" w:cs="宋体"/>
        <w:snapToGrid w:val="0"/>
        <w:color w:val="000000"/>
        <w:kern w:val="0"/>
        <w:sz w:val="28"/>
        <w:szCs w:val="28"/>
        <w:lang w:eastAsia="en-US"/>
      </w:rPr>
    </w:pPr>
    <w:r>
      <w:rPr>
        <w:rFonts w:ascii="宋体" w:hAnsi="宋体" w:eastAsia="宋体" w:cs="宋体"/>
        <w:snapToGrid w:val="0"/>
        <w:color w:val="000000"/>
        <w:spacing w:val="-3"/>
        <w:kern w:val="0"/>
        <w:sz w:val="28"/>
        <w:szCs w:val="28"/>
        <w:lang w:eastAsia="en-US"/>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96B1CAD8">
    <w:pPr>
      <w:widowControl/>
      <w:kinsoku w:val="0"/>
      <w:autoSpaceDE w:val="0"/>
      <w:autoSpaceDN w:val="0"/>
      <w:adjustRightInd w:val="0"/>
      <w:snapToGrid w:val="0"/>
      <w:spacing w:line="235" w:lineRule="auto"/>
      <w:jc w:val="right"/>
      <w:textAlignment w:val="baseline"/>
      <w:rPr>
        <w:rFonts w:ascii="宋体" w:hAnsi="宋体" w:eastAsia="宋体" w:cs="宋体"/>
        <w:snapToGrid w:val="0"/>
        <w:color w:val="000000"/>
        <w:kern w:val="0"/>
        <w:sz w:val="31"/>
        <w:szCs w:val="31"/>
        <w:lang w:eastAsia="en-US"/>
      </w:rPr>
    </w:pPr>
    <w:r>
      <w:rPr>
        <w:rFonts w:ascii="宋体" w:hAnsi="宋体" w:eastAsia="宋体" w:cs="宋体"/>
        <w:snapToGrid w:val="0"/>
        <w:color w:val="000000"/>
        <w:spacing w:val="-16"/>
        <w:kern w:val="0"/>
        <w:sz w:val="31"/>
        <w:szCs w:val="31"/>
        <w:lang w:eastAsia="en-US"/>
      </w:rPr>
      <w:t>—1</w:t>
    </w:r>
    <w:r>
      <w:rPr>
        <w:rFonts w:ascii="宋体" w:hAnsi="宋体" w:eastAsia="宋体" w:cs="宋体"/>
        <w:snapToGrid w:val="0"/>
        <w:color w:val="000000"/>
        <w:spacing w:val="-15"/>
        <w:kern w:val="0"/>
        <w:sz w:val="31"/>
        <w:szCs w:val="31"/>
        <w:lang w:eastAsia="en-US"/>
      </w:rPr>
      <w:t>1</w:t>
    </w:r>
    <w:r>
      <w:rPr>
        <w:rFonts w:ascii="宋体" w:hAnsi="宋体" w:eastAsia="宋体" w:cs="宋体"/>
        <w:snapToGrid w:val="0"/>
        <w:color w:val="000000"/>
        <w:spacing w:val="-9"/>
        <w:kern w:val="0"/>
        <w:sz w:val="31"/>
        <w:szCs w:val="31"/>
        <w:lang w:eastAsia="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F00E2373">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9841FB28">
    <w:pPr>
      <w:widowControl/>
      <w:kinsoku w:val="0"/>
      <w:autoSpaceDE w:val="0"/>
      <w:autoSpaceDN w:val="0"/>
      <w:adjustRightInd w:val="0"/>
      <w:snapToGrid w:val="0"/>
      <w:spacing w:before="74" w:line="219" w:lineRule="auto"/>
      <w:ind w:left="599"/>
      <w:jc w:val="left"/>
      <w:textAlignment w:val="baseline"/>
      <w:rPr>
        <w:rFonts w:hint="eastAsia" w:ascii="宋体" w:hAnsi="宋体" w:eastAsia="宋体" w:cs="宋体"/>
        <w:snapToGrid w:val="0"/>
        <w:color w:val="000000"/>
        <w:kern w:val="0"/>
        <w:sz w:val="28"/>
        <w:szCs w:val="28"/>
        <w:lang w:eastAsia="zh-CN"/>
      </w:rPr>
    </w:pPr>
    <w:r>
      <w:rPr>
        <w:rFonts w:ascii="宋体" w:hAnsi="宋体" w:eastAsia="宋体" w:cs="宋体"/>
        <w:snapToGrid w:val="0"/>
        <w:color w:val="000000"/>
        <w:spacing w:val="-1"/>
        <w:kern w:val="0"/>
        <w:sz w:val="28"/>
        <w:szCs w:val="28"/>
        <w:lang w:eastAsia="en-US"/>
      </w:rPr>
      <w:t>附件</w:t>
    </w:r>
    <w:r>
      <w:rPr>
        <w:rFonts w:hint="eastAsia" w:ascii="宋体" w:hAnsi="宋体" w:eastAsia="宋体" w:cs="宋体"/>
        <w:snapToGrid w:val="0"/>
        <w:color w:val="000000"/>
        <w:spacing w:val="-1"/>
        <w:kern w:val="0"/>
        <w:sz w:val="28"/>
        <w:szCs w:val="28"/>
        <w:lang w:val="en-US" w:eastAsia="zh-CN"/>
      </w:rPr>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C72A8FCE">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B0295"/>
    <w:multiLevelType w:val="singleLevel"/>
    <w:tmpl w:val="84EB0295"/>
    <w:lvl w:ilvl="0" w:tentative="0">
      <w:start w:val="8"/>
      <w:numFmt w:val="chineseCounting"/>
      <w:suff w:val="nothing"/>
      <w:lvlText w:val="%1、"/>
      <w:lvlJc w:val="left"/>
      <w:rPr>
        <w:rFonts w:hint="eastAsia"/>
      </w:rPr>
    </w:lvl>
  </w:abstractNum>
  <w:abstractNum w:abstractNumId="1">
    <w:nsid w:val="F5B92F06"/>
    <w:multiLevelType w:val="singleLevel"/>
    <w:tmpl w:val="F5B92F06"/>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8B24F1"/>
    <w:rsid w:val="1E8B2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2025-05-29T02:54:00Z</dcterms:created>
  <dc:creator>315</dc:creator>
  <cp:lastModifiedBy>315</cp:lastModifiedBy>
  <dcterms:modified xsi:type="dcterms:W3CDTF">2025-05-29T02:55:39Z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814A413312CB4B92892E31873ACDAEF4_11</vt:lpwstr>
  </property>
  <property fmtid="{D5CDD505-2E9C-101B-9397-08002B2CF9AE}" pid="4" name="KSOTemplateDocerSaveRecord">
    <vt:lpwstr>eyJoZGlkIjoiOWYwN2JhMmEyOTEwNmQ0N2ZlYTAyMTYzM2IxMDAwNmQifQ==</vt:lpwstr>
  </property>
</Properties>
</file>