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4BC4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202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4</w:t>
      </w:r>
      <w:r>
        <w:rPr>
          <w:rFonts w:hint="eastAsia" w:eastAsia="方正小标宋简体"/>
          <w:bCs/>
          <w:sz w:val="46"/>
          <w:szCs w:val="46"/>
        </w:rPr>
        <w:t>年度岳阳县住房和城乡建设局</w:t>
      </w:r>
    </w:p>
    <w:p w14:paraId="08473D0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val="en-US" w:eastAsia="zh-CN"/>
        </w:rPr>
        <w:t>部门</w:t>
      </w:r>
      <w:r>
        <w:rPr>
          <w:rFonts w:hint="eastAsia" w:eastAsia="方正小标宋简体"/>
          <w:bCs/>
          <w:sz w:val="46"/>
          <w:szCs w:val="46"/>
        </w:rPr>
        <w:t>整体支出绩效自评报告</w:t>
      </w:r>
    </w:p>
    <w:p w14:paraId="400B1E67">
      <w:pPr>
        <w:rPr>
          <w:rFonts w:eastAsia="仿宋_GB2312"/>
          <w:b/>
          <w:sz w:val="32"/>
        </w:rPr>
      </w:pPr>
    </w:p>
    <w:p w14:paraId="43333137"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部门（单位）基本情况</w:t>
      </w:r>
    </w:p>
    <w:p w14:paraId="1938DA2D"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1、机构设置</w:t>
      </w:r>
    </w:p>
    <w:p w14:paraId="59AF33D7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岳阳县住房和城乡建设局是县政府工作部门，为正科级。岳阳县人民防空办公室作为县国防动员委员会的常设办事机构，与县住房和城乡建设局合署办公，实行一套机构、两个机关名称。</w:t>
      </w:r>
    </w:p>
    <w:p w14:paraId="4E41ABEB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本部门现有</w:t>
      </w:r>
      <w:r>
        <w:rPr>
          <w:rFonts w:hint="eastAsia" w:ascii="仿宋" w:hAnsi="仿宋" w:eastAsia="仿宋"/>
          <w:sz w:val="28"/>
          <w:szCs w:val="28"/>
        </w:rPr>
        <w:t>编制内</w:t>
      </w:r>
      <w:r>
        <w:rPr>
          <w:rFonts w:ascii="仿宋" w:hAnsi="仿宋" w:eastAsia="仿宋"/>
          <w:sz w:val="28"/>
          <w:szCs w:val="28"/>
        </w:rPr>
        <w:t>在职人员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人，内设股室1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个：</w:t>
      </w:r>
      <w:r>
        <w:rPr>
          <w:rFonts w:hint="eastAsia" w:ascii="仿宋" w:hAnsi="仿宋" w:eastAsia="仿宋"/>
          <w:sz w:val="28"/>
          <w:szCs w:val="28"/>
        </w:rPr>
        <w:t>办公室、人事股、计划财务股、行政审批股、政策法规股、城市建设管理股、勘察设计管理股、建设工程招标投标管理办公室、建设工程质量安全管理股、建设工程消防监管股、村镇事务中心、房地产市场监管股、房地产市场开发管理股、建筑节能与科技股、物业管理办公室、岳阳县国有土地房屋征收管理办公室（岳阳县房屋安全鉴定办公室）、住房保障股。</w:t>
      </w:r>
    </w:p>
    <w:p w14:paraId="56F6BDEC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岳阳县住房和城乡建设局下设副科级事业机构5个：县房地产开发服务中心、县住房保障服务中心、县公用工程维护中心、县住房和城乡建设项目服务中心、县建筑市场服务中心。</w:t>
      </w:r>
    </w:p>
    <w:p w14:paraId="728BF5B0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岳阳县住房和城乡建设局下设正股级事业机构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个：县城建档案馆、县</w:t>
      </w:r>
      <w:r>
        <w:rPr>
          <w:rFonts w:hint="eastAsia" w:ascii="仿宋" w:hAnsi="仿宋" w:eastAsia="仿宋"/>
          <w:sz w:val="28"/>
          <w:szCs w:val="28"/>
        </w:rPr>
        <w:t>居民自建房服务中心</w:t>
      </w:r>
      <w:r>
        <w:rPr>
          <w:rFonts w:ascii="仿宋" w:hAnsi="仿宋" w:eastAsia="仿宋"/>
          <w:sz w:val="28"/>
          <w:szCs w:val="28"/>
        </w:rPr>
        <w:t>、县建设工程质量监督站。</w:t>
      </w:r>
    </w:p>
    <w:p w14:paraId="7322197C">
      <w:pPr>
        <w:pStyle w:val="11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141083A1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负责贯彻落实有关住房和城乡建设的方针、政策、法律、法规、规章、制度；拟订全县住房和城乡建设的发展战略、产业政策、改革方案、中长期规划及年度计划并组织实施，牵头组织行业诚信体系建设；负责房地产市场监督管理；负责住房保障监督管理；负责城建计划编制和监督管理；承担城市设计和建筑设计管理责任；承担城市给排水、污水处理、城市供水的监督管理，承担市政街道、地下通道、桥梁等有关市政公用设施的建设维护责任；承担全县建筑市场的管理责任；承担全县建设工程质量、安全生产的监督管理责任；承担城市科学研究和建设科技应用推广责任；承担全县村镇建设指导管理责任；负责历史文化名城（镇、村）的保护及监督管理；负责制定全县行业人才发展规划，加强人才队伍和人事管理；完成县委和县政府交办的其他任务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6C022CF">
      <w:pPr>
        <w:pStyle w:val="11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二、一般公共预算支出情况</w:t>
      </w:r>
    </w:p>
    <w:p w14:paraId="4A9F58C6">
      <w:p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（一）基本支出情况</w:t>
      </w:r>
    </w:p>
    <w:p w14:paraId="644DDF21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4125.66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万元，其中：人员经费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1676.51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万元，主要包括基本工资、津贴补贴、奖金、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绩效工资、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机关事业单位基本养老保险缴费、职业年金缴费、职工基本医疗保险缴费、公务员医疗补助缴费、其他社会保障缴费、住房公积金、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医疗费、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其他工资福利支出；公用经费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2449.15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万元，主要包括办公费、印刷费、咨询费、水费、电费、邮电费、差旅费、维修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护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费、租赁费、会议费、培训费、公务接待费、专用材料费、劳务费、委托业务费、工会经费、福利费、其他交通费用、其他商品和服务支出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办公设备购置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6EC58C6B">
      <w:pPr>
        <w:numPr>
          <w:ilvl w:val="0"/>
          <w:numId w:val="2"/>
        </w:num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项目支出情况</w:t>
      </w:r>
    </w:p>
    <w:p w14:paraId="74F72B7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年财政安排我单位实施业务工作经费、运行维护经费、专项资金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Cs/>
          <w:sz w:val="28"/>
          <w:szCs w:val="28"/>
        </w:rPr>
        <w:t>市政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公共</w:t>
      </w:r>
      <w:r>
        <w:rPr>
          <w:rFonts w:hint="eastAsia" w:ascii="仿宋" w:hAnsi="仿宋" w:eastAsia="仿宋" w:cs="仿宋_GB2312"/>
          <w:bCs/>
          <w:sz w:val="28"/>
          <w:szCs w:val="28"/>
        </w:rPr>
        <w:t>基础设施维护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与建设</w:t>
      </w:r>
      <w:r>
        <w:rPr>
          <w:rFonts w:hint="eastAsia" w:ascii="仿宋" w:hAnsi="仿宋" w:eastAsia="仿宋" w:cs="仿宋_GB2312"/>
          <w:bCs/>
          <w:sz w:val="28"/>
          <w:szCs w:val="28"/>
        </w:rPr>
        <w:t>项目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和老旧小区基础设施配套项目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17009.91</w:t>
      </w:r>
      <w:r>
        <w:rPr>
          <w:rFonts w:hint="eastAsia" w:ascii="仿宋" w:hAnsi="仿宋" w:eastAsia="仿宋"/>
          <w:sz w:val="28"/>
          <w:szCs w:val="28"/>
        </w:rPr>
        <w:t>万元，我单位实际发生项目支出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14382.76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66C09600">
      <w:pPr>
        <w:numPr>
          <w:ilvl w:val="0"/>
          <w:numId w:val="3"/>
        </w:numPr>
        <w:spacing w:line="560" w:lineRule="exact"/>
        <w:ind w:firstLine="560" w:firstLineChars="200"/>
        <w:rPr>
          <w:rFonts w:asci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bCs/>
          <w:color w:val="auto"/>
          <w:sz w:val="28"/>
          <w:szCs w:val="28"/>
        </w:rPr>
        <w:t>项目资金实际使用情况分析</w:t>
      </w:r>
    </w:p>
    <w:p w14:paraId="067C9649">
      <w:pPr>
        <w:numPr>
          <w:ilvl w:val="0"/>
          <w:numId w:val="4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业务工作经费</w:t>
      </w:r>
    </w:p>
    <w:p w14:paraId="372335B9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业务工作经费共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1802.09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万元，主要是</w:t>
      </w:r>
      <w:r>
        <w:rPr>
          <w:rFonts w:hint="eastAsia" w:ascii="仿宋" w:hAnsi="仿宋" w:eastAsia="仿宋"/>
          <w:sz w:val="28"/>
          <w:szCs w:val="28"/>
          <w:highlight w:val="none"/>
        </w:rPr>
        <w:t>城市建设管理工作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1802.09万元，具体用于以下几个方面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 w14:paraId="35CEB84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是推进危房改造工作，完成省市下达岳阳县农村危房改造计划任务131户、县城危旧房改造26套。截至年底，131户农村危改已全面竣工验收，危改补助资金经“阳光审批系统”审批通过后，经“一卡通”将资金拨付给农户。城市危旧房改造项目2个，共计26套均已完工。</w:t>
      </w:r>
    </w:p>
    <w:p w14:paraId="393F61B3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二是加强居民自建房安全监管工作。进一步规范我县居民自建房审批、监管行为，</w:t>
      </w:r>
      <w:r>
        <w:rPr>
          <w:rFonts w:hint="eastAsia" w:ascii="仿宋" w:hAnsi="仿宋" w:eastAsia="仿宋"/>
          <w:sz w:val="28"/>
          <w:szCs w:val="28"/>
        </w:rPr>
        <w:t>深入推进隐患排查整治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开展了农村自建房质量安全专项检查2次，检查在建农村自建房269栋，发现安全风险隐患161处，对检查发现的问题，及时函告乡镇，并督促乡镇整改到位，</w:t>
      </w:r>
      <w:r>
        <w:rPr>
          <w:rFonts w:hint="eastAsia" w:ascii="仿宋" w:hAnsi="仿宋" w:eastAsia="仿宋" w:cs="仿宋_GB2312"/>
          <w:bCs/>
          <w:sz w:val="28"/>
          <w:szCs w:val="28"/>
        </w:rPr>
        <w:t>降低了安全事故风险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07D34854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是严抓项目建设，推进城市高水平发展。实施青山路提质改造、贺坪西路新建道路、公园路新建道路通信线路迁改工程建设，推动农贸市场北侧公园路、西侧富荣路新建项目、贺坪房地产小区老旧小区改造基础设施配套（贺坪西路）项目、新开镇万金路新建工程、荣家湾镇富荣路三期公租房配套项目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岳阳县城北天鹅片区排水防涝建设项目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62AF8DC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四是推进文明创建工作。</w:t>
      </w:r>
      <w:r>
        <w:rPr>
          <w:rFonts w:hint="eastAsia" w:ascii="仿宋" w:hAnsi="仿宋" w:eastAsia="仿宋"/>
          <w:sz w:val="28"/>
          <w:szCs w:val="28"/>
        </w:rPr>
        <w:t>提高了城市管理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水平</w:t>
      </w:r>
      <w:r>
        <w:rPr>
          <w:rFonts w:hint="eastAsia" w:ascii="仿宋" w:hAnsi="仿宋" w:eastAsia="仿宋"/>
          <w:sz w:val="28"/>
          <w:szCs w:val="28"/>
        </w:rPr>
        <w:t>、提升了市民素质、改善了人居环境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00E6D6F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五是推进环境治理。进行县城生活污水处理厂污泥处置服务，提高了环境质量，有利于我县的可持续发展。</w:t>
      </w:r>
    </w:p>
    <w:p w14:paraId="3723A7E4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运行维护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经费</w:t>
      </w:r>
    </w:p>
    <w:p w14:paraId="7FA41D53">
      <w:pPr>
        <w:pStyle w:val="11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主要用于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老旧小区改造项目，共14512.91万元。全年开工改造老旧小区39个项目，涉及小区60个，涉改居民10067户、993栋，其中8个项目15个项目列入省级民生实事。截至12月，岳阳县荷花塘小学家属区等20个项目，包括28个小区已完工；岳阳县原机瓦厂小区等17个项目，包括29个小区正在建设；黄沙街粮店小区等2个项目，包括3个小区已完成招投标工作，准备开工。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老旧小区改造项目改善了老旧小区的居住环境，提高了居民生活水平。</w:t>
      </w:r>
    </w:p>
    <w:p w14:paraId="3FC10EB3">
      <w:pPr>
        <w:pStyle w:val="11"/>
        <w:numPr>
          <w:ilvl w:val="0"/>
          <w:numId w:val="5"/>
        </w:num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专项资金</w:t>
      </w:r>
      <w:bookmarkStart w:id="0" w:name="_GoBack"/>
      <w:bookmarkEnd w:id="0"/>
    </w:p>
    <w:p w14:paraId="2554519C">
      <w:pPr>
        <w:pStyle w:val="11"/>
        <w:ind w:firstLine="560" w:firstLineChars="2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专项资金共3713.72万元，其中：市政公共基础设施维护与建设项目支出3275.35万元、老旧小区基础设施配套项目支出438.37万元。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用于以下几个方面：</w:t>
      </w:r>
    </w:p>
    <w:p w14:paraId="74848E9A">
      <w:pPr>
        <w:pStyle w:val="11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一是推进城乡生态环境治理。积极实施乡镇污水处理工程，保护和改善水质，改善人居环境，提高了居民满意度，有利于城市的繁荣发展。</w:t>
      </w:r>
    </w:p>
    <w:p w14:paraId="5FA1325C">
      <w:pPr>
        <w:pStyle w:val="11"/>
        <w:ind w:firstLine="560" w:firstLineChars="2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二是推进老旧小区基础设施配套项目建设。进行了税务局家属区老旧小区改造，开展了文胜小区、团结小区、城东小区老旧小区改造配套基础设施建设，改善了民生、优化了环境、提升了城市形象、推动了城市更新和发展。</w:t>
      </w:r>
    </w:p>
    <w:p w14:paraId="57BEA0DE">
      <w:pPr>
        <w:numPr>
          <w:ilvl w:val="0"/>
          <w:numId w:val="3"/>
        </w:numPr>
        <w:spacing w:line="560" w:lineRule="exact"/>
        <w:ind w:firstLine="560" w:firstLineChars="200"/>
        <w:rPr>
          <w:rFonts w:asci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bCs/>
          <w:color w:val="auto"/>
          <w:sz w:val="28"/>
          <w:szCs w:val="28"/>
        </w:rPr>
        <w:t>项目资金管理情况分析</w:t>
      </w:r>
    </w:p>
    <w:p w14:paraId="5ACB9CB9">
      <w:pPr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本单位项目资金严格按照资金用途开支，实行专账专户管理，项目实施资金发放进行公开公示，项目验收，完工结算等邀请专业部门进行专项审计，开展项目绩效评价，确保资金充分发挥效益。</w:t>
      </w:r>
    </w:p>
    <w:p w14:paraId="67E68ECA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三、政府性基金预算支出情况</w:t>
      </w:r>
    </w:p>
    <w:p w14:paraId="417F4C3E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年度政府性基金预算支出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9771.62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万元，其中业务工作经费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156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主要用于岳阳县城北天鹅片区排水防涝建设项目前期工作经费；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运行维护经费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5189.92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主要用于县城老旧小区改造；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专项资金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4415.7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主要用乡镇污水处理厂管网使用及运营费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7FB22FD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四、国有资本经营预算支出情况</w:t>
      </w:r>
    </w:p>
    <w:p w14:paraId="06C57023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2FD6F52D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 xml:space="preserve">五、社会保险基金预算支出情况 </w:t>
      </w:r>
    </w:p>
    <w:p w14:paraId="1CB27115">
      <w:pPr>
        <w:pStyle w:val="11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无。</w:t>
      </w:r>
    </w:p>
    <w:p w14:paraId="35A31538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六、部门（单位）整体支出绩效情况</w:t>
      </w:r>
    </w:p>
    <w:p w14:paraId="1F0A8CAB">
      <w:pPr>
        <w:pStyle w:val="11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年度支出总计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25614.58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2937.33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万元，主要用于人员工资、福利、社会保障缴费及办公室公用支出等，项目支出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22677.25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万元，主要为202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年中央财政支持业务工作经费、运行维护经费、专项资金等开支。</w:t>
      </w:r>
      <w:r>
        <w:rPr>
          <w:rFonts w:hint="eastAsia" w:ascii="仿宋" w:hAnsi="仿宋" w:eastAsia="仿宋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完善民生保障体系，加强社会环境治理，加强建筑行业安全生产监管，推进老旧小区改造，全力提升市政基础设施水平，改善了群众居住环境，降低了安全事故风险，为群众提供了安全便利的居住体验。</w:t>
      </w:r>
    </w:p>
    <w:p w14:paraId="4DE1028C">
      <w:pPr>
        <w:spacing w:line="560" w:lineRule="exact"/>
        <w:ind w:firstLine="280" w:firstLineChars="100"/>
        <w:rPr>
          <w:rFonts w:ascii="黑体" w:eastAsia="黑体" w:cs="黑体"/>
          <w:bCs/>
          <w:color w:val="auto"/>
          <w:sz w:val="28"/>
          <w:szCs w:val="28"/>
        </w:rPr>
      </w:pPr>
      <w:r>
        <w:rPr>
          <w:rFonts w:hint="eastAsia" w:ascii="黑体" w:eastAsia="黑体" w:cs="黑体"/>
          <w:bCs/>
          <w:color w:val="auto"/>
          <w:sz w:val="28"/>
          <w:szCs w:val="28"/>
        </w:rPr>
        <w:t>七、存在的主要问题及原因分析</w:t>
      </w:r>
    </w:p>
    <w:p w14:paraId="08EF4362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总的来看，我</w:t>
      </w:r>
      <w:r>
        <w:rPr>
          <w:rFonts w:hint="eastAsia" w:ascii="仿宋" w:hAnsi="仿宋" w:eastAsia="仿宋" w:cs="仿宋_GB2312"/>
          <w:bCs/>
          <w:sz w:val="28"/>
          <w:szCs w:val="28"/>
        </w:rPr>
        <w:t>单位</w:t>
      </w:r>
      <w:r>
        <w:rPr>
          <w:rFonts w:ascii="仿宋" w:hAnsi="仿宋" w:eastAsia="仿宋" w:cs="仿宋_GB2312"/>
          <w:bCs/>
          <w:sz w:val="28"/>
          <w:szCs w:val="28"/>
        </w:rPr>
        <w:t>预算绩效管理工作虽然取得了一些成绩，但也存在一些问题需要解决，还有一些不足之处需要完善，其中既有面上普遍存在的，也有实际工作中遇到的个性问题。</w:t>
      </w:r>
    </w:p>
    <w:p w14:paraId="0DFA98CC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bCs/>
          <w:sz w:val="28"/>
          <w:szCs w:val="28"/>
        </w:rPr>
        <w:t>建设工地较多，导致县域偏远地方未能及时全程监控</w:t>
      </w:r>
      <w:r>
        <w:rPr>
          <w:rFonts w:ascii="仿宋" w:hAnsi="仿宋" w:eastAsia="仿宋" w:cs="仿宋_GB2312"/>
          <w:bCs/>
          <w:sz w:val="28"/>
          <w:szCs w:val="28"/>
        </w:rPr>
        <w:t>。</w:t>
      </w:r>
    </w:p>
    <w:p w14:paraId="3B0EBA4B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bCs/>
          <w:sz w:val="28"/>
          <w:szCs w:val="28"/>
        </w:rPr>
        <w:t>部分老旧小区物业管理松散，未能严格执行环境整治方案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环境整治效果不明显。</w:t>
      </w:r>
    </w:p>
    <w:p w14:paraId="3A8DC4E4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_GB2312"/>
          <w:bCs/>
          <w:sz w:val="28"/>
          <w:szCs w:val="28"/>
        </w:rPr>
        <w:t>在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推进城乡生态环境治理</w:t>
      </w:r>
      <w:r>
        <w:rPr>
          <w:rFonts w:hint="eastAsia" w:ascii="仿宋" w:hAnsi="仿宋" w:eastAsia="仿宋" w:cs="仿宋_GB2312"/>
          <w:bCs/>
          <w:sz w:val="28"/>
          <w:szCs w:val="28"/>
        </w:rPr>
        <w:t>的过程中，存在部分居民水资源保护意识不够的现象。</w:t>
      </w:r>
    </w:p>
    <w:p w14:paraId="12019802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4、在推进老旧小区基础设施建设配套项目的过程中，存在工程施工过程中产生扬尘污染现象。</w:t>
      </w:r>
    </w:p>
    <w:p w14:paraId="1621A6A1">
      <w:pPr>
        <w:numPr>
          <w:ilvl w:val="0"/>
          <w:numId w:val="6"/>
        </w:numPr>
        <w:spacing w:line="560" w:lineRule="exact"/>
        <w:ind w:firstLine="560" w:firstLineChars="200"/>
        <w:rPr>
          <w:rFonts w:ascii="黑体" w:eastAsia="黑体" w:cs="黑体"/>
          <w:bCs/>
          <w:color w:val="auto"/>
          <w:sz w:val="28"/>
          <w:szCs w:val="28"/>
        </w:rPr>
      </w:pPr>
      <w:r>
        <w:rPr>
          <w:rFonts w:hint="eastAsia" w:ascii="黑体" w:eastAsia="黑体" w:cs="黑体"/>
          <w:bCs/>
          <w:color w:val="auto"/>
          <w:sz w:val="28"/>
          <w:szCs w:val="28"/>
        </w:rPr>
        <w:t>下一步改进措施</w:t>
      </w:r>
    </w:p>
    <w:p w14:paraId="3812E050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bCs/>
          <w:sz w:val="28"/>
          <w:szCs w:val="28"/>
        </w:rPr>
        <w:t>督促物业加强对老旧小区环境的治理和监督，加强环保宣传，提高居民环保意识。</w:t>
      </w:r>
    </w:p>
    <w:p w14:paraId="362FCF43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bCs/>
          <w:sz w:val="28"/>
          <w:szCs w:val="28"/>
        </w:rPr>
        <w:t>加强乡镇污水处理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等生态环境治理项目</w:t>
      </w:r>
      <w:r>
        <w:rPr>
          <w:rFonts w:hint="eastAsia" w:ascii="仿宋" w:hAnsi="仿宋" w:eastAsia="仿宋" w:cs="仿宋_GB2312"/>
          <w:bCs/>
          <w:sz w:val="28"/>
          <w:szCs w:val="28"/>
        </w:rPr>
        <w:t>的后续维护工作，加强环保宣传，提高居民环保意识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。</w:t>
      </w:r>
    </w:p>
    <w:p w14:paraId="295F6F2B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3、持续对扬尘防治进行监管，使所有在建工地施工现场达到“六个100%”要求，改善环境质量。</w:t>
      </w:r>
    </w:p>
    <w:p w14:paraId="23E902B7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_GB2312"/>
          <w:bCs/>
          <w:sz w:val="28"/>
          <w:szCs w:val="28"/>
        </w:rPr>
        <w:t>、逐步扩大绩效管理范围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ascii="仿宋" w:hAnsi="仿宋" w:eastAsia="仿宋" w:cs="仿宋_GB2312"/>
          <w:bCs/>
          <w:sz w:val="28"/>
          <w:szCs w:val="28"/>
        </w:rPr>
        <w:t>加强评价指标体系建设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ascii="仿宋" w:hAnsi="仿宋" w:eastAsia="仿宋" w:cs="仿宋_GB2312"/>
          <w:bCs/>
          <w:sz w:val="28"/>
          <w:szCs w:val="28"/>
        </w:rPr>
        <w:t>积极运用绩效评价结果。</w:t>
      </w:r>
    </w:p>
    <w:p w14:paraId="53C75390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_GB2312"/>
          <w:bCs/>
          <w:sz w:val="28"/>
          <w:szCs w:val="28"/>
        </w:rPr>
        <w:t>、加强培训和指导。采取集中学习、讲座、专题会议等方式，加大对参与绩效评价的人员培训力度，进一步统一认识，充实业务知识。</w:t>
      </w:r>
    </w:p>
    <w:p w14:paraId="2AF072C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九、部门整体支出绩效自评结果拟应用和公开情况</w:t>
      </w:r>
    </w:p>
    <w:p w14:paraId="75E41E0A">
      <w:pPr>
        <w:spacing w:line="56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 我单位部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门</w:t>
      </w:r>
      <w:r>
        <w:rPr>
          <w:rFonts w:hint="eastAsia" w:ascii="仿宋" w:hAnsi="仿宋" w:eastAsia="仿宋" w:cs="仿宋_GB2312"/>
          <w:bCs/>
          <w:sz w:val="28"/>
          <w:szCs w:val="28"/>
        </w:rPr>
        <w:t>整体支出绩效自评报告已在政府门户网站公开。</w:t>
      </w:r>
    </w:p>
    <w:p w14:paraId="63FAB592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十、其他需要说明的情况</w:t>
      </w:r>
    </w:p>
    <w:p w14:paraId="007B125C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</w:t>
      </w:r>
    </w:p>
    <w:p w14:paraId="51463703">
      <w:pPr>
        <w:spacing w:line="560" w:lineRule="exact"/>
        <w:ind w:firstLine="6160" w:firstLineChars="2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8日</w:t>
      </w:r>
    </w:p>
    <w:p w14:paraId="7BAF042C">
      <w:pPr>
        <w:adjustRightInd w:val="0"/>
        <w:snapToGrid w:val="0"/>
        <w:spacing w:line="200" w:lineRule="exact"/>
        <w:contextualSpacing/>
        <w:rPr>
          <w:rFonts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7E2CD6"/>
    <w:multiLevelType w:val="singleLevel"/>
    <w:tmpl w:val="BB7E2CD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D984C32"/>
    <w:multiLevelType w:val="singleLevel"/>
    <w:tmpl w:val="DD984C32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1E2C0BF"/>
    <w:multiLevelType w:val="singleLevel"/>
    <w:tmpl w:val="21E2C0B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EDA0229"/>
    <w:multiLevelType w:val="singleLevel"/>
    <w:tmpl w:val="4EDA0229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00"/>
    <w:rsid w:val="00010C2C"/>
    <w:rsid w:val="000137F5"/>
    <w:rsid w:val="000841DB"/>
    <w:rsid w:val="000A25BC"/>
    <w:rsid w:val="000C0859"/>
    <w:rsid w:val="0022681A"/>
    <w:rsid w:val="00250400"/>
    <w:rsid w:val="00255879"/>
    <w:rsid w:val="00365BBD"/>
    <w:rsid w:val="003A7C4C"/>
    <w:rsid w:val="003C5204"/>
    <w:rsid w:val="004E33B1"/>
    <w:rsid w:val="00500E4F"/>
    <w:rsid w:val="00530332"/>
    <w:rsid w:val="00605266"/>
    <w:rsid w:val="00633909"/>
    <w:rsid w:val="00662B09"/>
    <w:rsid w:val="00721352"/>
    <w:rsid w:val="007E62AB"/>
    <w:rsid w:val="008024A8"/>
    <w:rsid w:val="008124CD"/>
    <w:rsid w:val="008A52DA"/>
    <w:rsid w:val="008E72DB"/>
    <w:rsid w:val="00B32D09"/>
    <w:rsid w:val="00B53CE2"/>
    <w:rsid w:val="00B61FCF"/>
    <w:rsid w:val="00B67434"/>
    <w:rsid w:val="00BD477D"/>
    <w:rsid w:val="00C634ED"/>
    <w:rsid w:val="00C651A3"/>
    <w:rsid w:val="00EA0255"/>
    <w:rsid w:val="00F1310B"/>
    <w:rsid w:val="00F21CB0"/>
    <w:rsid w:val="00F501A8"/>
    <w:rsid w:val="00F546ED"/>
    <w:rsid w:val="00FE73FC"/>
    <w:rsid w:val="012C34EB"/>
    <w:rsid w:val="013D15AB"/>
    <w:rsid w:val="01984D30"/>
    <w:rsid w:val="01A82028"/>
    <w:rsid w:val="01CE711D"/>
    <w:rsid w:val="01FE0E76"/>
    <w:rsid w:val="02A5239D"/>
    <w:rsid w:val="02AF173D"/>
    <w:rsid w:val="02EC2B84"/>
    <w:rsid w:val="0420792A"/>
    <w:rsid w:val="047E5EE4"/>
    <w:rsid w:val="06F8296B"/>
    <w:rsid w:val="08A505F8"/>
    <w:rsid w:val="08EF3C7E"/>
    <w:rsid w:val="09610E11"/>
    <w:rsid w:val="0B9D1D2E"/>
    <w:rsid w:val="0C7C4ED7"/>
    <w:rsid w:val="0CFE2616"/>
    <w:rsid w:val="0D384879"/>
    <w:rsid w:val="0DD425EE"/>
    <w:rsid w:val="0E201B3F"/>
    <w:rsid w:val="0E8E56D7"/>
    <w:rsid w:val="0F4F2BBB"/>
    <w:rsid w:val="0F632059"/>
    <w:rsid w:val="10ED2AAF"/>
    <w:rsid w:val="1172744F"/>
    <w:rsid w:val="11D04493"/>
    <w:rsid w:val="12CB0ADE"/>
    <w:rsid w:val="13F15EEF"/>
    <w:rsid w:val="142613AA"/>
    <w:rsid w:val="15676381"/>
    <w:rsid w:val="16436524"/>
    <w:rsid w:val="16DD2B14"/>
    <w:rsid w:val="17336D00"/>
    <w:rsid w:val="174B524A"/>
    <w:rsid w:val="17A201B3"/>
    <w:rsid w:val="182F7E9E"/>
    <w:rsid w:val="18325D29"/>
    <w:rsid w:val="192E5FCC"/>
    <w:rsid w:val="197703EB"/>
    <w:rsid w:val="19BF7D41"/>
    <w:rsid w:val="19F52BEF"/>
    <w:rsid w:val="1A474E4C"/>
    <w:rsid w:val="1B7E3C28"/>
    <w:rsid w:val="1BDA545B"/>
    <w:rsid w:val="1D9356C7"/>
    <w:rsid w:val="20C2418E"/>
    <w:rsid w:val="20E8635F"/>
    <w:rsid w:val="21CA4484"/>
    <w:rsid w:val="24CC0342"/>
    <w:rsid w:val="26352D5E"/>
    <w:rsid w:val="275312C7"/>
    <w:rsid w:val="279A5D22"/>
    <w:rsid w:val="279D0650"/>
    <w:rsid w:val="28C7735A"/>
    <w:rsid w:val="29511D5B"/>
    <w:rsid w:val="29C40007"/>
    <w:rsid w:val="29CD5912"/>
    <w:rsid w:val="2A615B9F"/>
    <w:rsid w:val="2AAA2054"/>
    <w:rsid w:val="2E211906"/>
    <w:rsid w:val="2E302502"/>
    <w:rsid w:val="2E7D4C0C"/>
    <w:rsid w:val="30206C17"/>
    <w:rsid w:val="30595D0B"/>
    <w:rsid w:val="30820604"/>
    <w:rsid w:val="31571AB2"/>
    <w:rsid w:val="32BF2470"/>
    <w:rsid w:val="32FD464C"/>
    <w:rsid w:val="339767F2"/>
    <w:rsid w:val="344B34FA"/>
    <w:rsid w:val="34872CB4"/>
    <w:rsid w:val="363C0A25"/>
    <w:rsid w:val="3650435E"/>
    <w:rsid w:val="36C10CEC"/>
    <w:rsid w:val="370F7FB5"/>
    <w:rsid w:val="375202ED"/>
    <w:rsid w:val="378853A6"/>
    <w:rsid w:val="38FE35DD"/>
    <w:rsid w:val="39935186"/>
    <w:rsid w:val="3B6C5DDC"/>
    <w:rsid w:val="3BCF123F"/>
    <w:rsid w:val="3BE07241"/>
    <w:rsid w:val="3C484767"/>
    <w:rsid w:val="3C544530"/>
    <w:rsid w:val="3C9312B9"/>
    <w:rsid w:val="3EDE44CC"/>
    <w:rsid w:val="41AC4A90"/>
    <w:rsid w:val="41B006F7"/>
    <w:rsid w:val="42182389"/>
    <w:rsid w:val="428E2E0C"/>
    <w:rsid w:val="42A15598"/>
    <w:rsid w:val="43F66A1C"/>
    <w:rsid w:val="44EC75B0"/>
    <w:rsid w:val="49195BBD"/>
    <w:rsid w:val="491A2BE8"/>
    <w:rsid w:val="495D68E0"/>
    <w:rsid w:val="4A9B7F4A"/>
    <w:rsid w:val="4B0636B7"/>
    <w:rsid w:val="4B972673"/>
    <w:rsid w:val="4C46359B"/>
    <w:rsid w:val="4D7474E7"/>
    <w:rsid w:val="4ED52BA4"/>
    <w:rsid w:val="4FF75332"/>
    <w:rsid w:val="4FFF1F20"/>
    <w:rsid w:val="528E6743"/>
    <w:rsid w:val="53726697"/>
    <w:rsid w:val="5489364E"/>
    <w:rsid w:val="55A12DFE"/>
    <w:rsid w:val="560032B2"/>
    <w:rsid w:val="56381D2F"/>
    <w:rsid w:val="57894C22"/>
    <w:rsid w:val="57C83599"/>
    <w:rsid w:val="582C4BEB"/>
    <w:rsid w:val="582D61E7"/>
    <w:rsid w:val="59E06085"/>
    <w:rsid w:val="5AF83F9F"/>
    <w:rsid w:val="5B3452FC"/>
    <w:rsid w:val="5B6C49AD"/>
    <w:rsid w:val="5B726997"/>
    <w:rsid w:val="5C1F1E7D"/>
    <w:rsid w:val="5CAA6BFA"/>
    <w:rsid w:val="5CD5637D"/>
    <w:rsid w:val="5E6E39F3"/>
    <w:rsid w:val="5EBD76D8"/>
    <w:rsid w:val="5F525032"/>
    <w:rsid w:val="61A25B1F"/>
    <w:rsid w:val="61C661A6"/>
    <w:rsid w:val="61D16F05"/>
    <w:rsid w:val="637B5FD0"/>
    <w:rsid w:val="639768C5"/>
    <w:rsid w:val="66617791"/>
    <w:rsid w:val="67463430"/>
    <w:rsid w:val="675F44A2"/>
    <w:rsid w:val="67BD601B"/>
    <w:rsid w:val="69587224"/>
    <w:rsid w:val="69854B46"/>
    <w:rsid w:val="6B862A4A"/>
    <w:rsid w:val="6C037CEE"/>
    <w:rsid w:val="6D501628"/>
    <w:rsid w:val="6E2D245D"/>
    <w:rsid w:val="6F1F0ED7"/>
    <w:rsid w:val="6F4A1AA1"/>
    <w:rsid w:val="70574EC4"/>
    <w:rsid w:val="70C21222"/>
    <w:rsid w:val="718922DD"/>
    <w:rsid w:val="71F90BB7"/>
    <w:rsid w:val="7264533C"/>
    <w:rsid w:val="73766B8C"/>
    <w:rsid w:val="743C4315"/>
    <w:rsid w:val="74543215"/>
    <w:rsid w:val="7548090D"/>
    <w:rsid w:val="757F15DF"/>
    <w:rsid w:val="792C4A35"/>
    <w:rsid w:val="79A50C9A"/>
    <w:rsid w:val="79B34E72"/>
    <w:rsid w:val="7BE66772"/>
    <w:rsid w:val="7BFC5BB8"/>
    <w:rsid w:val="7C1F69AB"/>
    <w:rsid w:val="7D3F64CA"/>
    <w:rsid w:val="7DD21C01"/>
    <w:rsid w:val="7EC10B83"/>
    <w:rsid w:val="7F0C104F"/>
    <w:rsid w:val="7F6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firstLine="560" w:firstLineChars="200"/>
      <w:jc w:val="left"/>
    </w:pPr>
    <w:rPr>
      <w:kern w:val="0"/>
      <w:sz w:val="24"/>
      <w:szCs w:val="21"/>
    </w:r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3168</Words>
  <Characters>3338</Characters>
  <Lines>23</Lines>
  <Paragraphs>6</Paragraphs>
  <TotalTime>56</TotalTime>
  <ScaleCrop>false</ScaleCrop>
  <LinksUpToDate>false</LinksUpToDate>
  <CharactersWithSpaces>3343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2024-06-03T00:30:00Z</dcterms:created>
  <dc:creator>微软用户</dc:creator>
  <cp:lastModifiedBy>●.﹎澣蓅浃揹</cp:lastModifiedBy>
  <dcterms:modified xsi:type="dcterms:W3CDTF">2025-09-25T11:05:09Z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EF38D69B134A42779C2DF65D0F676A6C_13</vt:lpwstr>
  </property>
  <property fmtid="{D5CDD505-2E9C-101B-9397-08002B2CF9AE}" pid="4" name="KSOTemplateDocerSaveRecord">
    <vt:lpwstr>eyJoZGlkIjoiMjUxNmFhMWZlZTYyM2MxMTRhZjA1ZDY5OTQ2ZjcxMWUiLCJ1c2VySWQiOiIyNjMxOTM4MzEifQ==</vt:lpwstr>
  </property>
</Properties>
</file>