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A0F2F">
      <w:pPr>
        <w:pStyle w:val="13"/>
        <w:jc w:val="center"/>
        <w:rPr>
          <w:rFonts w:ascii="微软雅黑" w:hAnsi="微软雅黑" w:eastAsia="微软雅黑" w:cs="微软雅黑"/>
          <w:sz w:val="84"/>
          <w:szCs w:val="84"/>
        </w:rPr>
      </w:pPr>
    </w:p>
    <w:p w14:paraId="58BF9D13">
      <w:pPr>
        <w:pStyle w:val="13"/>
        <w:jc w:val="center"/>
        <w:rPr>
          <w:rFonts w:ascii="微软雅黑" w:hAnsi="微软雅黑" w:eastAsia="微软雅黑" w:cs="微软雅黑"/>
          <w:sz w:val="84"/>
          <w:szCs w:val="84"/>
        </w:rPr>
      </w:pPr>
    </w:p>
    <w:p w14:paraId="1FB065F7">
      <w:pPr>
        <w:pStyle w:val="13"/>
        <w:jc w:val="center"/>
        <w:rPr>
          <w:rFonts w:hint="eastAsia" w:ascii="方正小标宋_GBK" w:hAnsi="方正小标宋_GBK" w:eastAsia="方正小标宋_GBK" w:cs="方正小标宋_GBK"/>
          <w:b w:val="0"/>
          <w:bCs w:val="0"/>
          <w:sz w:val="84"/>
          <w:szCs w:val="84"/>
        </w:rPr>
      </w:pPr>
      <w:r>
        <w:rPr>
          <w:rFonts w:hint="eastAsia" w:ascii="方正小标宋_GBK" w:hAnsi="方正小标宋_GBK" w:eastAsia="方正小标宋_GBK" w:cs="方正小标宋_GBK"/>
          <w:b w:val="0"/>
          <w:bCs w:val="0"/>
          <w:sz w:val="84"/>
          <w:szCs w:val="84"/>
        </w:rPr>
        <w:t>2024</w:t>
      </w:r>
      <w:r>
        <w:rPr>
          <w:rFonts w:hint="eastAsia" w:ascii="方正小标宋_GBK" w:hAnsi="方正小标宋_GBK" w:eastAsia="方正小标宋_GBK" w:cs="方正小标宋_GBK"/>
          <w:b w:val="0"/>
          <w:bCs w:val="0"/>
          <w:sz w:val="84"/>
        </w:rPr>
        <w:t>年度</w:t>
      </w:r>
    </w:p>
    <w:p w14:paraId="22860BB1">
      <w:pPr>
        <w:pStyle w:val="13"/>
        <w:jc w:val="center"/>
        <w:rPr>
          <w:rFonts w:hint="eastAsia" w:ascii="方正小标宋_GBK" w:hAnsi="方正小标宋_GBK" w:eastAsia="方正小标宋_GBK" w:cs="方正小标宋_GBK"/>
          <w:b/>
          <w:bCs/>
          <w:sz w:val="84"/>
          <w:szCs w:val="84"/>
        </w:rPr>
      </w:pPr>
      <w:r>
        <w:rPr>
          <w:rFonts w:hint="eastAsia" w:ascii="方正小标宋_GBK" w:hAnsi="方正小标宋_GBK" w:eastAsia="方正小标宋_GBK" w:cs="方正小标宋_GBK"/>
          <w:b w:val="0"/>
          <w:bCs w:val="0"/>
          <w:sz w:val="84"/>
          <w:szCs w:val="84"/>
        </w:rPr>
        <w:t>岳阳县农村经营服务站</w:t>
      </w:r>
      <w:r>
        <w:rPr>
          <w:rFonts w:hint="eastAsia" w:ascii="方正小标宋_GBK" w:hAnsi="方正小标宋_GBK" w:eastAsia="方正小标宋_GBK" w:cs="方正小标宋_GBK"/>
          <w:b w:val="0"/>
          <w:bCs w:val="0"/>
          <w:sz w:val="84"/>
        </w:rPr>
        <w:t>部门（单位）部门决算</w:t>
      </w:r>
    </w:p>
    <w:p w14:paraId="63C786D7">
      <w:pPr>
        <w:pStyle w:val="13"/>
        <w:jc w:val="center"/>
        <w:rPr>
          <w:rFonts w:ascii="微软雅黑" w:hAnsi="微软雅黑" w:eastAsia="微软雅黑" w:cs="微软雅黑"/>
          <w:sz w:val="84"/>
          <w:szCs w:val="84"/>
        </w:rPr>
      </w:pPr>
    </w:p>
    <w:p w14:paraId="2159BD98">
      <w:pPr>
        <w:pStyle w:val="13"/>
        <w:jc w:val="center"/>
        <w:rPr>
          <w:rFonts w:ascii="微软雅黑" w:hAnsi="微软雅黑" w:eastAsia="微软雅黑" w:cs="微软雅黑"/>
          <w:sz w:val="84"/>
          <w:szCs w:val="84"/>
        </w:rPr>
      </w:pPr>
    </w:p>
    <w:p w14:paraId="18CA1DC4">
      <w:pPr>
        <w:rPr>
          <w:rFonts w:ascii="微软雅黑" w:hAnsi="微软雅黑" w:eastAsia="微软雅黑" w:cs="微软雅黑"/>
        </w:rPr>
      </w:pPr>
    </w:p>
    <w:p w14:paraId="777FEBB5">
      <w:pPr>
        <w:pStyle w:val="13"/>
        <w:spacing w:line="500" w:lineRule="exact"/>
        <w:jc w:val="center"/>
        <w:rPr>
          <w:rFonts w:hint="eastAsia" w:ascii="黑体" w:hAnsi="黑体" w:eastAsia="黑体" w:cs="黑体"/>
          <w:b/>
          <w:sz w:val="36"/>
          <w:szCs w:val="28"/>
        </w:rPr>
      </w:pPr>
      <w:r>
        <w:rPr>
          <w:rFonts w:hint="eastAsia" w:ascii="黑体" w:hAnsi="黑体" w:eastAsia="黑体" w:cs="黑体"/>
          <w:b/>
          <w:sz w:val="36"/>
          <w:szCs w:val="28"/>
        </w:rPr>
        <w:t>目录</w:t>
      </w:r>
    </w:p>
    <w:p w14:paraId="56855E33">
      <w:pPr>
        <w:pStyle w:val="13"/>
        <w:keepNext w:val="0"/>
        <w:keepLines w:val="0"/>
        <w:pageBreakBefore w:val="0"/>
        <w:widowControl w:val="0"/>
        <w:kinsoku/>
        <w:wordWrap/>
        <w:overflowPunct/>
        <w:topLinePunct w:val="0"/>
        <w:autoSpaceDE w:val="0"/>
        <w:autoSpaceDN w:val="0"/>
        <w:bidi w:val="0"/>
        <w:adjustRightInd w:val="0"/>
        <w:snapToGrid/>
        <w:spacing w:line="576"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第一部分 岳阳县农村经营服务站部门（单位）概况</w:t>
      </w:r>
    </w:p>
    <w:p w14:paraId="4977B01D">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58F9B0AA">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二、机构设置及决算单位构成</w:t>
      </w:r>
    </w:p>
    <w:p w14:paraId="43EE616B">
      <w:pPr>
        <w:pStyle w:val="13"/>
        <w:keepNext w:val="0"/>
        <w:keepLines w:val="0"/>
        <w:pageBreakBefore w:val="0"/>
        <w:widowControl w:val="0"/>
        <w:kinsoku/>
        <w:wordWrap/>
        <w:overflowPunct/>
        <w:topLinePunct w:val="0"/>
        <w:autoSpaceDE w:val="0"/>
        <w:autoSpaceDN w:val="0"/>
        <w:bidi w:val="0"/>
        <w:adjustRightInd w:val="0"/>
        <w:snapToGrid/>
        <w:spacing w:line="576"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第二部分 部门决算表</w:t>
      </w:r>
    </w:p>
    <w:p w14:paraId="37688685">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0EC0F5E4">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4BB6803D">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48B50D1C">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32957B95">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0C48B729">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7288CC6D">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63D4A14">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56437CC">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6E286D90">
      <w:pPr>
        <w:pStyle w:val="13"/>
        <w:keepNext w:val="0"/>
        <w:keepLines w:val="0"/>
        <w:pageBreakBefore w:val="0"/>
        <w:widowControl w:val="0"/>
        <w:kinsoku/>
        <w:wordWrap/>
        <w:overflowPunct/>
        <w:topLinePunct w:val="0"/>
        <w:autoSpaceDE w:val="0"/>
        <w:autoSpaceDN w:val="0"/>
        <w:bidi w:val="0"/>
        <w:adjustRightInd w:val="0"/>
        <w:snapToGrid/>
        <w:spacing w:line="576"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第三部分 部门决算情况说明</w:t>
      </w:r>
    </w:p>
    <w:p w14:paraId="7DBF8017">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4972646B">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275339E6">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三、支出决算情况说明</w:t>
      </w:r>
    </w:p>
    <w:p w14:paraId="183EF28B">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四、财政拨款收入支出决算总体情况说明</w:t>
      </w:r>
    </w:p>
    <w:p w14:paraId="70C36F33">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五、一般公共预算财政拨款支出决算情况说明</w:t>
      </w:r>
    </w:p>
    <w:p w14:paraId="31AB0B5A">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六、一般公共预算财政拨款基本支出决算情况说明</w:t>
      </w:r>
    </w:p>
    <w:p w14:paraId="395729DC">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七、政府性基金预算收入支出决算情况</w:t>
      </w:r>
    </w:p>
    <w:p w14:paraId="7B0F80AE">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八、国有资本经营预算财政拨款支出决算情况</w:t>
      </w:r>
    </w:p>
    <w:p w14:paraId="4C50D8BC">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w:t>
      </w:r>
      <w:r>
        <w:rPr>
          <w:rFonts w:hint="eastAsia" w:ascii="仿宋_GB2312" w:hAnsi="仿宋_GB2312" w:eastAsia="仿宋_GB2312" w:cs="仿宋_GB2312"/>
          <w:sz w:val="28"/>
          <w:szCs w:val="28"/>
          <w:lang w:eastAsia="zh-CN"/>
        </w:rPr>
        <w:t>“三公”经费</w:t>
      </w:r>
      <w:r>
        <w:rPr>
          <w:rFonts w:hint="eastAsia" w:ascii="仿宋_GB2312" w:hAnsi="仿宋_GB2312" w:eastAsia="仿宋_GB2312" w:cs="仿宋_GB2312"/>
          <w:sz w:val="28"/>
          <w:szCs w:val="28"/>
        </w:rPr>
        <w:t>支出决算情况说明</w:t>
      </w:r>
    </w:p>
    <w:p w14:paraId="7F5214F3">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十、关于机关运行经费支出说明</w:t>
      </w:r>
    </w:p>
    <w:p w14:paraId="7F23D81C">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十一、一般性支出情况说明</w:t>
      </w:r>
    </w:p>
    <w:p w14:paraId="098CFBB8">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十二、关于政府采购支出说明</w:t>
      </w:r>
    </w:p>
    <w:p w14:paraId="69E3EBF8">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十三、关于国有资产占用情况说明</w:t>
      </w:r>
    </w:p>
    <w:p w14:paraId="2FA7CED6">
      <w:pPr>
        <w:pStyle w:val="13"/>
        <w:keepNext w:val="0"/>
        <w:keepLines w:val="0"/>
        <w:pageBreakBefore w:val="0"/>
        <w:widowControl w:val="0"/>
        <w:kinsoku/>
        <w:wordWrap/>
        <w:overflowPunct/>
        <w:topLinePunct w:val="0"/>
        <w:autoSpaceDE w:val="0"/>
        <w:autoSpaceDN w:val="0"/>
        <w:bidi w:val="0"/>
        <w:adjustRightInd w:val="0"/>
        <w:snapToGrid/>
        <w:spacing w:line="576" w:lineRule="exact"/>
        <w:ind w:firstLine="69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十四、关于2024年度绩效评价情况的说明</w:t>
      </w:r>
    </w:p>
    <w:p w14:paraId="218FE49F">
      <w:pPr>
        <w:pStyle w:val="13"/>
        <w:keepNext w:val="0"/>
        <w:keepLines w:val="0"/>
        <w:pageBreakBefore w:val="0"/>
        <w:widowControl w:val="0"/>
        <w:kinsoku/>
        <w:wordWrap/>
        <w:overflowPunct/>
        <w:topLinePunct w:val="0"/>
        <w:autoSpaceDE w:val="0"/>
        <w:autoSpaceDN w:val="0"/>
        <w:bidi w:val="0"/>
        <w:adjustRightInd w:val="0"/>
        <w:snapToGrid/>
        <w:spacing w:line="576"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第四部分 名词解释</w:t>
      </w:r>
    </w:p>
    <w:p w14:paraId="1D1130EF">
      <w:pPr>
        <w:pStyle w:val="13"/>
        <w:keepNext w:val="0"/>
        <w:keepLines w:val="0"/>
        <w:pageBreakBefore w:val="0"/>
        <w:widowControl w:val="0"/>
        <w:kinsoku/>
        <w:wordWrap/>
        <w:overflowPunct/>
        <w:topLinePunct w:val="0"/>
        <w:autoSpaceDE w:val="0"/>
        <w:autoSpaceDN w:val="0"/>
        <w:bidi w:val="0"/>
        <w:adjustRightInd w:val="0"/>
        <w:snapToGrid/>
        <w:spacing w:line="576"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第五部分 附件</w:t>
      </w:r>
    </w:p>
    <w:p w14:paraId="6E6DAB31">
      <w:pPr>
        <w:jc w:val="center"/>
        <w:rPr>
          <w:rFonts w:ascii="微软雅黑" w:hAnsi="微软雅黑" w:eastAsia="微软雅黑" w:cs="微软雅黑"/>
          <w:sz w:val="72"/>
          <w:szCs w:val="72"/>
        </w:rPr>
      </w:pPr>
      <w:r>
        <w:rPr>
          <w:rFonts w:ascii="微软雅黑" w:hAnsi="微软雅黑" w:eastAsia="微软雅黑" w:cs="微软雅黑"/>
          <w:sz w:val="72"/>
          <w:szCs w:val="72"/>
        </w:rPr>
        <w:br w:type="page"/>
      </w:r>
    </w:p>
    <w:p w14:paraId="040A5BD6">
      <w:pPr>
        <w:pStyle w:val="13"/>
        <w:jc w:val="center"/>
        <w:rPr>
          <w:rFonts w:hint="eastAsia" w:ascii="方正小标宋_GBK" w:hAnsi="方正小标宋_GBK" w:eastAsia="方正小标宋_GBK" w:cs="方正小标宋_GBK"/>
          <w:b w:val="0"/>
          <w:bCs w:val="0"/>
          <w:sz w:val="84"/>
          <w:szCs w:val="84"/>
        </w:rPr>
      </w:pPr>
    </w:p>
    <w:p w14:paraId="57B1362A">
      <w:pPr>
        <w:pStyle w:val="13"/>
        <w:jc w:val="center"/>
        <w:rPr>
          <w:rFonts w:hint="eastAsia" w:ascii="方正小标宋_GBK" w:hAnsi="方正小标宋_GBK" w:eastAsia="方正小标宋_GBK" w:cs="方正小标宋_GBK"/>
          <w:b w:val="0"/>
          <w:bCs w:val="0"/>
          <w:sz w:val="84"/>
          <w:szCs w:val="84"/>
        </w:rPr>
      </w:pPr>
      <w:r>
        <w:rPr>
          <w:rFonts w:hint="eastAsia" w:ascii="方正小标宋_GBK" w:hAnsi="方正小标宋_GBK" w:eastAsia="方正小标宋_GBK" w:cs="方正小标宋_GBK"/>
          <w:b w:val="0"/>
          <w:bCs w:val="0"/>
          <w:sz w:val="84"/>
          <w:szCs w:val="84"/>
        </w:rPr>
        <w:t>第一部分</w:t>
      </w:r>
    </w:p>
    <w:p w14:paraId="064BAEFA">
      <w:pPr>
        <w:pStyle w:val="13"/>
        <w:jc w:val="center"/>
        <w:rPr>
          <w:rFonts w:hint="eastAsia" w:ascii="方正小标宋_GBK" w:hAnsi="方正小标宋_GBK" w:eastAsia="方正小标宋_GBK" w:cs="方正小标宋_GBK"/>
          <w:b w:val="0"/>
          <w:bCs w:val="0"/>
          <w:sz w:val="84"/>
          <w:szCs w:val="84"/>
        </w:rPr>
      </w:pPr>
    </w:p>
    <w:p w14:paraId="71409479">
      <w:pPr>
        <w:pStyle w:val="13"/>
        <w:jc w:val="center"/>
        <w:rPr>
          <w:rFonts w:hint="eastAsia" w:ascii="方正小标宋_GBK" w:hAnsi="方正小标宋_GBK" w:eastAsia="方正小标宋_GBK" w:cs="方正小标宋_GBK"/>
          <w:b w:val="0"/>
          <w:bCs w:val="0"/>
          <w:sz w:val="84"/>
          <w:szCs w:val="84"/>
        </w:rPr>
      </w:pPr>
      <w:r>
        <w:rPr>
          <w:rFonts w:hint="eastAsia" w:ascii="方正小标宋_GBK" w:hAnsi="方正小标宋_GBK" w:eastAsia="方正小标宋_GBK" w:cs="方正小标宋_GBK"/>
          <w:b w:val="0"/>
          <w:bCs w:val="0"/>
          <w:sz w:val="84"/>
          <w:szCs w:val="84"/>
        </w:rPr>
        <w:t>岳阳县农村经营服务站部门（单位）概况</w:t>
      </w:r>
    </w:p>
    <w:p w14:paraId="33DC431C">
      <w:pPr>
        <w:pStyle w:val="13"/>
        <w:jc w:val="center"/>
        <w:rPr>
          <w:rFonts w:hint="eastAsia" w:ascii="方正小标宋_GBK" w:hAnsi="方正小标宋_GBK" w:eastAsia="方正小标宋_GBK" w:cs="方正小标宋_GBK"/>
          <w:b w:val="0"/>
          <w:bCs w:val="0"/>
          <w:sz w:val="84"/>
          <w:szCs w:val="84"/>
        </w:rPr>
      </w:pPr>
    </w:p>
    <w:p w14:paraId="44847A54">
      <w:pPr>
        <w:pStyle w:val="14"/>
        <w:keepNext w:val="0"/>
        <w:keepLines w:val="0"/>
        <w:pageBreakBefore w:val="0"/>
        <w:kinsoku/>
        <w:wordWrap/>
        <w:overflowPunct/>
        <w:topLinePunct w:val="0"/>
        <w:autoSpaceDE/>
        <w:autoSpaceDN/>
        <w:bidi w:val="0"/>
        <w:adjustRightInd/>
        <w:snapToGrid/>
        <w:spacing w:line="576" w:lineRule="exact"/>
        <w:ind w:firstLine="632" w:firstLineChars="200"/>
        <w:jc w:val="left"/>
        <w:textAlignment w:val="auto"/>
        <w:rPr>
          <w:rFonts w:hint="eastAsia" w:ascii="黑体" w:hAnsi="黑体" w:eastAsia="黑体" w:cs="黑体"/>
          <w:b w:val="0"/>
          <w:bCs w:val="0"/>
          <w:sz w:val="32"/>
          <w:szCs w:val="32"/>
        </w:rPr>
      </w:pPr>
    </w:p>
    <w:p w14:paraId="53DE6D28">
      <w:pPr>
        <w:pStyle w:val="14"/>
        <w:keepNext w:val="0"/>
        <w:keepLines w:val="0"/>
        <w:pageBreakBefore w:val="0"/>
        <w:kinsoku/>
        <w:wordWrap/>
        <w:overflowPunct/>
        <w:topLinePunct w:val="0"/>
        <w:autoSpaceDE/>
        <w:autoSpaceDN/>
        <w:bidi w:val="0"/>
        <w:adjustRightInd/>
        <w:snapToGrid/>
        <w:spacing w:line="576" w:lineRule="exact"/>
        <w:ind w:firstLine="632"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一、部门职责</w:t>
      </w:r>
    </w:p>
    <w:p w14:paraId="4939E3A5">
      <w:pPr>
        <w:keepNext w:val="0"/>
        <w:keepLines w:val="0"/>
        <w:pageBreakBefore w:val="0"/>
        <w:kinsoku/>
        <w:wordWrap/>
        <w:overflowPunct/>
        <w:topLinePunct w:val="0"/>
        <w:autoSpaceDE/>
        <w:autoSpaceDN/>
        <w:bidi w:val="0"/>
        <w:adjustRightInd/>
        <w:snapToGrid/>
        <w:spacing w:line="576"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（一）承担县农村集体产权制度改革、农村集体“三资”监管等方面的事务性工作；承担指导农村集体经济组织建设与发展、协调乡村治理体系建设方面的事务性工作。</w:t>
      </w:r>
    </w:p>
    <w:p w14:paraId="3AA861A7">
      <w:pPr>
        <w:keepNext w:val="0"/>
        <w:keepLines w:val="0"/>
        <w:pageBreakBefore w:val="0"/>
        <w:kinsoku/>
        <w:wordWrap/>
        <w:overflowPunct/>
        <w:topLinePunct w:val="0"/>
        <w:autoSpaceDE/>
        <w:autoSpaceDN/>
        <w:bidi w:val="0"/>
        <w:adjustRightInd/>
        <w:snapToGrid/>
        <w:spacing w:line="576"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（二）承担指导农村合作经济组织、农业产业社会化服务体系建设与发展、小农户扶持、新型农业经营主体培育与壮大等方面的事务性工作。</w:t>
      </w:r>
    </w:p>
    <w:p w14:paraId="30B43807">
      <w:pPr>
        <w:keepNext w:val="0"/>
        <w:keepLines w:val="0"/>
        <w:pageBreakBefore w:val="0"/>
        <w:kinsoku/>
        <w:wordWrap/>
        <w:overflowPunct/>
        <w:topLinePunct w:val="0"/>
        <w:autoSpaceDE/>
        <w:autoSpaceDN/>
        <w:bidi w:val="0"/>
        <w:adjustRightInd/>
        <w:snapToGrid/>
        <w:spacing w:line="576"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承担对本县农村集体经济组织财务监管、审计监督农村财务账目、全面推行和完善村账乡（镇）代管、互联网+监督等方面的事务性工作。承担农村财会人员业务培训、指导农村财会队伍建设等方面的相关事务性工作。</w:t>
      </w:r>
    </w:p>
    <w:p w14:paraId="13277F18">
      <w:pPr>
        <w:keepNext w:val="0"/>
        <w:keepLines w:val="0"/>
        <w:pageBreakBefore w:val="0"/>
        <w:kinsoku/>
        <w:wordWrap/>
        <w:overflowPunct/>
        <w:topLinePunct w:val="0"/>
        <w:autoSpaceDE/>
        <w:autoSpaceDN/>
        <w:bidi w:val="0"/>
        <w:adjustRightInd/>
        <w:snapToGrid/>
        <w:spacing w:line="576"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（四）承担农村土地承包管理和改革、参与农村土地承包经营权确权、落实农村土地</w:t>
      </w:r>
      <w:r>
        <w:rPr>
          <w:rFonts w:hint="eastAsia" w:ascii="仿宋_GB2312" w:hAnsi="仿宋_GB2312" w:eastAsia="仿宋_GB2312" w:cs="仿宋_GB2312"/>
          <w:sz w:val="32"/>
          <w:szCs w:val="32"/>
          <w:lang w:eastAsia="zh-CN"/>
        </w:rPr>
        <w:t>“三权”分置</w:t>
      </w:r>
      <w:r>
        <w:rPr>
          <w:rFonts w:hint="eastAsia" w:ascii="仿宋_GB2312" w:hAnsi="仿宋_GB2312" w:eastAsia="仿宋_GB2312" w:cs="仿宋_GB2312"/>
          <w:sz w:val="32"/>
          <w:szCs w:val="32"/>
        </w:rPr>
        <w:t>政策、搞好土地流转合同鉴证、发布农村土地流转供求信息、指导农村土地有序流转、承担调处和仲裁农村土地承包经营纠纷、农村宅基地改革和指导等方面的相关事务性工作。</w:t>
      </w:r>
    </w:p>
    <w:p w14:paraId="1A6A4AB1">
      <w:pPr>
        <w:keepNext w:val="0"/>
        <w:keepLines w:val="0"/>
        <w:pageBreakBefore w:val="0"/>
        <w:kinsoku/>
        <w:wordWrap/>
        <w:overflowPunct/>
        <w:topLinePunct w:val="0"/>
        <w:autoSpaceDE/>
        <w:autoSpaceDN/>
        <w:bidi w:val="0"/>
        <w:adjustRightInd/>
        <w:snapToGrid/>
        <w:spacing w:line="576"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承担宣传贯彻落实国家维护农民权益和减轻农民负担的法律法规和政策、维护农民权益、监督减轻农民负担、规范指导村级公益事业建设“一事一议”筹资筹劳、“一事一议”项目专项审核与审计等方面的相关事务性工作。</w:t>
      </w:r>
    </w:p>
    <w:p w14:paraId="5C5F993D">
      <w:pPr>
        <w:keepNext w:val="0"/>
        <w:keepLines w:val="0"/>
        <w:pageBreakBefore w:val="0"/>
        <w:kinsoku/>
        <w:wordWrap/>
        <w:overflowPunct/>
        <w:topLinePunct w:val="0"/>
        <w:autoSpaceDE/>
        <w:autoSpaceDN/>
        <w:bidi w:val="0"/>
        <w:adjustRightInd/>
        <w:snapToGrid/>
        <w:spacing w:line="576" w:lineRule="exact"/>
        <w:ind w:firstLine="632" w:firstLineChars="200"/>
        <w:jc w:val="left"/>
        <w:textAlignment w:val="auto"/>
        <w:rPr>
          <w:rFonts w:hint="eastAsia" w:ascii="仿宋_GB2312" w:hAnsi="仿宋_GB2312" w:eastAsia="仿宋_GB2312" w:cs="仿宋_GB2312"/>
          <w:i/>
          <w:iCs/>
          <w:color w:val="FF0000"/>
          <w:sz w:val="32"/>
          <w:szCs w:val="32"/>
        </w:rPr>
      </w:pPr>
      <w:r>
        <w:rPr>
          <w:rFonts w:hint="eastAsia" w:ascii="仿宋_GB2312" w:hAnsi="仿宋_GB2312" w:eastAsia="仿宋_GB2312" w:cs="仿宋_GB2312"/>
          <w:sz w:val="32"/>
          <w:szCs w:val="32"/>
        </w:rPr>
        <w:t>（六）承担农村经济统计、分析农村经济情况等方面的相关事务性工作。</w:t>
      </w:r>
    </w:p>
    <w:p w14:paraId="05166E3A">
      <w:pPr>
        <w:keepNext w:val="0"/>
        <w:keepLines w:val="0"/>
        <w:pageBreakBefore w:val="0"/>
        <w:widowControl/>
        <w:kinsoku/>
        <w:wordWrap/>
        <w:overflowPunct/>
        <w:topLinePunct w:val="0"/>
        <w:autoSpaceDE/>
        <w:autoSpaceDN/>
        <w:bidi w:val="0"/>
        <w:adjustRightInd/>
        <w:snapToGrid/>
        <w:spacing w:line="576" w:lineRule="exact"/>
        <w:ind w:firstLine="632"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41B4A68C">
      <w:pPr>
        <w:keepNext w:val="0"/>
        <w:keepLines w:val="0"/>
        <w:pageBreakBefore w:val="0"/>
        <w:widowControl/>
        <w:kinsoku/>
        <w:wordWrap/>
        <w:overflowPunct/>
        <w:topLinePunct w:val="0"/>
        <w:autoSpaceDE/>
        <w:autoSpaceDN/>
        <w:bidi w:val="0"/>
        <w:adjustRightInd/>
        <w:snapToGrid/>
        <w:spacing w:line="576" w:lineRule="exact"/>
        <w:ind w:firstLine="632" w:firstLineChars="20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一）内设机构设置。县农村经营服务站为农业农村局所属副科级公益一类全额拨款事业单位，机关内设5个股室，分别为：办公室、农业经营主体指导服务股、农村财务指导与审计服务股、农村土地承包与流转服务股（岳阳县农村土地承包经营权流转服务中心）、农民负担监督服务股。</w:t>
      </w:r>
    </w:p>
    <w:p w14:paraId="1403479B">
      <w:pPr>
        <w:keepNext w:val="0"/>
        <w:keepLines w:val="0"/>
        <w:pageBreakBefore w:val="0"/>
        <w:widowControl/>
        <w:kinsoku/>
        <w:wordWrap/>
        <w:overflowPunct/>
        <w:topLinePunct w:val="0"/>
        <w:autoSpaceDE/>
        <w:autoSpaceDN/>
        <w:bidi w:val="0"/>
        <w:adjustRightInd/>
        <w:snapToGrid/>
        <w:spacing w:line="576" w:lineRule="exact"/>
        <w:ind w:firstLine="632" w:firstLineChars="200"/>
        <w:textAlignment w:val="auto"/>
        <w:rPr>
          <w:rFonts w:hint="eastAsia" w:ascii="仿宋_GB2312" w:hAnsi="仿宋_GB2312" w:eastAsia="仿宋_GB2312" w:cs="仿宋_GB2312"/>
          <w:i/>
          <w:iCs/>
          <w:color w:val="FF0000"/>
          <w:sz w:val="32"/>
          <w:szCs w:val="24"/>
          <w:highlight w:val="white"/>
        </w:rPr>
        <w:sectPr>
          <w:pgSz w:w="11906" w:h="16838"/>
          <w:pgMar w:top="2098" w:right="1474" w:bottom="1984" w:left="1587" w:header="851" w:footer="1587" w:gutter="0"/>
          <w:cols w:space="0" w:num="1"/>
          <w:rtlGutter w:val="0"/>
          <w:docGrid w:type="linesAndChars" w:linePitch="579" w:charSpace="-842"/>
        </w:sectPr>
      </w:pPr>
      <w:r>
        <w:rPr>
          <w:rFonts w:hint="eastAsia" w:ascii="仿宋_GB2312" w:hAnsi="仿宋_GB2312" w:eastAsia="仿宋_GB2312" w:cs="仿宋_GB2312"/>
          <w:bCs/>
          <w:kern w:val="0"/>
          <w:sz w:val="32"/>
          <w:szCs w:val="32"/>
        </w:rPr>
        <w:t>（二）决算单位构成。县农村经营服务站2024年部门决算汇总公开单位构成仅为单位本级。</w:t>
      </w:r>
    </w:p>
    <w:p w14:paraId="54B0DFCA">
      <w:pPr>
        <w:jc w:val="center"/>
        <w:rPr>
          <w:rFonts w:ascii="微软雅黑" w:hAnsi="微软雅黑" w:eastAsia="微软雅黑" w:cs="微软雅黑"/>
          <w:sz w:val="72"/>
          <w:szCs w:val="72"/>
        </w:rPr>
      </w:pPr>
    </w:p>
    <w:p w14:paraId="2FF09BB4">
      <w:pPr>
        <w:pStyle w:val="13"/>
        <w:jc w:val="center"/>
        <w:rPr>
          <w:rFonts w:hint="eastAsia" w:ascii="方正小标宋_GBK" w:hAnsi="方正小标宋_GBK" w:eastAsia="方正小标宋_GBK" w:cs="方正小标宋_GBK"/>
          <w:b w:val="0"/>
          <w:bCs w:val="0"/>
          <w:sz w:val="84"/>
          <w:szCs w:val="84"/>
        </w:rPr>
      </w:pPr>
    </w:p>
    <w:p w14:paraId="4B4BFA9A">
      <w:pPr>
        <w:pStyle w:val="13"/>
        <w:jc w:val="center"/>
        <w:rPr>
          <w:rFonts w:hint="eastAsia" w:ascii="方正小标宋_GBK" w:hAnsi="方正小标宋_GBK" w:eastAsia="方正小标宋_GBK" w:cs="方正小标宋_GBK"/>
          <w:b w:val="0"/>
          <w:bCs w:val="0"/>
          <w:sz w:val="84"/>
          <w:szCs w:val="84"/>
        </w:rPr>
      </w:pPr>
      <w:r>
        <w:rPr>
          <w:rFonts w:hint="eastAsia" w:ascii="方正小标宋_GBK" w:hAnsi="方正小标宋_GBK" w:eastAsia="方正小标宋_GBK" w:cs="方正小标宋_GBK"/>
          <w:b w:val="0"/>
          <w:bCs w:val="0"/>
          <w:sz w:val="84"/>
          <w:szCs w:val="84"/>
        </w:rPr>
        <w:t>第二部分</w:t>
      </w:r>
    </w:p>
    <w:p w14:paraId="7435AB95">
      <w:pPr>
        <w:pStyle w:val="13"/>
        <w:jc w:val="center"/>
        <w:rPr>
          <w:rFonts w:hint="eastAsia" w:ascii="方正小标宋_GBK" w:hAnsi="方正小标宋_GBK" w:eastAsia="方正小标宋_GBK" w:cs="方正小标宋_GBK"/>
          <w:b w:val="0"/>
          <w:bCs w:val="0"/>
          <w:sz w:val="84"/>
          <w:szCs w:val="84"/>
        </w:rPr>
      </w:pPr>
    </w:p>
    <w:p w14:paraId="43B06BF7">
      <w:pPr>
        <w:pStyle w:val="13"/>
        <w:jc w:val="center"/>
        <w:rPr>
          <w:rFonts w:hint="eastAsia" w:ascii="方正小标宋_GBK" w:hAnsi="方正小标宋_GBK" w:eastAsia="方正小标宋_GBK" w:cs="方正小标宋_GBK"/>
          <w:b w:val="0"/>
          <w:bCs w:val="0"/>
          <w:sz w:val="84"/>
          <w:szCs w:val="84"/>
        </w:rPr>
      </w:pPr>
      <w:r>
        <w:rPr>
          <w:rFonts w:hint="eastAsia" w:ascii="方正小标宋_GBK" w:hAnsi="方正小标宋_GBK" w:eastAsia="方正小标宋_GBK" w:cs="方正小标宋_GBK"/>
          <w:b w:val="0"/>
          <w:bCs w:val="0"/>
          <w:sz w:val="84"/>
          <w:szCs w:val="84"/>
        </w:rPr>
        <w:t>部门决算表</w:t>
      </w:r>
    </w:p>
    <w:p w14:paraId="2A4C1B22">
      <w:pPr>
        <w:jc w:val="center"/>
        <w:rPr>
          <w:rFonts w:hint="eastAsia" w:ascii="仿宋_GB2312" w:hAnsi="仿宋_GB2312" w:eastAsia="仿宋_GB2312" w:cs="仿宋_GB2312"/>
          <w:b w:val="0"/>
          <w:bCs w:val="0"/>
          <w:sz w:val="72"/>
          <w:szCs w:val="72"/>
        </w:rPr>
        <w:sectPr>
          <w:pgSz w:w="11906" w:h="16838"/>
          <w:pgMar w:top="2098" w:right="1474" w:bottom="1984" w:left="1587" w:header="851" w:footer="1587" w:gutter="0"/>
          <w:cols w:space="0" w:num="1"/>
          <w:rtlGutter w:val="0"/>
          <w:docGrid w:type="linesAndChars" w:linePitch="579" w:charSpace="-842"/>
        </w:sectPr>
      </w:pPr>
      <w:r>
        <w:rPr>
          <w:rFonts w:hint="eastAsia" w:ascii="仿宋_GB2312" w:hAnsi="仿宋_GB2312" w:eastAsia="仿宋_GB2312" w:cs="仿宋_GB2312"/>
          <w:b w:val="0"/>
          <w:bCs w:val="0"/>
          <w:sz w:val="72"/>
          <w:szCs w:val="72"/>
        </w:rPr>
        <w:t>（见附件）</w:t>
      </w:r>
    </w:p>
    <w:p w14:paraId="45D5F2C1">
      <w:pPr>
        <w:pStyle w:val="13"/>
        <w:jc w:val="center"/>
        <w:rPr>
          <w:rFonts w:ascii="微软雅黑" w:hAnsi="微软雅黑" w:eastAsia="微软雅黑" w:cs="微软雅黑"/>
          <w:sz w:val="72"/>
          <w:szCs w:val="72"/>
        </w:rPr>
      </w:pPr>
    </w:p>
    <w:p w14:paraId="6407FF5B">
      <w:pPr>
        <w:pStyle w:val="13"/>
        <w:jc w:val="center"/>
        <w:rPr>
          <w:rFonts w:ascii="微软雅黑" w:hAnsi="微软雅黑" w:eastAsia="微软雅黑" w:cs="微软雅黑"/>
          <w:sz w:val="72"/>
          <w:szCs w:val="72"/>
        </w:rPr>
      </w:pPr>
    </w:p>
    <w:p w14:paraId="0AFD060B">
      <w:pPr>
        <w:pStyle w:val="13"/>
        <w:jc w:val="center"/>
        <w:rPr>
          <w:rFonts w:hint="eastAsia" w:ascii="方正小标宋_GBK" w:hAnsi="方正小标宋_GBK" w:eastAsia="方正小标宋_GBK" w:cs="方正小标宋_GBK"/>
          <w:b w:val="0"/>
          <w:bCs w:val="0"/>
          <w:sz w:val="84"/>
          <w:szCs w:val="84"/>
        </w:rPr>
      </w:pPr>
      <w:r>
        <w:rPr>
          <w:rFonts w:hint="eastAsia" w:ascii="方正小标宋_GBK" w:hAnsi="方正小标宋_GBK" w:eastAsia="方正小标宋_GBK" w:cs="方正小标宋_GBK"/>
          <w:b w:val="0"/>
          <w:bCs w:val="0"/>
          <w:sz w:val="84"/>
          <w:szCs w:val="84"/>
        </w:rPr>
        <w:t>第三部分</w:t>
      </w:r>
    </w:p>
    <w:p w14:paraId="71EC1F18">
      <w:pPr>
        <w:pStyle w:val="13"/>
        <w:jc w:val="center"/>
        <w:rPr>
          <w:rFonts w:hint="eastAsia" w:ascii="方正小标宋_GBK" w:hAnsi="方正小标宋_GBK" w:eastAsia="方正小标宋_GBK" w:cs="方正小标宋_GBK"/>
          <w:b w:val="0"/>
          <w:bCs w:val="0"/>
          <w:sz w:val="84"/>
          <w:szCs w:val="84"/>
        </w:rPr>
      </w:pPr>
    </w:p>
    <w:p w14:paraId="11DC4BC2">
      <w:pPr>
        <w:pStyle w:val="13"/>
        <w:jc w:val="center"/>
        <w:rPr>
          <w:rFonts w:hint="eastAsia" w:ascii="方正小标宋_GBK" w:hAnsi="方正小标宋_GBK" w:eastAsia="方正小标宋_GBK" w:cs="方正小标宋_GBK"/>
          <w:b w:val="0"/>
          <w:bCs w:val="0"/>
          <w:sz w:val="84"/>
          <w:szCs w:val="84"/>
        </w:rPr>
      </w:pPr>
      <w:r>
        <w:rPr>
          <w:rFonts w:hint="eastAsia" w:ascii="方正小标宋_GBK" w:hAnsi="方正小标宋_GBK" w:eastAsia="方正小标宋_GBK" w:cs="方正小标宋_GBK"/>
          <w:b w:val="0"/>
          <w:bCs w:val="0"/>
          <w:sz w:val="84"/>
          <w:szCs w:val="84"/>
        </w:rPr>
        <w:t>2024年度部门决算情况说明</w:t>
      </w:r>
    </w:p>
    <w:p w14:paraId="67CBDF67">
      <w:pPr>
        <w:pStyle w:val="13"/>
        <w:jc w:val="center"/>
        <w:rPr>
          <w:rFonts w:ascii="微软雅黑" w:hAnsi="微软雅黑" w:eastAsia="微软雅黑" w:cs="微软雅黑"/>
          <w:sz w:val="70"/>
          <w:szCs w:val="70"/>
        </w:rPr>
      </w:pPr>
    </w:p>
    <w:p w14:paraId="46476909">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p>
    <w:p w14:paraId="4C2A9357">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1D217618">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i/>
          <w:iCs/>
          <w:color w:val="FF0000"/>
          <w:sz w:val="32"/>
          <w:szCs w:val="32"/>
        </w:rPr>
      </w:pPr>
      <w:r>
        <w:rPr>
          <w:rFonts w:hint="eastAsia" w:ascii="仿宋_GB2312" w:hAnsi="仿宋_GB2312" w:eastAsia="仿宋_GB2312" w:cs="仿宋_GB2312"/>
          <w:sz w:val="32"/>
          <w:szCs w:val="32"/>
        </w:rPr>
        <w:t>2024年度收、支总计1291.92万元。与上年相比，减少372.65万元，减少22.39%，主要是因为农业生产社会化服务和农民合作社培育上级补助经费</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w:t>
      </w:r>
    </w:p>
    <w:p w14:paraId="60543724">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01EBD69E">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2024年度收入合计1291.92万元，其中：财政拨款收入1291.92万元，占100.00%；上级补助收入0万元，占0%；事业收入0万元，占0%；经营收入0万元，占0%；附属单位上缴收入0万元，占0%；其他收入0万元，占0%。</w:t>
      </w:r>
    </w:p>
    <w:p w14:paraId="3A18F907">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C2719E5">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2024年度支出合计1291.92万元，其中：基本支出214.81万元，占16.63%；项目支出1077.11万元，占83.37%；上缴上级支出0万元，占0%；经营支出0万元，占0%；对附属单位补助支出0万元，占0%。</w:t>
      </w:r>
    </w:p>
    <w:p w14:paraId="57C3B7C7">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73C702E7">
      <w:pPr>
        <w:pStyle w:val="13"/>
        <w:keepNext w:val="0"/>
        <w:keepLines w:val="0"/>
        <w:pageBreakBefore w:val="0"/>
        <w:widowControl w:val="0"/>
        <w:kinsoku/>
        <w:wordWrap/>
        <w:overflowPunct/>
        <w:topLinePunct w:val="0"/>
        <w:bidi w:val="0"/>
        <w:snapToGrid/>
        <w:spacing w:line="576" w:lineRule="exact"/>
        <w:textAlignment w:val="auto"/>
        <w:rPr>
          <w:rFonts w:hint="eastAsia" w:ascii="仿宋_GB2312" w:hAnsi="仿宋_GB2312" w:eastAsia="仿宋_GB2312" w:cs="仿宋_GB2312"/>
          <w:i/>
          <w:iCs/>
          <w:color w:val="FF0000"/>
          <w:sz w:val="32"/>
          <w:szCs w:val="32"/>
        </w:rPr>
      </w:pPr>
      <w:r>
        <w:rPr>
          <w:rFonts w:hint="eastAsia" w:ascii="仿宋_GB2312" w:hAnsi="仿宋_GB2312" w:eastAsia="仿宋_GB2312" w:cs="仿宋_GB2312"/>
          <w:sz w:val="32"/>
          <w:szCs w:val="32"/>
        </w:rPr>
        <w:t xml:space="preserve">    2024年度财政拨款收、支总计1291.92万元，与上年相比，减少372.65万元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减少22.39%，主要是因为农业生产社会化服务和农民合作社培育上级补助经费减少所致。</w:t>
      </w:r>
    </w:p>
    <w:p w14:paraId="40FB2D5F">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64DD0064">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（一）财政拨款支出决算总体情况</w:t>
      </w:r>
    </w:p>
    <w:p w14:paraId="4B3AF7EC">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i/>
          <w:iCs/>
          <w:color w:val="FF0000"/>
          <w:sz w:val="32"/>
          <w:szCs w:val="32"/>
        </w:rPr>
      </w:pPr>
      <w:r>
        <w:rPr>
          <w:rFonts w:hint="eastAsia" w:ascii="仿宋_GB2312" w:hAnsi="仿宋_GB2312" w:eastAsia="仿宋_GB2312" w:cs="仿宋_GB2312"/>
          <w:sz w:val="32"/>
          <w:szCs w:val="32"/>
        </w:rPr>
        <w:t>2024年度财政拨款支出1291.92万元，占本年支出合计的100.00%，与上年相比，财政拨款支出减少372.65万元，减少22.39%，主要是因为农业生产社会化服务和农民合作社培育上级补助经费减少所致。</w:t>
      </w:r>
    </w:p>
    <w:p w14:paraId="735FB966">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（二）财政拨款支出决算结构情况</w:t>
      </w:r>
    </w:p>
    <w:p w14:paraId="75E4FE52">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i/>
          <w:iCs/>
          <w:color w:val="FF0000"/>
          <w:sz w:val="32"/>
          <w:szCs w:val="32"/>
        </w:rPr>
      </w:pPr>
      <w:r>
        <w:rPr>
          <w:rFonts w:hint="eastAsia" w:ascii="仿宋_GB2312" w:hAnsi="仿宋_GB2312" w:eastAsia="仿宋_GB2312" w:cs="仿宋_GB2312"/>
          <w:sz w:val="32"/>
          <w:szCs w:val="32"/>
        </w:rPr>
        <w:t>2024年度财政拨款支出1291.92万元，主要用于以下方面：社会保障和就业（类）支出14.76万元、卫生健康（类）支出8.88万元、农林水（类）支出1255.44万元、住房保障（类）支出12.84万元。</w:t>
      </w:r>
    </w:p>
    <w:p w14:paraId="436CECA6">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（三）财政拨款支出决算具体情况</w:t>
      </w:r>
    </w:p>
    <w:p w14:paraId="70E714CF">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2024年度财政拨款支出年初预算数为1234.55万元，支出决算数为1291.92万元，完成年初预算的103.89%，其中：</w:t>
      </w:r>
    </w:p>
    <w:p w14:paraId="67340965">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社会保障和就业支出</w:t>
      </w:r>
    </w:p>
    <w:p w14:paraId="71A52997">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年初预算为14.58万元，支出决算为14.76万元，完成年初预算的101.23%，决算数大于年初预算数的主要原因是：新录用公务员一名。</w:t>
      </w:r>
    </w:p>
    <w:p w14:paraId="2AD1662D">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卫生健康支出</w:t>
      </w:r>
    </w:p>
    <w:p w14:paraId="7DFE7037">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年初预算为8.14万元，支出决算为8.88万元，完成年初预算的109.09%，决算数大于年初预算数的主要原因是：新录用一名公务员以及人员工资正常</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rPr>
        <w:t>。</w:t>
      </w:r>
    </w:p>
    <w:p w14:paraId="111C246C">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3.农林水支出</w:t>
      </w:r>
    </w:p>
    <w:p w14:paraId="1BE5A905">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年初预算为1210.54万元，支出决算为1255.44万元，完成年初预算的103.71%，决算数大于年初预算数的主要原因是：因新录用人员工资及其考核绩效未纳入年初预算，造成人员经费决算支出数大于预算数。</w:t>
      </w:r>
    </w:p>
    <w:p w14:paraId="4267E4DE">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4.</w:t>
      </w:r>
      <w:r>
        <w:rPr>
          <w:rFonts w:hint="eastAsia" w:ascii="仿宋_GB2312" w:hAnsi="仿宋_GB2312" w:eastAsia="仿宋_GB2312" w:cs="仿宋_GB2312"/>
          <w:sz w:val="32"/>
          <w:szCs w:val="32"/>
        </w:rPr>
        <w:t>住房保障（类）支出</w:t>
      </w:r>
    </w:p>
    <w:p w14:paraId="0EA1D2B6">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年初预算为10.29万元，支出决算为12.84万元，完成年初预算的124.78%，决算数大于年初预算数的主要原因是：新增录用人员及人员工资正常增长导致职工住房公积金计提基数增大。</w:t>
      </w:r>
    </w:p>
    <w:p w14:paraId="076F77CA">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3CF9F536">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2024年度财政拨款基本支出214.80万元，其中：</w:t>
      </w:r>
    </w:p>
    <w:p w14:paraId="44E3C4AF">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人员经费170.66万元，占基本支出的79.45%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主要包括基本工资、津贴补贴、绩效工资、社会保障缴费等。</w:t>
      </w:r>
    </w:p>
    <w:p w14:paraId="40884870">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公用经费44.14万元，占基本支出的20.55%，主要包括办公费、印刷费、电费、邮电费、物业管理费、维修（护）费、公务接待费、劳务费、工会经费、其他交通费用和其他商品服务支出等。</w:t>
      </w:r>
    </w:p>
    <w:p w14:paraId="42BB97B2">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33A2B2B0">
      <w:pPr>
        <w:pStyle w:val="13"/>
        <w:keepNext w:val="0"/>
        <w:keepLines w:val="0"/>
        <w:pageBreakBefore w:val="0"/>
        <w:widowControl w:val="0"/>
        <w:kinsoku/>
        <w:wordWrap/>
        <w:overflowPunct/>
        <w:topLinePunct w:val="0"/>
        <w:bidi w:val="0"/>
        <w:snapToGrid/>
        <w:spacing w:line="576"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2024年度本单位无政府性基金预算财政拨款收入支出。</w:t>
      </w:r>
    </w:p>
    <w:p w14:paraId="567C5F0D">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八、国有资本经营预算财政拨款支出决算情况</w:t>
      </w:r>
    </w:p>
    <w:p w14:paraId="028EFCD1">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i/>
          <w:iCs/>
          <w:color w:val="FF0000"/>
          <w:sz w:val="32"/>
          <w:szCs w:val="32"/>
        </w:rPr>
      </w:pPr>
      <w:r>
        <w:rPr>
          <w:rFonts w:hint="eastAsia" w:ascii="仿宋_GB2312" w:hAnsi="仿宋_GB2312" w:eastAsia="仿宋_GB2312" w:cs="仿宋_GB2312"/>
          <w:sz w:val="32"/>
          <w:szCs w:val="32"/>
        </w:rPr>
        <w:t>2024年度本单位无国有资本经营预算财政拨款收入支出。</w:t>
      </w:r>
    </w:p>
    <w:p w14:paraId="419FF37D">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九、财政拨款</w:t>
      </w:r>
      <w:r>
        <w:rPr>
          <w:rFonts w:hint="eastAsia" w:ascii="黑体" w:hAnsi="黑体" w:eastAsia="黑体" w:cs="黑体"/>
          <w:b w:val="0"/>
          <w:bCs/>
          <w:sz w:val="32"/>
          <w:szCs w:val="32"/>
          <w:lang w:eastAsia="zh-CN"/>
        </w:rPr>
        <w:t>“三公”经费</w:t>
      </w:r>
      <w:r>
        <w:rPr>
          <w:rFonts w:hint="eastAsia" w:ascii="黑体" w:hAnsi="黑体" w:eastAsia="黑体" w:cs="黑体"/>
          <w:b w:val="0"/>
          <w:bCs/>
          <w:sz w:val="32"/>
          <w:szCs w:val="32"/>
        </w:rPr>
        <w:t>支出决算情况说明</w:t>
      </w:r>
    </w:p>
    <w:p w14:paraId="7170F5C6">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（一）“三公”经费财政拨款支出决算总体情况说明</w:t>
      </w:r>
    </w:p>
    <w:p w14:paraId="6F06C569">
      <w:pPr>
        <w:pStyle w:val="13"/>
        <w:keepNext w:val="0"/>
        <w:keepLines w:val="0"/>
        <w:pageBreakBefore w:val="0"/>
        <w:widowControl w:val="0"/>
        <w:kinsoku/>
        <w:wordWrap/>
        <w:overflowPunct/>
        <w:topLinePunct w:val="0"/>
        <w:bidi w:val="0"/>
        <w:snapToGrid/>
        <w:spacing w:line="576" w:lineRule="exact"/>
        <w:ind w:firstLine="79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“三公”经费财政拨款支出预算为7.63万元，支出决算为5.24万元，完成预算的68.68%，其中：</w:t>
      </w:r>
    </w:p>
    <w:p w14:paraId="4C0F8F20">
      <w:pPr>
        <w:pStyle w:val="13"/>
        <w:keepNext w:val="0"/>
        <w:keepLines w:val="0"/>
        <w:pageBreakBefore w:val="0"/>
        <w:widowControl w:val="0"/>
        <w:kinsoku/>
        <w:wordWrap/>
        <w:overflowPunct/>
        <w:topLinePunct w:val="0"/>
        <w:bidi w:val="0"/>
        <w:snapToGrid/>
        <w:spacing w:line="576" w:lineRule="exact"/>
        <w:ind w:firstLine="79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因公出国（境）费支出预算为0万元，支出决算为0万元，完成预算的0%，与上年相比增长0.00万元，增长0.00%。</w:t>
      </w:r>
    </w:p>
    <w:p w14:paraId="5691B1A1">
      <w:pPr>
        <w:pStyle w:val="13"/>
        <w:keepNext w:val="0"/>
        <w:keepLines w:val="0"/>
        <w:pageBreakBefore w:val="0"/>
        <w:widowControl w:val="0"/>
        <w:kinsoku/>
        <w:wordWrap/>
        <w:overflowPunct/>
        <w:topLinePunct w:val="0"/>
        <w:bidi w:val="0"/>
        <w:snapToGrid/>
        <w:spacing w:line="576" w:lineRule="exact"/>
        <w:ind w:firstLine="790" w:firstLineChars="25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公务接待费支出预算为7.63万元，支出决算为5.24万元，完成预算的68.68%，决算数</w:t>
      </w:r>
      <w:r>
        <w:rPr>
          <w:rFonts w:hint="eastAsia" w:ascii="仿宋_GB2312" w:hAnsi="仿宋_GB2312" w:eastAsia="仿宋_GB2312" w:cs="仿宋_GB2312"/>
          <w:color w:val="auto"/>
          <w:sz w:val="32"/>
          <w:szCs w:val="32"/>
        </w:rPr>
        <w:t>小于预算</w:t>
      </w:r>
      <w:r>
        <w:rPr>
          <w:rFonts w:hint="eastAsia" w:ascii="仿宋_GB2312" w:hAnsi="仿宋_GB2312" w:eastAsia="仿宋_GB2312" w:cs="仿宋_GB2312"/>
          <w:sz w:val="32"/>
          <w:szCs w:val="32"/>
        </w:rPr>
        <w:t>数的主要原因是大力压缩公务接待开支，与上年相比增长2.27万元，</w:t>
      </w:r>
      <w:r>
        <w:rPr>
          <w:rFonts w:hint="eastAsia" w:ascii="仿宋_GB2312" w:hAnsi="仿宋_GB2312" w:eastAsia="仿宋_GB2312" w:cs="仿宋_GB2312"/>
          <w:color w:val="auto"/>
          <w:sz w:val="32"/>
          <w:szCs w:val="32"/>
        </w:rPr>
        <w:t>增长76.43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rPr>
        <w:t>增长的</w:t>
      </w:r>
      <w:r>
        <w:rPr>
          <w:rFonts w:hint="eastAsia" w:ascii="仿宋_GB2312" w:hAnsi="仿宋_GB2312" w:eastAsia="仿宋_GB2312" w:cs="仿宋_GB2312"/>
          <w:sz w:val="32"/>
          <w:szCs w:val="32"/>
        </w:rPr>
        <w:t>主要原</w:t>
      </w:r>
      <w:r>
        <w:rPr>
          <w:rFonts w:hint="eastAsia" w:ascii="仿宋_GB2312" w:hAnsi="仿宋_GB2312" w:eastAsia="仿宋_GB2312" w:cs="仿宋_GB2312"/>
          <w:b w:val="0"/>
          <w:bCs w:val="0"/>
          <w:sz w:val="32"/>
          <w:szCs w:val="32"/>
        </w:rPr>
        <w:t>因是上级检查及省内外兄弟单位前来学习交流工作导致公务接待费用较上年度增加。</w:t>
      </w:r>
    </w:p>
    <w:p w14:paraId="6676D01D">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公务用车购置费支出预算为0万元，支出决算为0万元，完成预算的0%，与上年相比增长0.00万元，增长0.00%。</w:t>
      </w:r>
    </w:p>
    <w:p w14:paraId="4DA24AA8">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sz w:val="32"/>
          <w:szCs w:val="32"/>
        </w:rPr>
        <w:t>公务用车运行维护费支出预算为0万元，支出决算为0万元，</w:t>
      </w:r>
      <w:r>
        <w:rPr>
          <w:rFonts w:hint="eastAsia" w:ascii="仿宋_GB2312" w:hAnsi="仿宋_GB2312" w:eastAsia="仿宋_GB2312" w:cs="仿宋_GB2312"/>
          <w:b w:val="0"/>
          <w:bCs w:val="0"/>
          <w:color w:val="000000"/>
          <w:kern w:val="0"/>
          <w:sz w:val="32"/>
          <w:szCs w:val="32"/>
        </w:rPr>
        <w:t>完成预算的0%，与上年相比增长0.00万元，增长0.00%。</w:t>
      </w:r>
    </w:p>
    <w:p w14:paraId="2EA6EF90">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（二）“三公”经费财政拨款支出决算具体情况说明</w:t>
      </w:r>
    </w:p>
    <w:p w14:paraId="1CF00376">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2024年度“三公”经费财政拨款支出决算中，公务接待费支出决算5.24万元，占100.00%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因公出国（境）费支出决算0万元，占0%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公务用车购置费及运行维护费支出决算0.00万元，占0.00%。其中：</w:t>
      </w:r>
    </w:p>
    <w:p w14:paraId="6BF83A25">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因公出国（境）费支出决算为0万元，全年安排因公出国（境）团组0个，累计0人次</w:t>
      </w:r>
      <w:r>
        <w:rPr>
          <w:rFonts w:hint="eastAsia" w:ascii="仿宋_GB2312" w:hAnsi="仿宋_GB2312" w:eastAsia="仿宋_GB2312" w:cs="仿宋_GB2312"/>
          <w:color w:val="auto"/>
          <w:sz w:val="32"/>
          <w:szCs w:val="32"/>
        </w:rPr>
        <w:t>。</w:t>
      </w:r>
    </w:p>
    <w:p w14:paraId="146B0C64">
      <w:pPr>
        <w:pStyle w:val="13"/>
        <w:keepNext w:val="0"/>
        <w:keepLines w:val="0"/>
        <w:pageBreakBefore w:val="0"/>
        <w:widowControl w:val="0"/>
        <w:kinsoku/>
        <w:wordWrap/>
        <w:overflowPunct/>
        <w:topLinePunct w:val="0"/>
        <w:bidi w:val="0"/>
        <w:snapToGrid/>
        <w:spacing w:line="576" w:lineRule="exact"/>
        <w:ind w:firstLine="79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公务接待费支出决算为5.24万元，全年共接待来访团组106个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来宾1048人次，主要是接待乡镇工作沟通、接待同行交流、接待上级检查等工作发生的接待支出。</w:t>
      </w:r>
    </w:p>
    <w:p w14:paraId="4BC4DE23">
      <w:pPr>
        <w:keepNext w:val="0"/>
        <w:keepLines w:val="0"/>
        <w:pageBreakBefore w:val="0"/>
        <w:widowControl w:val="0"/>
        <w:kinsoku/>
        <w:wordWrap/>
        <w:overflowPunct/>
        <w:topLinePunct w:val="0"/>
        <w:bidi w:val="0"/>
        <w:snapToGrid/>
        <w:spacing w:line="576" w:lineRule="exact"/>
        <w:ind w:firstLine="790" w:firstLineChars="250"/>
        <w:textAlignment w:val="auto"/>
        <w:rPr>
          <w:rFonts w:hint="eastAsia" w:ascii="仿宋_GB2312" w:hAnsi="仿宋_GB2312" w:eastAsia="仿宋_GB2312" w:cs="仿宋_GB2312"/>
          <w:b/>
          <w:bCs/>
          <w:i/>
          <w:kern w:val="0"/>
          <w:sz w:val="32"/>
          <w:szCs w:val="32"/>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rPr>
        <w:t>公务用车购置费及运行维护费支出决算为0万元，其中：公务用车购置费0万元，单位本级无公务用车辆。公务用车运行维护费0万元，截至2024年12月31日，我单位开支财政拨款的公务用车保有量为0辆。</w:t>
      </w:r>
    </w:p>
    <w:p w14:paraId="6D746452">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十、关于机关运行经费支出说明</w:t>
      </w:r>
    </w:p>
    <w:p w14:paraId="55C48FA4">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本部门2024年度机关运行经费支出44.14万元，比上年决算数增长9.07 万元，增长25.86%。主要原因是：单位办公场所管理主体变化导致电费及维修费用增加。</w:t>
      </w:r>
    </w:p>
    <w:p w14:paraId="6EAC56DB">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十一、一般性支出情况说明</w:t>
      </w:r>
    </w:p>
    <w:p w14:paraId="52D9B466">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本部门开支会议费0万元，会议资料在办公费和印刷费中列支；开支培训费0万元，人员参加学习在差旅费中列支；未开展举办节庆、晚会、论坛、赛事活动，开支0万元，主要是本单位无开展此类活动的需要。</w:t>
      </w:r>
    </w:p>
    <w:p w14:paraId="785A31D6">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十二、关于政府采购支出说明</w:t>
      </w:r>
    </w:p>
    <w:p w14:paraId="4E442C5E">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2024年度政府采购支出总额14.26万元，其中：政府采购货物支出14.26万元、政府采购工程支出0万元、政府采购服务支出0万元。授予中小企业合同金额14.26万元，占政府采购支出总额的100%，其中：授予小微企业合同金额14.26万元，占授予中小企业合同金额的100%。货物采购授予中小企业合同金额占货物支出金额的100%，工程采购授予中小企业合同金额占工程支出金额的0%，服务采购授予中小企业合同金额占服务支出金额的0%。</w:t>
      </w:r>
    </w:p>
    <w:p w14:paraId="4CD72966">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十三、关于国有资产占用情况说明</w:t>
      </w:r>
    </w:p>
    <w:p w14:paraId="254646FE">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2024年12月31日，本单位共有车辆0辆，其中，主要领导干部用车0辆，机要通信用车0辆、应急保障用车0辆、执法执勤用车0辆、特种专业技术用车0辆、其他用车0辆；单位价值50万元以上通用设备0台（套）；单位价值100万元以上专用设备1台（套）。</w:t>
      </w:r>
    </w:p>
    <w:p w14:paraId="341837C0">
      <w:pPr>
        <w:pStyle w:val="13"/>
        <w:keepNext w:val="0"/>
        <w:keepLines w:val="0"/>
        <w:pageBreakBefore w:val="0"/>
        <w:widowControl w:val="0"/>
        <w:kinsoku/>
        <w:wordWrap/>
        <w:overflowPunct/>
        <w:topLinePunct w:val="0"/>
        <w:bidi w:val="0"/>
        <w:snapToGrid/>
        <w:spacing w:line="576" w:lineRule="exact"/>
        <w:ind w:firstLine="632"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十四、关于2024年度绩效评价情况的说明</w:t>
      </w:r>
    </w:p>
    <w:p w14:paraId="57153217">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（1）绩效管理评价工作开展情况。</w:t>
      </w:r>
    </w:p>
    <w:p w14:paraId="797F4DA8">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根据预算绩效管理要求，我部门组织对</w:t>
      </w:r>
      <w:r>
        <w:rPr>
          <w:rFonts w:hint="eastAsia" w:ascii="仿宋_GB2312" w:hAnsi="仿宋_GB2312" w:eastAsia="仿宋_GB2312" w:cs="仿宋_GB2312"/>
          <w:color w:val="000000"/>
          <w:sz w:val="32"/>
          <w:szCs w:val="32"/>
        </w:rPr>
        <w:t>2024年度一般公共预算项目支出全面开展绩效自评，其中，一级项目3个，二级项目0个，共涉及资金</w:t>
      </w:r>
      <w:r>
        <w:rPr>
          <w:rFonts w:hint="eastAsia" w:ascii="仿宋_GB2312" w:hAnsi="仿宋_GB2312" w:eastAsia="仿宋_GB2312" w:cs="仿宋_GB2312"/>
          <w:color w:val="000000"/>
          <w:kern w:val="0"/>
          <w:sz w:val="32"/>
          <w:szCs w:val="32"/>
        </w:rPr>
        <w:t>1000</w:t>
      </w:r>
      <w:r>
        <w:rPr>
          <w:rFonts w:hint="eastAsia" w:ascii="仿宋_GB2312" w:hAnsi="仿宋_GB2312" w:eastAsia="仿宋_GB2312" w:cs="仿宋_GB2312"/>
          <w:color w:val="000000"/>
          <w:sz w:val="32"/>
          <w:szCs w:val="32"/>
        </w:rPr>
        <w:t>万元，占一般公共预算项目支出总额的92.84%。组织对2024年度0个政府性基金预算项目支出开展绩效自评，共涉及资金0万元，占政府性基金预算项目支出总额的0%。组织对2024年度0个国有资本经营预算项目支出开展绩效自评，共涉及资金0万元，占国有资本经营预算项目支出总额的0%。</w:t>
      </w:r>
    </w:p>
    <w:p w14:paraId="522B9EC3">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组织对“农业生产社会化服务”“</w:t>
      </w:r>
      <w:r>
        <w:rPr>
          <w:rFonts w:hint="eastAsia" w:ascii="仿宋_GB2312" w:hAnsi="仿宋_GB2312" w:eastAsia="仿宋_GB2312" w:cs="仿宋_GB2312"/>
          <w:snapToGrid w:val="0"/>
          <w:color w:val="000000"/>
          <w:spacing w:val="6"/>
          <w:kern w:val="0"/>
          <w:sz w:val="32"/>
          <w:szCs w:val="32"/>
        </w:rPr>
        <w:t xml:space="preserve"> </w:t>
      </w:r>
      <w:r>
        <w:rPr>
          <w:rFonts w:hint="eastAsia" w:ascii="仿宋_GB2312" w:hAnsi="仿宋_GB2312" w:eastAsia="仿宋_GB2312" w:cs="仿宋_GB2312"/>
          <w:color w:val="000000"/>
          <w:kern w:val="0"/>
          <w:sz w:val="32"/>
          <w:szCs w:val="32"/>
        </w:rPr>
        <w:t>农业经营主体能力提升”等3个项目开展了部门评价，涉及一般公共预算支出1000万元，政府性基金预算支出0万元，国有资本经营预算支出0万元。从评价情况来看，项目实施情况评价为“优”。</w:t>
      </w:r>
    </w:p>
    <w:p w14:paraId="23E2ED83">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组织对“岳阳县经营服务站”等1个单位开展整体支出绩效评价，涉及一般公共预算支出1291.92万元，政府性基金预算支出0万元。从评价情况来看，单位整体支出绩效自评综合</w:t>
      </w:r>
      <w:r>
        <w:rPr>
          <w:rFonts w:hint="eastAsia" w:ascii="仿宋_GB2312" w:hAnsi="仿宋_GB2312" w:eastAsia="仿宋_GB2312" w:cs="仿宋_GB2312"/>
          <w:kern w:val="0"/>
          <w:sz w:val="32"/>
          <w:szCs w:val="32"/>
        </w:rPr>
        <w:t>得分98分，自评等</w:t>
      </w:r>
      <w:r>
        <w:rPr>
          <w:rFonts w:hint="eastAsia" w:ascii="仿宋_GB2312" w:hAnsi="仿宋_GB2312" w:eastAsia="仿宋_GB2312" w:cs="仿宋_GB2312"/>
          <w:color w:val="000000"/>
          <w:kern w:val="0"/>
          <w:sz w:val="32"/>
          <w:szCs w:val="32"/>
        </w:rPr>
        <w:t>次为优。</w:t>
      </w:r>
    </w:p>
    <w:p w14:paraId="2B39E678">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楷体_GB2312" w:hAnsi="楷体_GB2312" w:eastAsia="楷体_GB2312" w:cs="楷体_GB2312"/>
          <w:b/>
          <w:color w:val="000000"/>
          <w:kern w:val="0"/>
          <w:sz w:val="32"/>
          <w:szCs w:val="32"/>
        </w:rPr>
      </w:pPr>
      <w:r>
        <w:rPr>
          <w:rFonts w:hint="eastAsia" w:ascii="楷体_GB2312" w:hAnsi="楷体_GB2312" w:eastAsia="楷体_GB2312" w:cs="楷体_GB2312"/>
          <w:b/>
          <w:color w:val="000000"/>
          <w:kern w:val="0"/>
          <w:sz w:val="32"/>
          <w:szCs w:val="32"/>
        </w:rPr>
        <w:t>（2）部门决算中项目绩效自评结果（如有）。</w:t>
      </w:r>
    </w:p>
    <w:p w14:paraId="546C0195">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岳阳县“农业生产社会化服务”项目绩效自评综述：根据年初设定的绩效目标，项目绩效自评得分为100分。项目全年预算数为880万元，执行数为880万元，完成预算的100%。项目绩效目标完成情况：本项目实施机插抛秧服务11.4万亩，集中育秧服务11.4万亩，绿色生产技术服务8万亩，粮食产后服务11.15万亩，服务标准齐备，签订服务合同齐备，实施时间为2024年1月至2024年12月，在1年内全部完成服务任务，项目资金总额度880万元全部拨付到位，水稻试点区域亩均增产52公斤，水稻试点区域亩均增收165元，服务小农户数量提升幅度10%，服务规模经营水平提升幅度12%，农药化肥施用量降低幅度10%，扩大农业生产社会化</w:t>
      </w:r>
      <w:r>
        <w:rPr>
          <w:rFonts w:hint="eastAsia" w:ascii="仿宋_GB2312" w:hAnsi="仿宋_GB2312" w:eastAsia="仿宋_GB2312" w:cs="仿宋_GB2312"/>
          <w:color w:val="000000"/>
          <w:kern w:val="0"/>
          <w:sz w:val="32"/>
          <w:szCs w:val="32"/>
          <w:lang w:eastAsia="zh-CN"/>
        </w:rPr>
        <w:t>服务</w:t>
      </w:r>
      <w:r>
        <w:rPr>
          <w:rFonts w:hint="eastAsia" w:ascii="仿宋_GB2312" w:hAnsi="仿宋_GB2312" w:eastAsia="仿宋_GB2312" w:cs="仿宋_GB2312"/>
          <w:color w:val="000000"/>
          <w:kern w:val="0"/>
          <w:sz w:val="32"/>
          <w:szCs w:val="32"/>
        </w:rPr>
        <w:t>面积6000亩，提高农业机械化率15%，服务对象满意度95%。存在的主要问题及原因：一是服务环节还需延长。我们开展社会化服务，主要在集中育秧机插机抛、统防统治、</w:t>
      </w:r>
      <w:r>
        <w:rPr>
          <w:rFonts w:hint="eastAsia" w:ascii="仿宋_GB2312" w:hAnsi="仿宋_GB2312" w:eastAsia="仿宋_GB2312" w:cs="仿宋_GB2312"/>
          <w:color w:val="000000"/>
          <w:kern w:val="0"/>
          <w:sz w:val="32"/>
          <w:szCs w:val="32"/>
          <w:lang w:eastAsia="zh-CN"/>
        </w:rPr>
        <w:t>烘干</w:t>
      </w:r>
      <w:r>
        <w:rPr>
          <w:rFonts w:hint="eastAsia" w:ascii="仿宋_GB2312" w:hAnsi="仿宋_GB2312" w:eastAsia="仿宋_GB2312" w:cs="仿宋_GB2312"/>
          <w:color w:val="000000"/>
          <w:kern w:val="0"/>
          <w:sz w:val="32"/>
          <w:szCs w:val="32"/>
        </w:rPr>
        <w:t>收购环节。从促进粮食生产发展的角度看，应当将翻耕、育秧、机插、管理、防治收割、烘干、储存、加工、销售环节全纳入。我县处洞庭之滨，农村“双抢”又处于汛期，翻耕、机收、机插、烘干更重要。二是服务主体还需提质。城镇化进程加快，农村村庄空心化、农业人口老龄化、农业生产副业化加剧，未来农业生产主要靠服务组织来完成。就现有社会化服务组织来看，还需加强培训，规范管理，提质改造。下一步改进措施：一是农业社会化综合服务中心要提标扩面。在充分调研基础上，出台农业社会化综合服务中心创建标准，拓展服务主体的服务功能，做到服务要什么有什么。支持在现有农民专业合作社基础上组建联合社或农事综合服务中心，把服务的领域拓展到农业生产全过程，把农事服务中心建成为农服务超市，满足社会化服务不同需求。二是支持建设农业社会化综合服务平台。通过建设服务平台，能有效掌握服务主体的服务能力，相当于建立了“农业社会化服务指挥中心”。采取“互联网+N</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翻耕、育秧、机插、管理、防治、收割、烘干、储存、加工、销售</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”等方式，能掌握农业生产各环节信息，有的放矢开展服务。</w:t>
      </w:r>
    </w:p>
    <w:p w14:paraId="0F09CD59">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中央农业经营主体能力提升省级重点支持家庭农场项目绩效自评综述：根据年初设定的绩效目标，项目绩效自评得分为100分。项目全年预算数为65万元，执行数为65万元，完成预算的100%。项目绩效目标完成情况：本项目在岳阳县支持农民家庭农场数量13个，支持的家庭农场主体生产设施条件改善，服务功能和自我发展能力不断提高，家庭农场满意度100%。经单位内部绩效自评，本单位严格按省市上级对“农业经营主体能力提升”（家庭农场）项目专项资金管理要求予以落实，暂未发现问题。</w:t>
      </w:r>
    </w:p>
    <w:p w14:paraId="23B114DA">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中央农业经营主体能力提升省级重点支持合作社项目绩效自评综述：根据年初设定的绩效目标，项目绩效自评得分为99分。项目全年预算数为55万元，执行数为55万元，完成预算的100%。项目绩效目标完成情况：本项目在岳阳县支持农民合作社数量6个，添置大型水稻生产及</w:t>
      </w:r>
      <w:r>
        <w:rPr>
          <w:rFonts w:hint="eastAsia" w:ascii="仿宋_GB2312" w:hAnsi="仿宋_GB2312" w:eastAsia="仿宋_GB2312" w:cs="仿宋_GB2312"/>
          <w:color w:val="000000"/>
          <w:kern w:val="0"/>
          <w:sz w:val="32"/>
          <w:szCs w:val="32"/>
          <w:lang w:eastAsia="zh-CN"/>
        </w:rPr>
        <w:t>秸秆</w:t>
      </w:r>
      <w:r>
        <w:rPr>
          <w:rFonts w:hint="eastAsia" w:ascii="仿宋_GB2312" w:hAnsi="仿宋_GB2312" w:eastAsia="仿宋_GB2312" w:cs="仿宋_GB2312"/>
          <w:color w:val="000000"/>
          <w:kern w:val="0"/>
          <w:sz w:val="32"/>
          <w:szCs w:val="32"/>
        </w:rPr>
        <w:t>收储设备4台，建设育秧高速流水线2条，购置烘干机5组，建设集中育秧基地1个，更新肉鸽投料设备 135 组，全自动鸽子孵化机2台。支持的合作社主体生产设施条件改善，服务功能和自我发展能力不断提高，合作社满意度100 %。经单位内部绩效自评，本单位严格按省市上级对“农业经营主体能力提升”（合作社）项目专项资金管理要求予以落实，暂未发现问题。</w:t>
      </w:r>
    </w:p>
    <w:p w14:paraId="6DE8A2EE">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b/>
          <w:color w:val="000000"/>
          <w:kern w:val="0"/>
          <w:sz w:val="32"/>
          <w:szCs w:val="32"/>
        </w:rPr>
        <w:t>（3）部门评价项目绩效评价结果。</w:t>
      </w:r>
    </w:p>
    <w:p w14:paraId="1A134E44">
      <w:pPr>
        <w:keepNext w:val="0"/>
        <w:keepLines w:val="0"/>
        <w:pageBreakBefore w:val="0"/>
        <w:widowControl w:val="0"/>
        <w:kinsoku/>
        <w:wordWrap/>
        <w:overflowPunct/>
        <w:topLinePunct w:val="0"/>
        <w:autoSpaceDE w:val="0"/>
        <w:autoSpaceDN w:val="0"/>
        <w:bidi w:val="0"/>
        <w:adjustRightInd w:val="0"/>
        <w:snapToGrid/>
        <w:spacing w:line="576" w:lineRule="exact"/>
        <w:ind w:firstLine="632"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无。</w:t>
      </w:r>
    </w:p>
    <w:p w14:paraId="2F18F6A3">
      <w:pPr>
        <w:pStyle w:val="13"/>
        <w:jc w:val="both"/>
        <w:rPr>
          <w:rFonts w:hint="eastAsia" w:ascii="方正小标宋_GBK" w:hAnsi="方正小标宋_GBK" w:eastAsia="方正小标宋_GBK" w:cs="方正小标宋_GBK"/>
          <w:b/>
          <w:bCs/>
          <w:sz w:val="84"/>
          <w:szCs w:val="84"/>
          <w:lang w:eastAsia="zh-CN"/>
        </w:rPr>
      </w:pPr>
      <w:r>
        <w:rPr>
          <w:rFonts w:hint="eastAsia" w:ascii="方正小标宋_GBK" w:hAnsi="方正小标宋_GBK" w:eastAsia="方正小标宋_GBK" w:cs="方正小标宋_GBK"/>
          <w:b/>
          <w:bCs/>
          <w:sz w:val="84"/>
          <w:szCs w:val="84"/>
          <w:lang w:eastAsia="zh-CN"/>
        </w:rPr>
        <w:br w:type="page"/>
      </w:r>
    </w:p>
    <w:p w14:paraId="4EC1F775">
      <w:pPr>
        <w:pStyle w:val="13"/>
        <w:jc w:val="center"/>
        <w:rPr>
          <w:rFonts w:hint="eastAsia" w:ascii="方正小标宋_GBK" w:hAnsi="方正小标宋_GBK" w:eastAsia="方正小标宋_GBK" w:cs="方正小标宋_GBK"/>
          <w:b/>
          <w:bCs/>
          <w:sz w:val="84"/>
          <w:szCs w:val="84"/>
        </w:rPr>
      </w:pPr>
    </w:p>
    <w:p w14:paraId="27133653">
      <w:pPr>
        <w:pStyle w:val="13"/>
        <w:jc w:val="center"/>
        <w:rPr>
          <w:rFonts w:hint="eastAsia" w:ascii="方正小标宋_GBK" w:hAnsi="方正小标宋_GBK" w:eastAsia="方正小标宋_GBK" w:cs="方正小标宋_GBK"/>
          <w:b w:val="0"/>
          <w:bCs w:val="0"/>
          <w:sz w:val="84"/>
          <w:szCs w:val="84"/>
        </w:rPr>
      </w:pPr>
      <w:bookmarkStart w:id="0" w:name="_GoBack"/>
      <w:r>
        <w:rPr>
          <w:rFonts w:hint="eastAsia" w:ascii="方正小标宋_GBK" w:hAnsi="方正小标宋_GBK" w:eastAsia="方正小标宋_GBK" w:cs="方正小标宋_GBK"/>
          <w:b w:val="0"/>
          <w:bCs w:val="0"/>
          <w:sz w:val="84"/>
          <w:szCs w:val="84"/>
        </w:rPr>
        <w:t>第四部分</w:t>
      </w:r>
    </w:p>
    <w:p w14:paraId="2791D946">
      <w:pPr>
        <w:pStyle w:val="13"/>
        <w:jc w:val="center"/>
        <w:rPr>
          <w:rFonts w:hint="eastAsia" w:ascii="方正小标宋_GBK" w:hAnsi="方正小标宋_GBK" w:eastAsia="方正小标宋_GBK" w:cs="方正小标宋_GBK"/>
          <w:b w:val="0"/>
          <w:bCs w:val="0"/>
          <w:sz w:val="84"/>
          <w:szCs w:val="84"/>
        </w:rPr>
      </w:pPr>
    </w:p>
    <w:p w14:paraId="2C466698">
      <w:pPr>
        <w:jc w:val="center"/>
        <w:rPr>
          <w:rFonts w:hint="eastAsia" w:ascii="方正小标宋_GBK" w:hAnsi="方正小标宋_GBK" w:eastAsia="方正小标宋_GBK" w:cs="方正小标宋_GBK"/>
          <w:b w:val="0"/>
          <w:bCs w:val="0"/>
          <w:color w:val="000000"/>
          <w:kern w:val="0"/>
          <w:sz w:val="84"/>
          <w:szCs w:val="84"/>
        </w:rPr>
      </w:pPr>
      <w:r>
        <w:rPr>
          <w:rFonts w:hint="eastAsia" w:ascii="方正小标宋_GBK" w:hAnsi="方正小标宋_GBK" w:eastAsia="方正小标宋_GBK" w:cs="方正小标宋_GBK"/>
          <w:b w:val="0"/>
          <w:bCs w:val="0"/>
          <w:color w:val="000000"/>
          <w:kern w:val="0"/>
          <w:sz w:val="84"/>
          <w:szCs w:val="84"/>
        </w:rPr>
        <w:t>名词解</w:t>
      </w:r>
      <w:bookmarkEnd w:id="0"/>
      <w:r>
        <w:rPr>
          <w:rFonts w:hint="eastAsia" w:ascii="方正小标宋_GBK" w:hAnsi="方正小标宋_GBK" w:eastAsia="方正小标宋_GBK" w:cs="方正小标宋_GBK"/>
          <w:b w:val="0"/>
          <w:bCs w:val="0"/>
          <w:color w:val="000000"/>
          <w:kern w:val="0"/>
          <w:sz w:val="84"/>
          <w:szCs w:val="84"/>
        </w:rPr>
        <w:t>释</w:t>
      </w:r>
    </w:p>
    <w:p w14:paraId="22E004B3">
      <w:pPr>
        <w:jc w:val="center"/>
        <w:rPr>
          <w:rFonts w:hint="eastAsia" w:ascii="方正小标宋_GBK" w:hAnsi="方正小标宋_GBK" w:eastAsia="方正小标宋_GBK" w:cs="方正小标宋_GBK"/>
          <w:b/>
          <w:bCs/>
          <w:color w:val="000000"/>
          <w:kern w:val="0"/>
          <w:sz w:val="84"/>
          <w:szCs w:val="84"/>
        </w:rPr>
      </w:pPr>
    </w:p>
    <w:p w14:paraId="67EDB9C5">
      <w:pPr>
        <w:jc w:val="center"/>
        <w:rPr>
          <w:rFonts w:hint="eastAsia" w:ascii="微软雅黑" w:hAnsi="微软雅黑" w:eastAsia="微软雅黑" w:cs="微软雅黑"/>
          <w:b/>
          <w:bCs/>
          <w:color w:val="000000"/>
          <w:kern w:val="0"/>
          <w:sz w:val="70"/>
          <w:szCs w:val="70"/>
        </w:rPr>
      </w:pPr>
    </w:p>
    <w:p w14:paraId="42AFAF8B">
      <w:pPr>
        <w:widowControl/>
        <w:jc w:val="left"/>
        <w:rPr>
          <w:rFonts w:ascii="微软雅黑" w:hAnsi="微软雅黑" w:eastAsia="微软雅黑" w:cs="微软雅黑"/>
          <w:color w:val="000000"/>
          <w:kern w:val="0"/>
          <w:sz w:val="32"/>
          <w:szCs w:val="32"/>
        </w:rPr>
      </w:pPr>
    </w:p>
    <w:p w14:paraId="4DAB1688">
      <w:pPr>
        <w:keepNext w:val="0"/>
        <w:keepLines w:val="0"/>
        <w:pageBreakBefore w:val="0"/>
        <w:widowControl w:val="0"/>
        <w:kinsoku/>
        <w:wordWrap/>
        <w:overflowPunct/>
        <w:topLinePunct w:val="0"/>
        <w:autoSpaceDE/>
        <w:autoSpaceDN/>
        <w:bidi w:val="0"/>
        <w:adjustRightInd/>
        <w:snapToGrid/>
        <w:spacing w:line="576" w:lineRule="exact"/>
        <w:ind w:firstLine="632" w:firstLineChars="200"/>
        <w:jc w:val="left"/>
        <w:textAlignment w:val="auto"/>
        <w:rPr>
          <w:rFonts w:hint="eastAsia"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一、“三公”经费：</w:t>
      </w:r>
      <w:r>
        <w:rPr>
          <w:rFonts w:hint="eastAsia" w:ascii="仿宋_GB2312" w:hAnsi="仿宋_GB2312" w:eastAsia="仿宋_GB2312" w:cs="仿宋_GB2312"/>
          <w:color w:val="000000"/>
          <w:kern w:val="0"/>
          <w:sz w:val="32"/>
          <w:szCs w:val="32"/>
        </w:rPr>
        <w:t>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014527E">
      <w:pPr>
        <w:keepNext w:val="0"/>
        <w:keepLines w:val="0"/>
        <w:pageBreakBefore w:val="0"/>
        <w:widowControl w:val="0"/>
        <w:kinsoku/>
        <w:wordWrap/>
        <w:overflowPunct/>
        <w:topLinePunct w:val="0"/>
        <w:autoSpaceDE/>
        <w:autoSpaceDN/>
        <w:bidi w:val="0"/>
        <w:adjustRightInd/>
        <w:snapToGrid/>
        <w:spacing w:line="576" w:lineRule="exact"/>
        <w:ind w:firstLine="632" w:firstLineChars="200"/>
        <w:jc w:val="left"/>
        <w:textAlignment w:val="auto"/>
        <w:rPr>
          <w:rFonts w:hint="eastAsia"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二、机关运行经费</w:t>
      </w:r>
      <w:r>
        <w:rPr>
          <w:rFonts w:hint="eastAsia" w:ascii="黑体" w:hAnsi="黑体" w:eastAsia="黑体" w:cs="黑体"/>
          <w:color w:val="000000"/>
          <w:kern w:val="0"/>
          <w:sz w:val="32"/>
          <w:szCs w:val="32"/>
          <w:lang w:val="en-US" w:eastAsia="zh-CN"/>
        </w:rPr>
        <w:t>:</w:t>
      </w:r>
      <w:r>
        <w:rPr>
          <w:rFonts w:hint="eastAsia" w:ascii="仿宋_GB2312" w:hAnsi="仿宋_GB2312" w:eastAsia="仿宋_GB2312" w:cs="仿宋_GB2312"/>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05E6BA00">
      <w:pPr>
        <w:pStyle w:val="13"/>
        <w:spacing w:line="600" w:lineRule="exact"/>
        <w:ind w:firstLine="632" w:firstLineChars="200"/>
        <w:rPr>
          <w:rFonts w:ascii="微软雅黑" w:hAnsi="微软雅黑" w:eastAsia="微软雅黑" w:cs="微软雅黑"/>
          <w:b/>
          <w:bCs/>
          <w:i/>
          <w:color w:val="FF0000"/>
          <w:sz w:val="32"/>
          <w:szCs w:val="32"/>
        </w:rPr>
      </w:pPr>
    </w:p>
    <w:p w14:paraId="7F9C3E9F">
      <w:pPr>
        <w:rPr>
          <w:rFonts w:ascii="微软雅黑" w:hAnsi="微软雅黑" w:eastAsia="微软雅黑" w:cs="微软雅黑"/>
          <w:sz w:val="72"/>
          <w:szCs w:val="72"/>
        </w:rPr>
      </w:pPr>
      <w:r>
        <w:rPr>
          <w:rFonts w:ascii="微软雅黑" w:hAnsi="微软雅黑" w:eastAsia="微软雅黑" w:cs="微软雅黑"/>
          <w:sz w:val="72"/>
          <w:szCs w:val="72"/>
        </w:rPr>
        <w:br w:type="page"/>
      </w:r>
    </w:p>
    <w:p w14:paraId="0648C345">
      <w:pPr>
        <w:pStyle w:val="13"/>
        <w:jc w:val="center"/>
        <w:rPr>
          <w:rFonts w:ascii="微软雅黑" w:hAnsi="微软雅黑" w:eastAsia="微软雅黑" w:cs="微软雅黑"/>
          <w:sz w:val="72"/>
          <w:szCs w:val="72"/>
        </w:rPr>
      </w:pPr>
    </w:p>
    <w:p w14:paraId="1E2150EF">
      <w:pPr>
        <w:pStyle w:val="13"/>
        <w:jc w:val="center"/>
        <w:rPr>
          <w:rFonts w:hint="eastAsia" w:ascii="方正小标宋_GBK" w:hAnsi="方正小标宋_GBK" w:eastAsia="方正小标宋_GBK" w:cs="方正小标宋_GBK"/>
          <w:b/>
          <w:bCs/>
          <w:sz w:val="84"/>
          <w:szCs w:val="84"/>
        </w:rPr>
      </w:pPr>
      <w:r>
        <w:rPr>
          <w:rFonts w:hint="eastAsia" w:ascii="方正小标宋_GBK" w:hAnsi="方正小标宋_GBK" w:eastAsia="方正小标宋_GBK" w:cs="方正小标宋_GBK"/>
          <w:b/>
          <w:bCs/>
          <w:sz w:val="84"/>
          <w:szCs w:val="84"/>
        </w:rPr>
        <w:t>第五部分</w:t>
      </w:r>
    </w:p>
    <w:p w14:paraId="64ABA08E">
      <w:pPr>
        <w:pStyle w:val="13"/>
        <w:jc w:val="center"/>
        <w:rPr>
          <w:rFonts w:hint="eastAsia" w:ascii="方正小标宋_GBK" w:hAnsi="方正小标宋_GBK" w:eastAsia="方正小标宋_GBK" w:cs="方正小标宋_GBK"/>
          <w:b/>
          <w:bCs/>
          <w:sz w:val="84"/>
          <w:szCs w:val="84"/>
        </w:rPr>
      </w:pPr>
    </w:p>
    <w:p w14:paraId="4A5E9AF7">
      <w:pPr>
        <w:pStyle w:val="13"/>
        <w:jc w:val="center"/>
        <w:rPr>
          <w:rFonts w:hint="eastAsia" w:ascii="方正小标宋_GBK" w:hAnsi="方正小标宋_GBK" w:eastAsia="方正小标宋_GBK" w:cs="方正小标宋_GBK"/>
          <w:b/>
          <w:bCs/>
          <w:sz w:val="84"/>
          <w:szCs w:val="84"/>
        </w:rPr>
      </w:pPr>
      <w:r>
        <w:rPr>
          <w:rFonts w:hint="eastAsia" w:ascii="方正小标宋_GBK" w:hAnsi="方正小标宋_GBK" w:eastAsia="方正小标宋_GBK" w:cs="方正小标宋_GBK"/>
          <w:b/>
          <w:bCs/>
          <w:sz w:val="84"/>
          <w:szCs w:val="84"/>
        </w:rPr>
        <w:t>附件</w:t>
      </w:r>
    </w:p>
    <w:p w14:paraId="637DAE9D">
      <w:pPr>
        <w:ind w:firstLine="632" w:firstLineChars="200"/>
        <w:jc w:val="left"/>
        <w:rPr>
          <w:rFonts w:ascii="微软雅黑" w:hAnsi="微软雅黑" w:eastAsia="微软雅黑" w:cs="微软雅黑"/>
          <w:b/>
          <w:bCs/>
          <w:color w:val="000000"/>
          <w:kern w:val="0"/>
          <w:sz w:val="32"/>
          <w:szCs w:val="32"/>
        </w:rPr>
      </w:pPr>
    </w:p>
    <w:p w14:paraId="20AA69C7">
      <w:pPr>
        <w:spacing w:line="360" w:lineRule="auto"/>
        <w:ind w:firstLine="1264" w:firstLineChars="400"/>
        <w:jc w:val="left"/>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lang w:eastAsia="zh-CN"/>
        </w:rPr>
        <w:t>1.</w:t>
      </w:r>
      <w:r>
        <w:rPr>
          <w:rFonts w:hint="eastAsia" w:ascii="黑体" w:hAnsi="黑体" w:eastAsia="黑体" w:cs="黑体"/>
          <w:b/>
          <w:color w:val="000000"/>
          <w:sz w:val="32"/>
        </w:rPr>
        <w:t>2024年部门决算公开表格</w:t>
      </w:r>
    </w:p>
    <w:p w14:paraId="584B7242">
      <w:pPr>
        <w:spacing w:line="360" w:lineRule="auto"/>
        <w:ind w:firstLine="1264" w:firstLineChars="400"/>
        <w:jc w:val="left"/>
        <w:rPr>
          <w:rFonts w:hint="eastAsia" w:ascii="黑体" w:hAnsi="黑体" w:eastAsia="黑体" w:cs="黑体"/>
          <w:b/>
          <w:bCs/>
          <w:color w:val="000000"/>
          <w:kern w:val="0"/>
          <w:sz w:val="32"/>
          <w:szCs w:val="32"/>
        </w:rPr>
      </w:pPr>
      <w:r>
        <w:rPr>
          <w:rFonts w:hint="eastAsia" w:ascii="黑体" w:hAnsi="黑体" w:eastAsia="黑体" w:cs="黑体"/>
          <w:b/>
          <w:bCs/>
          <w:color w:val="000000"/>
          <w:kern w:val="0"/>
          <w:sz w:val="32"/>
          <w:szCs w:val="32"/>
          <w:lang w:eastAsia="zh-CN"/>
        </w:rPr>
        <w:t>2.</w:t>
      </w:r>
      <w:r>
        <w:rPr>
          <w:rFonts w:hint="eastAsia" w:ascii="黑体" w:hAnsi="黑体" w:eastAsia="黑体" w:cs="黑体"/>
          <w:b/>
          <w:bCs/>
          <w:color w:val="000000"/>
          <w:kern w:val="0"/>
          <w:sz w:val="32"/>
          <w:szCs w:val="32"/>
        </w:rPr>
        <w:t>2024年度部门整体支出绩效评价报告</w:t>
      </w:r>
    </w:p>
    <w:sectPr>
      <w:pgSz w:w="11906" w:h="16838"/>
      <w:pgMar w:top="2098" w:right="1474" w:bottom="1984" w:left="1587" w:header="851" w:footer="1587"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DD1ADE-F2BB-409D-A1EB-30AE62E99DFD}"/>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Courier New">
    <w:panose1 w:val="020703090202050204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64C000" w:usb3="00000002" w:csb0="00000001" w:csb1="40000000"/>
  </w:font>
  <w:font w:name="仿宋_GB2312">
    <w:panose1 w:val="02010609030101010101"/>
    <w:charset w:val="86"/>
    <w:family w:val="auto"/>
    <w:pitch w:val="default"/>
    <w:sig w:usb0="00000001" w:usb1="080E0000" w:usb2="00000000" w:usb3="00000000" w:csb0="00040000" w:csb1="00000000"/>
    <w:embedRegular r:id="rId2" w:fontKey="{2A25B74C-253D-43A3-B51B-D565B9D29D95}"/>
  </w:font>
  <w:font w:name="微软雅黑">
    <w:panose1 w:val="020B0503020204020204"/>
    <w:charset w:val="86"/>
    <w:family w:val="swiss"/>
    <w:pitch w:val="default"/>
    <w:sig w:usb0="80000287" w:usb1="280F3C52" w:usb2="00000016" w:usb3="00000000" w:csb0="0004001F" w:csb1="00000000"/>
    <w:embedRegular r:id="rId3" w:fontKey="{264AE0AB-AA3B-4634-B775-E074F63B1DA3}"/>
  </w:font>
  <w:font w:name="方正小标宋_GBK">
    <w:panose1 w:val="02000000000000000000"/>
    <w:charset w:val="86"/>
    <w:family w:val="auto"/>
    <w:pitch w:val="default"/>
    <w:sig w:usb0="A00002BF" w:usb1="38CF7CFA" w:usb2="00082016" w:usb3="00000000" w:csb0="00040001" w:csb1="00000000"/>
    <w:embedRegular r:id="rId4" w:fontKey="{EAC8DDBE-9F12-4955-A60A-4D3D598DE51E}"/>
  </w:font>
  <w:font w:name="楷体_GB2312">
    <w:panose1 w:val="02010609030101010101"/>
    <w:charset w:val="86"/>
    <w:family w:val="auto"/>
    <w:pitch w:val="default"/>
    <w:sig w:usb0="00000001" w:usb1="080E0000" w:usb2="00000000" w:usb3="00000000" w:csb0="00040000" w:csb1="00000000"/>
    <w:embedRegular r:id="rId5" w:fontKey="{760FE2C3-875F-4883-A2C9-51A564C278E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뢤՝䀀듍 䀀翿렄՝䀀듍 䀀翿룴՝륄՝릔՝매՝먴՝몄՝뫔՝묤՝뭴՝믄՝바՝뱤՝벴՝봄՝뵔՝붤՝뷴՝비՝뺔՝뻤՝뼴՝"/>
  </w:docVars>
  <w:rsids>
    <w:rsidRoot w:val="004506F9"/>
    <w:rsid w:val="0002229B"/>
    <w:rsid w:val="000273BD"/>
    <w:rsid w:val="00040CBC"/>
    <w:rsid w:val="000415B7"/>
    <w:rsid w:val="00041E3F"/>
    <w:rsid w:val="00047F2C"/>
    <w:rsid w:val="00055DAA"/>
    <w:rsid w:val="00061F7B"/>
    <w:rsid w:val="000658A3"/>
    <w:rsid w:val="00071C60"/>
    <w:rsid w:val="00074155"/>
    <w:rsid w:val="000A3F69"/>
    <w:rsid w:val="001002E7"/>
    <w:rsid w:val="00103957"/>
    <w:rsid w:val="00152C6D"/>
    <w:rsid w:val="00157811"/>
    <w:rsid w:val="00162D39"/>
    <w:rsid w:val="001678BD"/>
    <w:rsid w:val="0017485A"/>
    <w:rsid w:val="00182373"/>
    <w:rsid w:val="001A5BD8"/>
    <w:rsid w:val="001A67DB"/>
    <w:rsid w:val="001C3C29"/>
    <w:rsid w:val="001D51E5"/>
    <w:rsid w:val="001E080D"/>
    <w:rsid w:val="001E53D0"/>
    <w:rsid w:val="001F0C3B"/>
    <w:rsid w:val="00202C82"/>
    <w:rsid w:val="00214427"/>
    <w:rsid w:val="00226CB7"/>
    <w:rsid w:val="00244B75"/>
    <w:rsid w:val="00264552"/>
    <w:rsid w:val="00264EF9"/>
    <w:rsid w:val="00265724"/>
    <w:rsid w:val="0027426B"/>
    <w:rsid w:val="002E0A30"/>
    <w:rsid w:val="003130C4"/>
    <w:rsid w:val="00316C4B"/>
    <w:rsid w:val="0032192B"/>
    <w:rsid w:val="003479BD"/>
    <w:rsid w:val="0037197D"/>
    <w:rsid w:val="003768D5"/>
    <w:rsid w:val="00380E66"/>
    <w:rsid w:val="003926B9"/>
    <w:rsid w:val="003C47E6"/>
    <w:rsid w:val="003C4FC2"/>
    <w:rsid w:val="00416E61"/>
    <w:rsid w:val="004218B9"/>
    <w:rsid w:val="0042790C"/>
    <w:rsid w:val="004506F9"/>
    <w:rsid w:val="0046566F"/>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479CD"/>
    <w:rsid w:val="00651EEC"/>
    <w:rsid w:val="00686673"/>
    <w:rsid w:val="00691E8C"/>
    <w:rsid w:val="006920AB"/>
    <w:rsid w:val="00693EB2"/>
    <w:rsid w:val="006A22C4"/>
    <w:rsid w:val="006A351B"/>
    <w:rsid w:val="006B0422"/>
    <w:rsid w:val="006C1B53"/>
    <w:rsid w:val="006D7730"/>
    <w:rsid w:val="006E5284"/>
    <w:rsid w:val="006F01F1"/>
    <w:rsid w:val="006F3EB5"/>
    <w:rsid w:val="00702E34"/>
    <w:rsid w:val="00704395"/>
    <w:rsid w:val="00710FE7"/>
    <w:rsid w:val="0071516F"/>
    <w:rsid w:val="00717621"/>
    <w:rsid w:val="00720FF1"/>
    <w:rsid w:val="00727A53"/>
    <w:rsid w:val="00787B42"/>
    <w:rsid w:val="007C4539"/>
    <w:rsid w:val="007C56CD"/>
    <w:rsid w:val="007D11B3"/>
    <w:rsid w:val="007E3927"/>
    <w:rsid w:val="007F3657"/>
    <w:rsid w:val="00812ED5"/>
    <w:rsid w:val="008277D9"/>
    <w:rsid w:val="0084478C"/>
    <w:rsid w:val="0086638C"/>
    <w:rsid w:val="008A3E8D"/>
    <w:rsid w:val="009030BE"/>
    <w:rsid w:val="009237C4"/>
    <w:rsid w:val="00930BAC"/>
    <w:rsid w:val="00944C48"/>
    <w:rsid w:val="00950252"/>
    <w:rsid w:val="00967F5D"/>
    <w:rsid w:val="009A0F95"/>
    <w:rsid w:val="009B3ADF"/>
    <w:rsid w:val="009C3B52"/>
    <w:rsid w:val="009E6817"/>
    <w:rsid w:val="009E6E9A"/>
    <w:rsid w:val="00A01D2B"/>
    <w:rsid w:val="00A34FF4"/>
    <w:rsid w:val="00A42218"/>
    <w:rsid w:val="00A70249"/>
    <w:rsid w:val="00A70B02"/>
    <w:rsid w:val="00A71D9F"/>
    <w:rsid w:val="00A828E1"/>
    <w:rsid w:val="00A92E9F"/>
    <w:rsid w:val="00AB18FF"/>
    <w:rsid w:val="00B205FF"/>
    <w:rsid w:val="00B33BEA"/>
    <w:rsid w:val="00B57C9F"/>
    <w:rsid w:val="00B63572"/>
    <w:rsid w:val="00B845B3"/>
    <w:rsid w:val="00B85D8B"/>
    <w:rsid w:val="00BB4A40"/>
    <w:rsid w:val="00BD6C3E"/>
    <w:rsid w:val="00BE3674"/>
    <w:rsid w:val="00C10681"/>
    <w:rsid w:val="00C3049A"/>
    <w:rsid w:val="00C31B1E"/>
    <w:rsid w:val="00C323D0"/>
    <w:rsid w:val="00C5378D"/>
    <w:rsid w:val="00C77645"/>
    <w:rsid w:val="00CA6FCB"/>
    <w:rsid w:val="00CE04C3"/>
    <w:rsid w:val="00CE76A0"/>
    <w:rsid w:val="00D148C6"/>
    <w:rsid w:val="00D17A8A"/>
    <w:rsid w:val="00D312E5"/>
    <w:rsid w:val="00D415BA"/>
    <w:rsid w:val="00D423F1"/>
    <w:rsid w:val="00D63780"/>
    <w:rsid w:val="00D644EE"/>
    <w:rsid w:val="00D74898"/>
    <w:rsid w:val="00DB464F"/>
    <w:rsid w:val="00DD06FF"/>
    <w:rsid w:val="00DD5FE9"/>
    <w:rsid w:val="00E00C7A"/>
    <w:rsid w:val="00E22451"/>
    <w:rsid w:val="00E37D6C"/>
    <w:rsid w:val="00E55B68"/>
    <w:rsid w:val="00E561AE"/>
    <w:rsid w:val="00E62C8C"/>
    <w:rsid w:val="00E67BE6"/>
    <w:rsid w:val="00E8223B"/>
    <w:rsid w:val="00E8683C"/>
    <w:rsid w:val="00EA2B72"/>
    <w:rsid w:val="00F74360"/>
    <w:rsid w:val="00FB462F"/>
    <w:rsid w:val="00FE16FA"/>
    <w:rsid w:val="00FE328A"/>
    <w:rsid w:val="00FE6269"/>
    <w:rsid w:val="00FF5CD6"/>
    <w:rsid w:val="05482261"/>
    <w:rsid w:val="074309F6"/>
    <w:rsid w:val="07966D78"/>
    <w:rsid w:val="07E04F3D"/>
    <w:rsid w:val="096227F5"/>
    <w:rsid w:val="0AC57974"/>
    <w:rsid w:val="0F9016DB"/>
    <w:rsid w:val="0FE268D2"/>
    <w:rsid w:val="10A73DA4"/>
    <w:rsid w:val="11A63AC3"/>
    <w:rsid w:val="13135140"/>
    <w:rsid w:val="134641EF"/>
    <w:rsid w:val="136B7D14"/>
    <w:rsid w:val="15986B0A"/>
    <w:rsid w:val="15A64981"/>
    <w:rsid w:val="17D85E72"/>
    <w:rsid w:val="191A1185"/>
    <w:rsid w:val="1A4B623A"/>
    <w:rsid w:val="1D5D08FD"/>
    <w:rsid w:val="21680401"/>
    <w:rsid w:val="27B766F6"/>
    <w:rsid w:val="29701875"/>
    <w:rsid w:val="2F026361"/>
    <w:rsid w:val="2F5729E1"/>
    <w:rsid w:val="306F0E15"/>
    <w:rsid w:val="31B77767"/>
    <w:rsid w:val="33E12879"/>
    <w:rsid w:val="34095384"/>
    <w:rsid w:val="34E24AFB"/>
    <w:rsid w:val="36E96615"/>
    <w:rsid w:val="3A5D2479"/>
    <w:rsid w:val="3BC62A80"/>
    <w:rsid w:val="3FD348C7"/>
    <w:rsid w:val="40C80669"/>
    <w:rsid w:val="41940D6D"/>
    <w:rsid w:val="42415557"/>
    <w:rsid w:val="42FC322C"/>
    <w:rsid w:val="44AC435F"/>
    <w:rsid w:val="487D493C"/>
    <w:rsid w:val="493A4AAE"/>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2865D5A"/>
    <w:rsid w:val="63930AB7"/>
    <w:rsid w:val="643C1282"/>
    <w:rsid w:val="645753D4"/>
    <w:rsid w:val="65B05FE0"/>
    <w:rsid w:val="660109D5"/>
    <w:rsid w:val="6720463D"/>
    <w:rsid w:val="6BD30F4C"/>
    <w:rsid w:val="6D15603E"/>
    <w:rsid w:val="6D1D2BA3"/>
    <w:rsid w:val="6D340BE9"/>
    <w:rsid w:val="6E4E0530"/>
    <w:rsid w:val="71B615C9"/>
    <w:rsid w:val="72853156"/>
    <w:rsid w:val="72D57472"/>
    <w:rsid w:val="73653335"/>
    <w:rsid w:val="737D59BA"/>
    <w:rsid w:val="73D15FE7"/>
    <w:rsid w:val="743957DE"/>
    <w:rsid w:val="75063912"/>
    <w:rsid w:val="772C33D8"/>
    <w:rsid w:val="776B5ABC"/>
    <w:rsid w:val="776D2CE2"/>
    <w:rsid w:val="77C37683"/>
    <w:rsid w:val="782F6BBB"/>
    <w:rsid w:val="79FF515B"/>
    <w:rsid w:val="7C4D3A17"/>
    <w:rsid w:val="7E9F11B4"/>
    <w:rsid w:val="7FC69637"/>
    <w:rsid w:val="7FFDB408"/>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locked/>
    <w:uiPriority w:val="99"/>
    <w:rPr>
      <w:rFonts w:cs="Times New Roman"/>
      <w:sz w:val="18"/>
      <w:szCs w:val="18"/>
    </w:rPr>
  </w:style>
  <w:style w:type="character" w:customStyle="1" w:styleId="8">
    <w:name w:val="页脚 Char"/>
    <w:basedOn w:val="6"/>
    <w:link w:val="3"/>
    <w:locked/>
    <w:uiPriority w:val="99"/>
    <w:rPr>
      <w:rFonts w:cs="Times New Roman"/>
      <w:sz w:val="18"/>
      <w:szCs w:val="18"/>
    </w:rPr>
  </w:style>
  <w:style w:type="character" w:customStyle="1" w:styleId="9">
    <w:name w:val="页眉 Char"/>
    <w:basedOn w:val="6"/>
    <w:link w:val="4"/>
    <w:qFormat/>
    <w:locked/>
    <w:uiPriority w:val="99"/>
    <w:rPr>
      <w:rFonts w:cs="Times New Roman"/>
      <w:sz w:val="18"/>
      <w:szCs w:val="18"/>
    </w:rPr>
  </w:style>
  <w:style w:type="character" w:customStyle="1" w:styleId="10">
    <w:name w:val="font11"/>
    <w:basedOn w:val="6"/>
    <w:uiPriority w:val="99"/>
    <w:rPr>
      <w:rFonts w:ascii="宋体" w:hAnsi="宋体" w:eastAsia="宋体" w:cs="宋体"/>
      <w:color w:val="000000"/>
      <w:sz w:val="24"/>
      <w:szCs w:val="24"/>
      <w:u w:val="none"/>
    </w:rPr>
  </w:style>
  <w:style w:type="character" w:customStyle="1" w:styleId="11">
    <w:name w:val="font21"/>
    <w:basedOn w:val="6"/>
    <w:uiPriority w:val="99"/>
    <w:rPr>
      <w:rFonts w:ascii="宋体" w:hAnsi="宋体" w:eastAsia="宋体" w:cs="宋体"/>
      <w:color w:val="000000"/>
      <w:sz w:val="24"/>
      <w:szCs w:val="24"/>
      <w:u w:val="none"/>
    </w:rPr>
  </w:style>
  <w:style w:type="character" w:customStyle="1" w:styleId="12">
    <w:name w:val="font01"/>
    <w:basedOn w:val="6"/>
    <w:uiPriority w:val="99"/>
    <w:rPr>
      <w:rFonts w:ascii="宋体" w:hAnsi="宋体" w:eastAsia="宋体" w:cs="宋体"/>
      <w:color w:val="000000"/>
      <w:sz w:val="22"/>
      <w:szCs w:val="22"/>
      <w:u w:val="none"/>
    </w:rPr>
  </w:style>
  <w:style w:type="paragraph" w:customStyle="1" w:styleId="13">
    <w:name w:val="Defaul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5564</Words>
  <Characters>6094</Characters>
  <Lines>5</Lines>
  <Paragraphs>12</Paragraphs>
  <TotalTime>712</TotalTime>
  <ScaleCrop>false</ScaleCrop>
  <LinksUpToDate>false</LinksUpToDate>
  <CharactersWithSpaces>6113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汤亦琅</cp:lastModifiedBy>
  <cp:lastPrinted>2023-08-15T09:28:00Z</cp:lastPrinted>
  <dcterms:modified xsi:type="dcterms:W3CDTF">2025-09-30T09:04:13Z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661ABA64067A42B98A18CBAF8FC9F9FC_13</vt:lpwstr>
  </property>
  <property fmtid="{D5CDD505-2E9C-101B-9397-08002B2CF9AE}" pid="4" name="KSOTemplateDocerSaveRecord">
    <vt:lpwstr>eyJoZGlkIjoiNGJhNDUwNzRkNjE1MmRjZmExZGY2MWIyMWNkMWI1ZWIiLCJ1c2VySWQiOiIxNjYzNzk5NDU4In0=</vt:lpwstr>
  </property>
</Properties>
</file>