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CCC03">
      <w:pPr>
        <w:pStyle w:val="13"/>
        <w:ind w:firstLine="4320" w:firstLineChars="1200"/>
        <w:jc w:val="both"/>
        <w:rPr>
          <w:rFonts w:hint="eastAsia" w:ascii="微软雅黑" w:hAnsi="微软雅黑" w:eastAsia="微软雅黑" w:cs="微软雅黑"/>
          <w:b/>
          <w:bCs/>
          <w:sz w:val="36"/>
          <w:szCs w:val="36"/>
        </w:rPr>
      </w:pPr>
    </w:p>
    <w:p w14:paraId="70F1861E">
      <w:pPr>
        <w:pStyle w:val="13"/>
        <w:ind w:firstLine="4320" w:firstLineChars="1200"/>
        <w:jc w:val="both"/>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2024</w:t>
      </w:r>
      <w:r>
        <w:rPr>
          <w:rFonts w:ascii="微软雅黑" w:hAnsi="微软雅黑" w:eastAsia="微软雅黑" w:cs="微软雅黑"/>
          <w:b/>
          <w:sz w:val="36"/>
          <w:szCs w:val="36"/>
        </w:rPr>
        <w:t>年度</w:t>
      </w:r>
    </w:p>
    <w:p w14:paraId="1F82586A">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岳阳县城市</w:t>
      </w:r>
      <w:bookmarkStart w:id="0" w:name="_GoBack"/>
      <w:r>
        <w:rPr>
          <w:rFonts w:hint="eastAsia" w:ascii="微软雅黑" w:hAnsi="微软雅黑" w:eastAsia="微软雅黑" w:cs="微软雅黑"/>
          <w:b/>
          <w:bCs/>
          <w:sz w:val="36"/>
          <w:szCs w:val="36"/>
        </w:rPr>
        <w:t>公共交通</w:t>
      </w:r>
      <w:bookmarkEnd w:id="0"/>
      <w:r>
        <w:rPr>
          <w:rFonts w:hint="eastAsia" w:ascii="微软雅黑" w:hAnsi="微软雅黑" w:eastAsia="微软雅黑" w:cs="微软雅黑"/>
          <w:b/>
          <w:bCs/>
          <w:sz w:val="36"/>
          <w:szCs w:val="36"/>
          <w:lang w:val="en-US" w:eastAsia="zh-CN"/>
        </w:rPr>
        <w:t>服务中心</w:t>
      </w:r>
      <w:r>
        <w:rPr>
          <w:rFonts w:ascii="微软雅黑" w:hAnsi="微软雅黑" w:eastAsia="微软雅黑" w:cs="微软雅黑"/>
          <w:b/>
          <w:sz w:val="36"/>
          <w:szCs w:val="36"/>
        </w:rPr>
        <w:t>部门（单位）部门决算</w:t>
      </w:r>
    </w:p>
    <w:p w14:paraId="012340B5">
      <w:pPr>
        <w:pStyle w:val="13"/>
        <w:spacing w:line="500" w:lineRule="exact"/>
        <w:ind w:firstLine="4680" w:firstLineChars="1300"/>
        <w:jc w:val="both"/>
        <w:rPr>
          <w:rFonts w:hint="eastAsia" w:ascii="微软雅黑" w:hAnsi="微软雅黑" w:eastAsia="微软雅黑" w:cs="微软雅黑"/>
          <w:b/>
          <w:sz w:val="36"/>
          <w:szCs w:val="28"/>
        </w:rPr>
      </w:pPr>
    </w:p>
    <w:p w14:paraId="231D0EFC">
      <w:pPr>
        <w:pStyle w:val="13"/>
        <w:spacing w:line="500" w:lineRule="exact"/>
        <w:ind w:firstLine="4680" w:firstLineChars="1300"/>
        <w:jc w:val="both"/>
        <w:rPr>
          <w:rFonts w:hint="eastAsia" w:ascii="微软雅黑" w:hAnsi="微软雅黑" w:eastAsia="微软雅黑" w:cs="微软雅黑"/>
          <w:b/>
          <w:sz w:val="36"/>
          <w:szCs w:val="28"/>
        </w:rPr>
      </w:pPr>
    </w:p>
    <w:p w14:paraId="23A8E8C6">
      <w:pPr>
        <w:pStyle w:val="13"/>
        <w:spacing w:line="500" w:lineRule="exact"/>
        <w:ind w:firstLine="4680" w:firstLineChars="1300"/>
        <w:jc w:val="both"/>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3"/>
        <w:spacing w:line="500" w:lineRule="exact"/>
        <w:jc w:val="center"/>
        <w:rPr>
          <w:rFonts w:hint="eastAsia" w:ascii="微软雅黑" w:hAnsi="微软雅黑" w:eastAsia="微软雅黑" w:cs="微软雅黑"/>
          <w:b/>
          <w:sz w:val="36"/>
          <w:szCs w:val="28"/>
        </w:rPr>
      </w:pPr>
    </w:p>
    <w:p w14:paraId="157216F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岳阳县城市公共交通</w:t>
      </w:r>
      <w:r>
        <w:rPr>
          <w:rFonts w:hint="eastAsia" w:ascii="微软雅黑" w:hAnsi="微软雅黑" w:eastAsia="微软雅黑" w:cs="微软雅黑"/>
          <w:b/>
          <w:bCs w:val="0"/>
          <w:sz w:val="28"/>
          <w:szCs w:val="28"/>
          <w:lang w:val="en-US" w:eastAsia="zh-CN"/>
        </w:rPr>
        <w:t>服务中心</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240AF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50222A74">
      <w:pPr>
        <w:pStyle w:val="13"/>
        <w:spacing w:line="500" w:lineRule="exact"/>
        <w:ind w:firstLine="4500" w:firstLineChars="1500"/>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第一部分 </w:t>
      </w:r>
    </w:p>
    <w:p w14:paraId="5FE8B51E">
      <w:pPr>
        <w:pStyle w:val="13"/>
        <w:jc w:val="center"/>
        <w:rPr>
          <w:rFonts w:hint="eastAsia" w:ascii="微软雅黑" w:hAnsi="微软雅黑" w:eastAsia="微软雅黑" w:cs="微软雅黑"/>
          <w:b/>
          <w:bCs/>
          <w:sz w:val="30"/>
          <w:szCs w:val="30"/>
        </w:rPr>
      </w:pPr>
    </w:p>
    <w:p w14:paraId="66291003">
      <w:pPr>
        <w:pStyle w:val="13"/>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岳阳县城市公共交通</w:t>
      </w:r>
      <w:r>
        <w:rPr>
          <w:rFonts w:hint="eastAsia" w:ascii="微软雅黑" w:hAnsi="微软雅黑" w:eastAsia="微软雅黑" w:cs="微软雅黑"/>
          <w:b/>
          <w:bCs/>
          <w:sz w:val="30"/>
          <w:szCs w:val="30"/>
          <w:lang w:val="en-US" w:eastAsia="zh-CN"/>
        </w:rPr>
        <w:t>服务中心</w:t>
      </w:r>
      <w:r>
        <w:rPr>
          <w:rFonts w:hint="eastAsia" w:ascii="微软雅黑" w:hAnsi="微软雅黑" w:eastAsia="微软雅黑" w:cs="微软雅黑"/>
          <w:b/>
          <w:bCs/>
          <w:sz w:val="30"/>
          <w:szCs w:val="30"/>
          <w:lang w:eastAsia="zh-CN"/>
        </w:rPr>
        <w:t>部门（</w:t>
      </w:r>
      <w:r>
        <w:rPr>
          <w:rFonts w:hint="eastAsia" w:ascii="微软雅黑" w:hAnsi="微软雅黑" w:eastAsia="微软雅黑" w:cs="微软雅黑"/>
          <w:b/>
          <w:bCs/>
          <w:sz w:val="30"/>
          <w:szCs w:val="30"/>
        </w:rPr>
        <w:t>单位</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概况</w:t>
      </w:r>
    </w:p>
    <w:p w14:paraId="22E8C87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4304C45D">
      <w:pPr>
        <w:widowControl/>
        <w:spacing w:line="600" w:lineRule="exact"/>
        <w:ind w:firstLine="320" w:firstLineChars="100"/>
        <w:rPr>
          <w:rFonts w:hint="eastAsia" w:ascii="微软雅黑" w:hAnsi="微软雅黑" w:eastAsia="微软雅黑" w:cs="微软雅黑"/>
          <w:sz w:val="32"/>
          <w:szCs w:val="32"/>
        </w:rPr>
      </w:pPr>
      <w:r>
        <w:rPr>
          <w:rFonts w:hint="eastAsia" w:ascii="微软雅黑" w:hAnsi="微软雅黑" w:eastAsia="微软雅黑" w:cs="微软雅黑"/>
          <w:sz w:val="32"/>
          <w:szCs w:val="32"/>
        </w:rPr>
        <w:t>1、服务县域、负责县域公共汽车、出租汽车的的行政管理，行政执法及行业管理，经营权的出让等。</w:t>
      </w:r>
    </w:p>
    <w:p w14:paraId="7A6A530C">
      <w:pPr>
        <w:widowControl/>
        <w:spacing w:line="600" w:lineRule="exact"/>
        <w:ind w:firstLine="320" w:firstLineChars="100"/>
        <w:rPr>
          <w:rFonts w:hint="eastAsia" w:ascii="微软雅黑" w:hAnsi="微软雅黑" w:eastAsia="微软雅黑" w:cs="微软雅黑"/>
          <w:sz w:val="32"/>
          <w:szCs w:val="32"/>
        </w:rPr>
      </w:pPr>
      <w:r>
        <w:rPr>
          <w:rFonts w:hint="eastAsia" w:ascii="微软雅黑" w:hAnsi="微软雅黑" w:eastAsia="微软雅黑" w:cs="微软雅黑"/>
          <w:sz w:val="32"/>
          <w:szCs w:val="32"/>
        </w:rPr>
        <w:t>2、完成上级主管部门交办的其他工作任务。</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5A5E117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p>
    <w:p w14:paraId="62827BE1">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default" w:ascii="微软雅黑" w:hAnsi="微软雅黑" w:eastAsia="微软雅黑" w:cs="微软雅黑"/>
          <w:bCs/>
          <w:kern w:val="0"/>
          <w:sz w:val="32"/>
          <w:szCs w:val="32"/>
          <w:lang w:val="en-US" w:eastAsia="zh-CN"/>
        </w:rPr>
      </w:pPr>
      <w:r>
        <w:rPr>
          <w:rFonts w:ascii="微软雅黑" w:hAnsi="微软雅黑" w:eastAsia="微软雅黑" w:cs="微软雅黑"/>
          <w:sz w:val="32"/>
        </w:rPr>
        <w:t>岳阳县城市公共交通</w:t>
      </w:r>
      <w:r>
        <w:rPr>
          <w:rFonts w:hint="eastAsia" w:ascii="微软雅黑" w:hAnsi="微软雅黑" w:eastAsia="微软雅黑" w:cs="微软雅黑"/>
          <w:sz w:val="32"/>
          <w:lang w:val="en-US" w:eastAsia="zh-CN"/>
        </w:rPr>
        <w:t>服务中心</w:t>
      </w:r>
      <w:r>
        <w:rPr>
          <w:rFonts w:ascii="微软雅黑" w:hAnsi="微软雅黑" w:eastAsia="微软雅黑" w:cs="微软雅黑"/>
          <w:sz w:val="32"/>
        </w:rPr>
        <w:t>单位内设机构包括：</w:t>
      </w:r>
      <w:r>
        <w:rPr>
          <w:rFonts w:hint="eastAsia" w:ascii="微软雅黑" w:hAnsi="微软雅黑" w:eastAsia="微软雅黑" w:cs="微软雅黑"/>
          <w:sz w:val="32"/>
          <w:lang w:val="en-US" w:eastAsia="zh-CN"/>
        </w:rPr>
        <w:t>办公室，所长室，财务室，工会等。</w:t>
      </w:r>
    </w:p>
    <w:p w14:paraId="149986EA">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决算单位构成。</w:t>
      </w:r>
    </w:p>
    <w:p w14:paraId="31702C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sz w:val="32"/>
          <w:lang w:val="en-US" w:eastAsia="zh-CN"/>
        </w:rPr>
        <w:t>本</w:t>
      </w:r>
      <w:r>
        <w:rPr>
          <w:rFonts w:hint="eastAsia" w:ascii="微软雅黑" w:hAnsi="微软雅黑" w:eastAsia="微软雅黑" w:cs="微软雅黑"/>
          <w:sz w:val="32"/>
        </w:rPr>
        <w:t>单位没有所属二级机构，因此本年度部门决算仅为本级部门决算。</w:t>
      </w:r>
    </w:p>
    <w:p w14:paraId="29224D5D">
      <w:pPr>
        <w:pStyle w:val="13"/>
        <w:ind w:firstLine="4500" w:firstLineChars="1500"/>
        <w:jc w:val="both"/>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第二部分</w:t>
      </w:r>
    </w:p>
    <w:p w14:paraId="0358D151">
      <w:pPr>
        <w:pStyle w:val="13"/>
        <w:jc w:val="center"/>
        <w:rPr>
          <w:rFonts w:hint="eastAsia" w:ascii="微软雅黑" w:hAnsi="微软雅黑" w:eastAsia="微软雅黑" w:cs="微软雅黑"/>
          <w:b/>
          <w:bCs/>
          <w:sz w:val="30"/>
          <w:szCs w:val="30"/>
        </w:rPr>
      </w:pPr>
    </w:p>
    <w:p w14:paraId="36C01BF0">
      <w:pPr>
        <w:pStyle w:val="13"/>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部门决算表</w:t>
      </w:r>
    </w:p>
    <w:p w14:paraId="7D6D2A04">
      <w:pPr>
        <w:jc w:val="center"/>
        <w:rPr>
          <w:rFonts w:hint="eastAsia" w:ascii="微软雅黑" w:hAnsi="微软雅黑" w:eastAsia="微软雅黑" w:cs="微软雅黑"/>
          <w:b/>
          <w:bCs/>
          <w:sz w:val="30"/>
          <w:szCs w:val="30"/>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30"/>
          <w:szCs w:val="30"/>
          <w:lang w:eastAsia="zh-CN"/>
        </w:rPr>
        <w:t>（见附件）</w:t>
      </w:r>
    </w:p>
    <w:p w14:paraId="1AC08E3D">
      <w:pPr>
        <w:pStyle w:val="13"/>
        <w:ind w:firstLine="4500" w:firstLineChars="1500"/>
        <w:jc w:val="both"/>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第三部分</w:t>
      </w:r>
    </w:p>
    <w:p w14:paraId="7928C40F">
      <w:pPr>
        <w:pStyle w:val="13"/>
        <w:jc w:val="center"/>
        <w:rPr>
          <w:rFonts w:hint="eastAsia" w:ascii="微软雅黑" w:hAnsi="微软雅黑" w:eastAsia="微软雅黑" w:cs="微软雅黑"/>
          <w:b/>
          <w:bCs/>
          <w:sz w:val="30"/>
          <w:szCs w:val="30"/>
        </w:rPr>
      </w:pPr>
    </w:p>
    <w:p w14:paraId="2DD92FE3">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30"/>
          <w:szCs w:val="30"/>
          <w:lang w:eastAsia="zh-CN"/>
        </w:rPr>
        <w:t>2024</w:t>
      </w:r>
      <w:r>
        <w:rPr>
          <w:rFonts w:hint="eastAsia" w:ascii="微软雅黑" w:hAnsi="微软雅黑" w:eastAsia="微软雅黑" w:cs="微软雅黑"/>
          <w:b/>
          <w:bCs/>
          <w:sz w:val="30"/>
          <w:szCs w:val="30"/>
        </w:rPr>
        <w:t>年度部门决算情况说明</w:t>
      </w:r>
    </w:p>
    <w:p w14:paraId="0AB426DA">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szCs w:val="32"/>
          <w:lang w:val="en-US" w:eastAsia="zh-CN"/>
        </w:rPr>
        <w:t>700.87</w:t>
      </w:r>
      <w:r>
        <w:rPr>
          <w:rFonts w:ascii="微软雅黑" w:hAnsi="微软雅黑" w:eastAsia="微软雅黑" w:cs="微软雅黑"/>
          <w:sz w:val="32"/>
        </w:rPr>
        <w:t>万元。与上年</w:t>
      </w:r>
      <w:r>
        <w:rPr>
          <w:rFonts w:hint="eastAsia" w:ascii="微软雅黑" w:hAnsi="微软雅黑" w:eastAsia="微软雅黑" w:cs="微软雅黑"/>
          <w:sz w:val="32"/>
          <w:lang w:val="en-US" w:eastAsia="zh-CN"/>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增加253.68</w:t>
      </w:r>
      <w:r>
        <w:rPr>
          <w:rFonts w:ascii="微软雅黑" w:hAnsi="微软雅黑" w:eastAsia="微软雅黑" w:cs="微软雅黑"/>
          <w:sz w:val="32"/>
        </w:rPr>
        <w:t>万元，</w:t>
      </w:r>
      <w:r>
        <w:rPr>
          <w:rFonts w:hint="eastAsia" w:ascii="微软雅黑" w:hAnsi="微软雅黑" w:eastAsia="微软雅黑" w:cs="微软雅黑"/>
          <w:sz w:val="32"/>
          <w:lang w:val="en-US" w:eastAsia="zh-CN"/>
        </w:rPr>
        <w:t>增加36.20</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本年度人员增资及业务活动有所增加，财政增加了部分预算经费。</w:t>
      </w:r>
    </w:p>
    <w:p w14:paraId="2E3574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700.87</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516.27</w:t>
      </w:r>
      <w:r>
        <w:rPr>
          <w:rFonts w:hint="eastAsia" w:ascii="微软雅黑" w:hAnsi="微软雅黑" w:eastAsia="微软雅黑" w:cs="微软雅黑"/>
          <w:sz w:val="32"/>
          <w:szCs w:val="32"/>
          <w:lang w:eastAsia="zh-CN"/>
        </w:rPr>
        <w:t>万元，占73.66%；上级补助收入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184.60万元，占</w:t>
      </w:r>
      <w:r>
        <w:rPr>
          <w:rFonts w:hint="eastAsia" w:ascii="微软雅黑" w:hAnsi="微软雅黑" w:eastAsia="微软雅黑" w:cs="微软雅黑"/>
          <w:sz w:val="32"/>
          <w:szCs w:val="32"/>
          <w:lang w:val="en-US" w:eastAsia="zh-CN"/>
        </w:rPr>
        <w:t>26.34</w:t>
      </w:r>
      <w:r>
        <w:rPr>
          <w:rFonts w:hint="eastAsia" w:ascii="微软雅黑" w:hAnsi="微软雅黑" w:eastAsia="微软雅黑" w:cs="微软雅黑"/>
          <w:sz w:val="32"/>
          <w:szCs w:val="32"/>
          <w:lang w:eastAsia="zh-CN"/>
        </w:rPr>
        <w:t>%。</w:t>
      </w:r>
    </w:p>
    <w:p w14:paraId="41B03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年度支出合计686.11万元，其中：基本支出216.93万元，占31.62%；项目支出469.18万元，占68.38%；上缴上级支出0万元，占0%；经营支出0万元，占0%；对附属单位补助支出0万元，占0%。</w:t>
      </w:r>
    </w:p>
    <w:p w14:paraId="440FC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07470B1C">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年度财政拨款收、支总计516.27万元，与上年相比，增长155.61万元,增长43.15%，主要是因为</w:t>
      </w:r>
      <w:r>
        <w:rPr>
          <w:rFonts w:hint="eastAsia" w:ascii="微软雅黑" w:hAnsi="微软雅黑" w:eastAsia="微软雅黑" w:cs="微软雅黑"/>
          <w:sz w:val="32"/>
        </w:rPr>
        <w:t>本年度</w:t>
      </w:r>
      <w:r>
        <w:rPr>
          <w:rFonts w:hint="eastAsia" w:ascii="微软雅黑" w:hAnsi="微软雅黑" w:eastAsia="微软雅黑" w:cs="微软雅黑"/>
          <w:sz w:val="32"/>
          <w:lang w:val="en-US" w:eastAsia="zh-CN"/>
        </w:rPr>
        <w:t>人员增资及</w:t>
      </w:r>
      <w:r>
        <w:rPr>
          <w:rFonts w:hint="eastAsia" w:ascii="微软雅黑" w:hAnsi="微软雅黑" w:eastAsia="微软雅黑" w:cs="微软雅黑"/>
          <w:sz w:val="32"/>
        </w:rPr>
        <w:t>业务活动有所增加，财政增加了部分预算经费。</w:t>
      </w:r>
    </w:p>
    <w:p w14:paraId="2DCAE4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63C483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年度财政拨款支出408.54万元，占本年支出合计的59.54</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增长97.88万元，增长31.51%，主要是因为</w:t>
      </w:r>
      <w:r>
        <w:rPr>
          <w:rFonts w:hint="eastAsia" w:ascii="微软雅黑" w:hAnsi="微软雅黑" w:eastAsia="微软雅黑" w:cs="微软雅黑"/>
          <w:sz w:val="32"/>
        </w:rPr>
        <w:t>本年度</w:t>
      </w:r>
      <w:r>
        <w:rPr>
          <w:rFonts w:hint="eastAsia" w:ascii="微软雅黑" w:hAnsi="微软雅黑" w:eastAsia="微软雅黑" w:cs="微软雅黑"/>
          <w:sz w:val="32"/>
          <w:lang w:val="en-US" w:eastAsia="zh-CN"/>
        </w:rPr>
        <w:t>人员增资及</w:t>
      </w:r>
      <w:r>
        <w:rPr>
          <w:rFonts w:hint="eastAsia" w:ascii="微软雅黑" w:hAnsi="微软雅黑" w:eastAsia="微软雅黑" w:cs="微软雅黑"/>
          <w:sz w:val="32"/>
        </w:rPr>
        <w:t>业务活动有所增加，财政增加了部分预算经费。</w:t>
      </w:r>
    </w:p>
    <w:p w14:paraId="64556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75E4E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年度财政拨款支出408.54万元，主要用于以下方面：</w:t>
      </w:r>
      <w:r>
        <w:rPr>
          <w:rFonts w:hint="eastAsia" w:ascii="微软雅黑" w:hAnsi="微软雅黑" w:eastAsia="微软雅黑" w:cs="微软雅黑"/>
          <w:sz w:val="32"/>
        </w:rPr>
        <w:t>教育支出</w:t>
      </w:r>
      <w:r>
        <w:rPr>
          <w:rFonts w:ascii="微软雅黑" w:hAnsi="微软雅黑" w:eastAsia="微软雅黑" w:cs="微软雅黑"/>
          <w:sz w:val="32"/>
        </w:rPr>
        <w:t>（类）支出</w:t>
      </w:r>
      <w:r>
        <w:rPr>
          <w:rFonts w:hint="eastAsia" w:ascii="微软雅黑" w:hAnsi="微软雅黑" w:eastAsia="微软雅黑" w:cs="微软雅黑"/>
          <w:sz w:val="32"/>
          <w:lang w:val="en-US" w:eastAsia="zh-CN"/>
        </w:rPr>
        <w:t>34.07</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szCs w:val="32"/>
          <w:lang w:val="en-US" w:eastAsia="zh-CN"/>
        </w:rPr>
        <w:t>8.34</w:t>
      </w:r>
      <w:r>
        <w:rPr>
          <w:rFonts w:hint="eastAsia" w:ascii="微软雅黑" w:hAnsi="微软雅黑" w:eastAsia="微软雅黑" w:cs="微软雅黑"/>
          <w:sz w:val="32"/>
          <w:szCs w:val="32"/>
          <w:lang w:eastAsia="zh-CN"/>
        </w:rPr>
        <w:t>%；社会保障和就业支出（类）支出</w:t>
      </w:r>
      <w:r>
        <w:rPr>
          <w:rFonts w:hint="eastAsia" w:ascii="微软雅黑" w:hAnsi="微软雅黑" w:eastAsia="微软雅黑" w:cs="微软雅黑"/>
          <w:sz w:val="32"/>
          <w:szCs w:val="32"/>
          <w:lang w:val="en-US" w:eastAsia="zh-CN"/>
        </w:rPr>
        <w:t>20.06</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szCs w:val="32"/>
          <w:lang w:val="en-US" w:eastAsia="zh-CN"/>
        </w:rPr>
        <w:t>4.31</w:t>
      </w:r>
      <w:r>
        <w:rPr>
          <w:rFonts w:hint="eastAsia" w:ascii="微软雅黑" w:hAnsi="微软雅黑" w:eastAsia="微软雅黑" w:cs="微软雅黑"/>
          <w:sz w:val="32"/>
          <w:szCs w:val="32"/>
          <w:lang w:eastAsia="zh-CN"/>
        </w:rPr>
        <w:t>%;卫生健康支出（</w:t>
      </w:r>
      <w:r>
        <w:rPr>
          <w:rFonts w:hint="eastAsia" w:ascii="微软雅黑" w:hAnsi="微软雅黑" w:eastAsia="微软雅黑" w:cs="微软雅黑"/>
          <w:sz w:val="32"/>
          <w:szCs w:val="32"/>
          <w:lang w:val="en-US" w:eastAsia="zh-CN"/>
        </w:rPr>
        <w:t>类）8.42万，占2.06%；交通运输支出（类）335.35万，占82.08%；住房保障支出（类）10.64万，占2.60%。</w:t>
      </w:r>
    </w:p>
    <w:p w14:paraId="40FE3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年度财政拨款支出年初预算数为243.18万元，支出决算数为</w:t>
      </w:r>
      <w:r>
        <w:rPr>
          <w:rFonts w:hint="eastAsia" w:ascii="微软雅黑" w:hAnsi="微软雅黑" w:eastAsia="微软雅黑" w:cs="微软雅黑"/>
          <w:sz w:val="32"/>
          <w:lang w:val="en-US" w:eastAsia="zh-CN"/>
        </w:rPr>
        <w:t>516.27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212.30</w:t>
      </w:r>
      <w:r>
        <w:rPr>
          <w:rFonts w:hint="eastAsia" w:ascii="微软雅黑" w:hAnsi="微软雅黑" w:eastAsia="微软雅黑" w:cs="微软雅黑"/>
          <w:sz w:val="32"/>
          <w:szCs w:val="32"/>
          <w:lang w:eastAsia="zh-CN"/>
        </w:rPr>
        <w:t>%，其中：</w:t>
      </w:r>
    </w:p>
    <w:p w14:paraId="180058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1、教育支出（类）普通教育（款）其他普通教育支出（项）。</w:t>
      </w:r>
    </w:p>
    <w:p w14:paraId="5C839B0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w:t>
      </w:r>
      <w:r>
        <w:rPr>
          <w:rFonts w:hint="eastAsia" w:ascii="微软雅黑" w:hAnsi="微软雅黑" w:eastAsia="微软雅黑" w:cs="微软雅黑"/>
          <w:sz w:val="32"/>
          <w:szCs w:val="32"/>
          <w:lang w:val="en-US" w:eastAsia="zh-CN"/>
        </w:rPr>
        <w:t>数</w:t>
      </w:r>
      <w:r>
        <w:rPr>
          <w:rFonts w:hint="eastAsia" w:ascii="微软雅黑" w:hAnsi="微软雅黑" w:eastAsia="微软雅黑" w:cs="微软雅黑"/>
          <w:sz w:val="32"/>
          <w:szCs w:val="32"/>
          <w:lang w:eastAsia="zh-CN"/>
        </w:rPr>
        <w:t>为</w:t>
      </w:r>
      <w:r>
        <w:rPr>
          <w:rFonts w:hint="eastAsia" w:ascii="微软雅黑" w:hAnsi="微软雅黑" w:eastAsia="微软雅黑" w:cs="微软雅黑"/>
          <w:sz w:val="32"/>
          <w:szCs w:val="32"/>
          <w:lang w:val="en-US" w:eastAsia="zh-CN"/>
        </w:rPr>
        <w:t>34.07</w:t>
      </w:r>
      <w:r>
        <w:rPr>
          <w:rFonts w:hint="eastAsia" w:ascii="微软雅黑" w:hAnsi="微软雅黑" w:eastAsia="微软雅黑" w:cs="微软雅黑"/>
          <w:sz w:val="32"/>
          <w:szCs w:val="32"/>
          <w:lang w:eastAsia="zh-CN"/>
        </w:rPr>
        <w:t>万元，年初预算</w:t>
      </w:r>
      <w:r>
        <w:rPr>
          <w:rFonts w:hint="eastAsia" w:ascii="微软雅黑" w:hAnsi="微软雅黑" w:eastAsia="微软雅黑" w:cs="微软雅黑"/>
          <w:sz w:val="32"/>
          <w:szCs w:val="32"/>
          <w:lang w:val="en-US" w:eastAsia="zh-CN"/>
        </w:rPr>
        <w:t>数为0，无法计算完成比例</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大于</w:t>
      </w:r>
      <w:r>
        <w:rPr>
          <w:rFonts w:hint="eastAsia" w:ascii="微软雅黑" w:hAnsi="微软雅黑" w:eastAsia="微软雅黑" w:cs="微软雅黑"/>
          <w:sz w:val="32"/>
          <w:szCs w:val="32"/>
          <w:lang w:eastAsia="zh-CN"/>
        </w:rPr>
        <w:t>预算数</w:t>
      </w:r>
      <w:r>
        <w:rPr>
          <w:rFonts w:hint="eastAsia" w:ascii="微软雅黑" w:hAnsi="微软雅黑" w:eastAsia="微软雅黑" w:cs="微软雅黑"/>
          <w:sz w:val="32"/>
          <w:szCs w:val="32"/>
          <w:lang w:val="en-US" w:eastAsia="zh-CN"/>
        </w:rPr>
        <w:t>原因为</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财政年中根据本单位实际业务情况调增了此功能科目的指标</w:t>
      </w:r>
      <w:r>
        <w:rPr>
          <w:rFonts w:hint="eastAsia" w:ascii="微软雅黑" w:hAnsi="微软雅黑" w:eastAsia="微软雅黑" w:cs="微软雅黑"/>
          <w:sz w:val="32"/>
          <w:szCs w:val="32"/>
          <w:lang w:eastAsia="zh-CN"/>
        </w:rPr>
        <w:t>。</w:t>
      </w:r>
    </w:p>
    <w:p w14:paraId="760250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2、社会保障和就业支出（类）行政事业单位养老支出（款）机关事业单位基本养老保险缴费支出（项）。</w:t>
      </w:r>
    </w:p>
    <w:p w14:paraId="36072B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年初预算为14.</w:t>
      </w:r>
      <w:r>
        <w:rPr>
          <w:rFonts w:hint="eastAsia" w:ascii="微软雅黑" w:hAnsi="微软雅黑" w:eastAsia="微软雅黑" w:cs="微软雅黑"/>
          <w:sz w:val="32"/>
          <w:szCs w:val="32"/>
          <w:lang w:val="en-US" w:eastAsia="zh-CN"/>
        </w:rPr>
        <w:t>18</w:t>
      </w:r>
      <w:r>
        <w:rPr>
          <w:rFonts w:hint="eastAsia" w:ascii="微软雅黑" w:hAnsi="微软雅黑" w:eastAsia="微软雅黑" w:cs="微软雅黑"/>
          <w:sz w:val="32"/>
          <w:szCs w:val="32"/>
          <w:lang w:eastAsia="zh-CN"/>
        </w:rPr>
        <w:t>万元，支出决算</w:t>
      </w:r>
      <w:r>
        <w:rPr>
          <w:rFonts w:hint="eastAsia" w:ascii="微软雅黑" w:hAnsi="微软雅黑" w:eastAsia="微软雅黑" w:cs="微软雅黑"/>
          <w:sz w:val="32"/>
          <w:szCs w:val="32"/>
          <w:lang w:val="en-US" w:eastAsia="zh-CN"/>
        </w:rPr>
        <w:t>数</w:t>
      </w:r>
      <w:r>
        <w:rPr>
          <w:rFonts w:hint="eastAsia" w:ascii="微软雅黑" w:hAnsi="微软雅黑" w:eastAsia="微软雅黑" w:cs="微软雅黑"/>
          <w:sz w:val="32"/>
          <w:szCs w:val="32"/>
          <w:lang w:eastAsia="zh-CN"/>
        </w:rPr>
        <w:t>为14.</w:t>
      </w:r>
      <w:r>
        <w:rPr>
          <w:rFonts w:hint="eastAsia" w:ascii="微软雅黑" w:hAnsi="微软雅黑" w:eastAsia="微软雅黑" w:cs="微软雅黑"/>
          <w:sz w:val="32"/>
          <w:szCs w:val="32"/>
          <w:lang w:val="en-US" w:eastAsia="zh-CN"/>
        </w:rPr>
        <w:t>18</w:t>
      </w:r>
      <w:r>
        <w:rPr>
          <w:rFonts w:hint="eastAsia" w:ascii="微软雅黑" w:hAnsi="微软雅黑" w:eastAsia="微软雅黑" w:cs="微软雅黑"/>
          <w:sz w:val="32"/>
          <w:szCs w:val="32"/>
          <w:lang w:eastAsia="zh-CN"/>
        </w:rPr>
        <w:t>万元，完成年初预算的100%，决算数与预算数一致，我单位严格按预算执行决算。</w:t>
      </w:r>
    </w:p>
    <w:p w14:paraId="7FCA1C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3、社会保障和就业支出（类）其他社会保障和就业支出（款）其他社会保障和就业支出（项）。</w:t>
      </w:r>
    </w:p>
    <w:p w14:paraId="04EDD7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年初预算为0.8</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万元，支出决算</w:t>
      </w:r>
      <w:r>
        <w:rPr>
          <w:rFonts w:hint="eastAsia" w:ascii="微软雅黑" w:hAnsi="微软雅黑" w:eastAsia="微软雅黑" w:cs="微软雅黑"/>
          <w:sz w:val="32"/>
          <w:szCs w:val="32"/>
          <w:lang w:val="en-US" w:eastAsia="zh-CN"/>
        </w:rPr>
        <w:t>数</w:t>
      </w:r>
      <w:r>
        <w:rPr>
          <w:rFonts w:hint="eastAsia" w:ascii="微软雅黑" w:hAnsi="微软雅黑" w:eastAsia="微软雅黑" w:cs="微软雅黑"/>
          <w:sz w:val="32"/>
          <w:szCs w:val="32"/>
          <w:lang w:eastAsia="zh-CN"/>
        </w:rPr>
        <w:t>为0.8</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万元，完成年初预算的100%，决算数与预算数一致，我单位严格按预算执行决算。</w:t>
      </w:r>
    </w:p>
    <w:p w14:paraId="2E80C45E">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社会保障和就业支出（类）就业补助（款）其他就业补助支出（项）</w:t>
      </w:r>
    </w:p>
    <w:p w14:paraId="4568EAE1">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    年初预算为0万元，支出决算数为5.00万元，年初预算数为0，无法计算完成比例，决算数大于预算数的原因为，财政年中根据本单位实际人员经费情况调整了此功能科目的指标。</w:t>
      </w:r>
    </w:p>
    <w:p w14:paraId="09DBE6F1">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卫生健康支出（类）行政事业单位医疗（款）事业单位医疗（项）。</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7.53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7.53</w:t>
      </w:r>
      <w:r>
        <w:rPr>
          <w:rFonts w:hint="eastAsia" w:ascii="微软雅黑" w:hAnsi="微软雅黑" w:eastAsia="微软雅黑" w:cs="微软雅黑"/>
          <w:sz w:val="32"/>
          <w:szCs w:val="32"/>
          <w:lang w:eastAsia="zh-CN"/>
        </w:rPr>
        <w:t>万元，完成年初预算的100%，决算数与预算数一致，我单位严格按预算执行决算。</w:t>
      </w:r>
    </w:p>
    <w:p w14:paraId="446243D4">
      <w:pPr>
        <w:pStyle w:val="13"/>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 xml:space="preserve">卫生健康支出（类）行政事业单位医疗（款）公务员医疗补助（项）。             </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0.89</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0.89</w:t>
      </w:r>
      <w:r>
        <w:rPr>
          <w:rFonts w:hint="eastAsia" w:ascii="微软雅黑" w:hAnsi="微软雅黑" w:eastAsia="微软雅黑" w:cs="微软雅黑"/>
          <w:sz w:val="32"/>
          <w:szCs w:val="32"/>
          <w:lang w:eastAsia="zh-CN"/>
        </w:rPr>
        <w:t>万元，完成年初预算的100%，决算数与预算数一致，我单位严格按预算执行决算。</w:t>
      </w:r>
    </w:p>
    <w:p w14:paraId="14C2C2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、交通运输支出（类）公路水路运输（款）行政运行（项）</w:t>
      </w:r>
    </w:p>
    <w:p w14:paraId="7286E9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163.06</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131.36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80.56</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小于</w:t>
      </w:r>
      <w:r>
        <w:rPr>
          <w:rFonts w:hint="eastAsia" w:ascii="微软雅黑" w:hAnsi="微软雅黑" w:eastAsia="微软雅黑" w:cs="微软雅黑"/>
          <w:sz w:val="32"/>
          <w:szCs w:val="32"/>
          <w:lang w:eastAsia="zh-CN"/>
        </w:rPr>
        <w:t>年初预算数的主要原因是：财政年中根据我单位业务活动情况</w:t>
      </w:r>
      <w:r>
        <w:rPr>
          <w:rFonts w:hint="eastAsia" w:ascii="微软雅黑" w:hAnsi="微软雅黑" w:eastAsia="微软雅黑" w:cs="微软雅黑"/>
          <w:sz w:val="32"/>
          <w:szCs w:val="32"/>
          <w:lang w:val="en-US" w:eastAsia="zh-CN"/>
        </w:rPr>
        <w:t>调整了此功能科目的</w:t>
      </w:r>
      <w:r>
        <w:rPr>
          <w:rFonts w:hint="eastAsia" w:ascii="微软雅黑" w:hAnsi="微软雅黑" w:eastAsia="微软雅黑" w:cs="微软雅黑"/>
          <w:sz w:val="32"/>
          <w:szCs w:val="32"/>
          <w:lang w:eastAsia="zh-CN"/>
        </w:rPr>
        <w:t>指标。</w:t>
      </w:r>
    </w:p>
    <w:p w14:paraId="1B3F40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、交通运输支出（类）公路水路运输（款）公路和运输</w:t>
      </w:r>
      <w:r>
        <w:rPr>
          <w:rFonts w:hint="eastAsia" w:ascii="微软雅黑" w:hAnsi="微软雅黑" w:eastAsia="微软雅黑" w:cs="微软雅黑"/>
          <w:sz w:val="32"/>
          <w:szCs w:val="32"/>
          <w:lang w:val="en-US" w:eastAsia="zh-CN"/>
        </w:rPr>
        <w:t>管理</w:t>
      </w:r>
      <w:r>
        <w:rPr>
          <w:rFonts w:hint="eastAsia" w:ascii="微软雅黑" w:hAnsi="微软雅黑" w:eastAsia="微软雅黑" w:cs="微软雅黑"/>
          <w:sz w:val="32"/>
          <w:szCs w:val="32"/>
          <w:lang w:eastAsia="zh-CN"/>
        </w:rPr>
        <w:t>（项）</w:t>
      </w:r>
    </w:p>
    <w:p w14:paraId="7BB785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46.00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102.99</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223.89</w:t>
      </w:r>
      <w:r>
        <w:rPr>
          <w:rFonts w:hint="eastAsia" w:ascii="微软雅黑" w:hAnsi="微软雅黑" w:eastAsia="微软雅黑" w:cs="微软雅黑"/>
          <w:sz w:val="32"/>
          <w:szCs w:val="32"/>
          <w:lang w:eastAsia="zh-CN"/>
        </w:rPr>
        <w:t>%，决算数大于预算数的主要原因是财政年中根据</w:t>
      </w:r>
      <w:r>
        <w:rPr>
          <w:rFonts w:hint="eastAsia" w:ascii="微软雅黑" w:hAnsi="微软雅黑" w:eastAsia="微软雅黑" w:cs="微软雅黑"/>
          <w:sz w:val="32"/>
          <w:szCs w:val="32"/>
          <w:lang w:val="en-US" w:eastAsia="zh-CN"/>
        </w:rPr>
        <w:t>本</w:t>
      </w:r>
      <w:r>
        <w:rPr>
          <w:rFonts w:hint="eastAsia" w:ascii="微软雅黑" w:hAnsi="微软雅黑" w:eastAsia="微软雅黑" w:cs="微软雅黑"/>
          <w:sz w:val="32"/>
          <w:szCs w:val="32"/>
          <w:lang w:eastAsia="zh-CN"/>
        </w:rPr>
        <w:t>单位业务活动情况追加了部分预算指标。</w:t>
      </w:r>
    </w:p>
    <w:p w14:paraId="2C625A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9、交通运输支出（类）其他交通运输支出（款）其他交通运输支出（项）</w:t>
      </w:r>
    </w:p>
    <w:p w14:paraId="320F30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年初预算为0万元，支出决算为</w:t>
      </w:r>
      <w:r>
        <w:rPr>
          <w:rFonts w:hint="eastAsia" w:ascii="微软雅黑" w:hAnsi="微软雅黑" w:eastAsia="微软雅黑" w:cs="微软雅黑"/>
          <w:sz w:val="32"/>
          <w:szCs w:val="32"/>
          <w:lang w:val="en-US" w:eastAsia="zh-CN"/>
        </w:rPr>
        <w:t>101.00</w:t>
      </w:r>
      <w:r>
        <w:rPr>
          <w:rFonts w:hint="eastAsia" w:ascii="微软雅黑" w:hAnsi="微软雅黑" w:eastAsia="微软雅黑" w:cs="微软雅黑"/>
          <w:sz w:val="32"/>
          <w:szCs w:val="32"/>
          <w:lang w:eastAsia="zh-CN"/>
        </w:rPr>
        <w:t>万元，因年初预算数为零，无法计算预算完成率，决算数大于预算数的主要原因是财政年中根据我单位业务活动情况追加了部分预算指标。</w:t>
      </w:r>
    </w:p>
    <w:p w14:paraId="6D51B7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10、住房保障支出（类）住房改革支出（款）住房公积金（项）</w:t>
      </w:r>
    </w:p>
    <w:p w14:paraId="33C154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年初预算为10.</w:t>
      </w:r>
      <w:r>
        <w:rPr>
          <w:rFonts w:hint="eastAsia" w:ascii="微软雅黑" w:hAnsi="微软雅黑" w:eastAsia="微软雅黑" w:cs="微软雅黑"/>
          <w:sz w:val="32"/>
          <w:szCs w:val="32"/>
          <w:lang w:val="en-US" w:eastAsia="zh-CN"/>
        </w:rPr>
        <w:t>63</w:t>
      </w:r>
      <w:r>
        <w:rPr>
          <w:rFonts w:hint="eastAsia" w:ascii="微软雅黑" w:hAnsi="微软雅黑" w:eastAsia="微软雅黑" w:cs="微软雅黑"/>
          <w:sz w:val="32"/>
          <w:szCs w:val="32"/>
          <w:lang w:eastAsia="zh-CN"/>
        </w:rPr>
        <w:t>万元，支出决算为10.</w:t>
      </w:r>
      <w:r>
        <w:rPr>
          <w:rFonts w:hint="eastAsia" w:ascii="微软雅黑" w:hAnsi="微软雅黑" w:eastAsia="微软雅黑" w:cs="微软雅黑"/>
          <w:sz w:val="32"/>
          <w:szCs w:val="32"/>
          <w:lang w:val="en-US" w:eastAsia="zh-CN"/>
        </w:rPr>
        <w:t>63</w:t>
      </w:r>
      <w:r>
        <w:rPr>
          <w:rFonts w:hint="eastAsia" w:ascii="微软雅黑" w:hAnsi="微软雅黑" w:eastAsia="微软雅黑" w:cs="微软雅黑"/>
          <w:sz w:val="32"/>
          <w:szCs w:val="32"/>
          <w:lang w:eastAsia="zh-CN"/>
        </w:rPr>
        <w:t>万元，完成年初预算的100%，决算数与预算数一致，我单位严格按预算执行决算。</w:t>
      </w:r>
    </w:p>
    <w:p w14:paraId="655D9717">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城乡社区支出（类）国有土地使用权出让收入安排的支出（款）其他国有土地使用权出让收入安排的支出</w:t>
      </w:r>
    </w:p>
    <w:p w14:paraId="56739603">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年初预算数为0万元，支出决算数为50.00万，年初预算数为0，无法计算完成比例。决算数大于预算数的原因是财政年中根据我单位业务活动情况追加了部分预算指标。</w:t>
      </w:r>
    </w:p>
    <w:p w14:paraId="757AA487">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其他支出（类）其他政府性基金及对应专项债务收入安排的支出（款）其他政府性基金安排的支出（项）</w:t>
      </w:r>
    </w:p>
    <w:p w14:paraId="303795F4">
      <w:pPr>
        <w:pStyle w:val="13"/>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年初预算数为0万元，支出决算数为57.73万，年初预算数为0，无法计算完成比例。决算数大于预算数的原因是财政年中根据我单位业务活动情况追加了部分预算指标。</w:t>
      </w:r>
    </w:p>
    <w:p w14:paraId="5C5C91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年度财政拨款基本支出199.55万元，其中：</w:t>
      </w:r>
    </w:p>
    <w:p w14:paraId="24C158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169.61万元，占基本支出的85.00%,主要包括基本工资、津贴补贴、奖金、</w:t>
      </w:r>
      <w:r>
        <w:rPr>
          <w:rFonts w:hint="eastAsia" w:ascii="微软雅黑" w:hAnsi="微软雅黑" w:eastAsia="微软雅黑" w:cs="微软雅黑"/>
          <w:sz w:val="32"/>
          <w:lang w:val="en-US" w:eastAsia="zh-CN"/>
        </w:rPr>
        <w:t>保险费等</w:t>
      </w:r>
      <w:r>
        <w:rPr>
          <w:rFonts w:ascii="微软雅黑" w:hAnsi="微软雅黑" w:eastAsia="微软雅黑" w:cs="微软雅黑"/>
          <w:sz w:val="32"/>
        </w:rPr>
        <w:t>。</w:t>
      </w:r>
    </w:p>
    <w:p w14:paraId="2B8E5F85">
      <w:pPr>
        <w:pStyle w:val="13"/>
        <w:keepNext w:val="0"/>
        <w:keepLines w:val="0"/>
        <w:pageBreakBefore w:val="0"/>
        <w:widowControl w:val="0"/>
        <w:kinsoku/>
        <w:wordWrap/>
        <w:overflowPunct/>
        <w:topLinePunct w:val="0"/>
        <w:autoSpaceDE w:val="0"/>
        <w:autoSpaceDN w:val="0"/>
        <w:bidi w:val="0"/>
        <w:adjustRightInd w:val="0"/>
        <w:snapToGrid/>
        <w:spacing w:line="360" w:lineRule="auto"/>
        <w:ind w:left="319" w:leftChars="152" w:firstLine="320" w:firstLineChars="1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29.94万元，占基本支出的</w:t>
      </w:r>
      <w:r>
        <w:rPr>
          <w:rFonts w:hint="eastAsia" w:ascii="微软雅黑" w:hAnsi="微软雅黑" w:eastAsia="微软雅黑" w:cs="微软雅黑"/>
          <w:sz w:val="32"/>
          <w:szCs w:val="32"/>
          <w:lang w:val="en-US" w:eastAsia="zh-CN"/>
        </w:rPr>
        <w:t>15.00</w:t>
      </w:r>
      <w:r>
        <w:rPr>
          <w:rFonts w:hint="eastAsia" w:ascii="微软雅黑" w:hAnsi="微软雅黑" w:eastAsia="微软雅黑" w:cs="微软雅黑"/>
          <w:sz w:val="32"/>
          <w:szCs w:val="32"/>
          <w:lang w:eastAsia="zh-CN"/>
        </w:rPr>
        <w:t>%，主要包括办公费、</w:t>
      </w:r>
      <w:r>
        <w:rPr>
          <w:rFonts w:hint="eastAsia" w:ascii="微软雅黑" w:hAnsi="微软雅黑" w:eastAsia="微软雅黑" w:cs="微软雅黑"/>
          <w:sz w:val="32"/>
          <w:szCs w:val="32"/>
          <w:lang w:val="en-US" w:eastAsia="zh-CN"/>
        </w:rPr>
        <w:t>水电费、邮电费、物业管理费、差旅费、维修维护费、培训费、劳务费、其他交通费用、其他商品和服务支出等</w:t>
      </w:r>
      <w:r>
        <w:rPr>
          <w:rFonts w:hint="eastAsia" w:ascii="微软雅黑" w:hAnsi="微软雅黑" w:eastAsia="微软雅黑" w:cs="微软雅黑"/>
          <w:sz w:val="32"/>
          <w:szCs w:val="32"/>
          <w:lang w:eastAsia="zh-CN"/>
        </w:rPr>
        <w:t>。</w:t>
      </w:r>
    </w:p>
    <w:p w14:paraId="186AF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4A3702F">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年度政府性基金预算财政拨款收入</w:t>
      </w:r>
      <w:r>
        <w:rPr>
          <w:rFonts w:hint="eastAsia" w:ascii="微软雅黑" w:hAnsi="微软雅黑" w:eastAsia="微软雅黑" w:cs="微软雅黑"/>
          <w:sz w:val="32"/>
          <w:lang w:val="en-US" w:eastAsia="zh-CN"/>
        </w:rPr>
        <w:t>107.73</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万元；支出</w:t>
      </w:r>
      <w:r>
        <w:rPr>
          <w:rFonts w:hint="eastAsia" w:ascii="微软雅黑" w:hAnsi="微软雅黑" w:eastAsia="微软雅黑" w:cs="微软雅黑"/>
          <w:sz w:val="32"/>
          <w:szCs w:val="32"/>
          <w:lang w:val="en-US" w:eastAsia="zh-CN"/>
        </w:rPr>
        <w:t>107.73</w:t>
      </w:r>
      <w:r>
        <w:rPr>
          <w:rFonts w:hint="eastAsia" w:ascii="微软雅黑" w:hAnsi="微软雅黑" w:eastAsia="微软雅黑" w:cs="微软雅黑"/>
          <w:sz w:val="32"/>
          <w:szCs w:val="32"/>
          <w:lang w:eastAsia="zh-CN"/>
        </w:rPr>
        <w:t>万元，其中基本支出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万元，项目支出</w:t>
      </w:r>
      <w:r>
        <w:rPr>
          <w:rFonts w:hint="eastAsia" w:ascii="微软雅黑" w:hAnsi="微软雅黑" w:eastAsia="微软雅黑" w:cs="微软雅黑"/>
          <w:sz w:val="32"/>
          <w:szCs w:val="32"/>
          <w:lang w:val="en-US" w:eastAsia="zh-CN"/>
        </w:rPr>
        <w:t>107.73</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万元。具体情况如下：</w:t>
      </w:r>
    </w:p>
    <w:p w14:paraId="4B5DC4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1、城乡社区支出（类）国有土地使用权出让收入安排的支出（款）其他国有土地使用权出让收入安排的支出</w:t>
      </w:r>
    </w:p>
    <w:p w14:paraId="0475FE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年初预算数为0万元，支出决算数为50.00万，年初预算数为0，无法计算完成比例。决算数大于预算数的原因是财政年中根据我单位业务活动情况追加了部分预算指标。</w:t>
      </w:r>
    </w:p>
    <w:p w14:paraId="70ED50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2、其他支出（类）其他政府性基金及对应专项债务收入安排的支出（款）其他政府性基金安排的支出（项）</w:t>
      </w:r>
    </w:p>
    <w:p w14:paraId="4BF443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年初预算数为0万元，支出决算数为57.73万，年初预算数为0，无法计算完成比例。决算数大于预算数的原因是财政年中根据我单位业务活动情况追加了部分预算指标。</w:t>
      </w:r>
    </w:p>
    <w:p w14:paraId="320BB8E6">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4B6DA66F">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微软雅黑" w:hAnsi="微软雅黑" w:eastAsia="微软雅黑" w:cs="微软雅黑"/>
          <w:b w:val="0"/>
          <w:bCs/>
          <w:sz w:val="32"/>
          <w:szCs w:val="32"/>
          <w:lang w:val="en-US" w:eastAsia="zh-CN"/>
        </w:rPr>
      </w:pPr>
      <w:r>
        <w:rPr>
          <w:rFonts w:hint="eastAsia" w:ascii="微软雅黑" w:hAnsi="微软雅黑" w:eastAsia="微软雅黑" w:cs="微软雅黑"/>
          <w:b w:val="0"/>
          <w:bCs/>
          <w:sz w:val="32"/>
          <w:szCs w:val="32"/>
          <w:lang w:val="en-US" w:eastAsia="zh-CN"/>
        </w:rPr>
        <w:t>2024年本单位无国有资本经营预算财政拨款收支。</w:t>
      </w:r>
    </w:p>
    <w:p w14:paraId="03EF82A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1A239CA1">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“三公”经费财政拨款支出预算为2.00万元，支出决算为1.00万元，完成预算的50.00%，其中：</w:t>
      </w:r>
    </w:p>
    <w:p w14:paraId="2FAEA1AF">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因公出国（境）费支出预算为0.00万元，支出决算为0.00万元，完成预算的0.00%，决算数等于预算数的主要原因是无，与上年相比增长0.00万元，增长0.00%,增长/减少的主要原因是无。</w:t>
      </w:r>
    </w:p>
    <w:p w14:paraId="09C1F961">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公务接待费支出预算为2.00万元，支出决算为1.00万元，完成预算的50.00%，决算数小于预算数的主要原因是厉行节约，严格控制“三公”经费开支，与上年相比</w:t>
      </w:r>
      <w:r>
        <w:rPr>
          <w:rFonts w:hint="eastAsia" w:ascii="微软雅黑" w:hAnsi="微软雅黑" w:eastAsia="微软雅黑" w:cs="微软雅黑"/>
          <w:sz w:val="32"/>
          <w:szCs w:val="32"/>
          <w:lang w:val="en-US" w:eastAsia="zh-CN"/>
        </w:rPr>
        <w:t>基本持平</w:t>
      </w:r>
      <w:r>
        <w:rPr>
          <w:rFonts w:hint="eastAsia" w:ascii="微软雅黑" w:hAnsi="微软雅黑" w:eastAsia="微软雅黑" w:cs="微软雅黑"/>
          <w:sz w:val="32"/>
          <w:szCs w:val="32"/>
        </w:rPr>
        <w:t>，增长</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%,增长的主要原因是</w:t>
      </w:r>
      <w:r>
        <w:rPr>
          <w:rFonts w:hint="eastAsia" w:ascii="微软雅黑" w:hAnsi="微软雅黑" w:eastAsia="微软雅黑" w:cs="微软雅黑"/>
          <w:sz w:val="32"/>
          <w:szCs w:val="32"/>
          <w:lang w:val="en-US" w:eastAsia="zh-CN"/>
        </w:rPr>
        <w:t>无。</w:t>
      </w:r>
    </w:p>
    <w:p w14:paraId="0FFA8469">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公务用车购置费支出预算为0.00万元，支出决算为0.00万元，完成预算的0.00%，决算数等于预算数的主要原因是无，与上年相比增长0.00万元，增长0.00%,增长/减少的主要原因是无。</w:t>
      </w:r>
    </w:p>
    <w:p w14:paraId="739AD668">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公务用车运行维护费支出预算为0.00万元，支出决算为0.00万元，完成预算的0.00%，决算数等于预算数的主要原因是无，与上年相比增长0.00万元，增长0.00%,增长/减少的主要原因是无。</w:t>
      </w:r>
    </w:p>
    <w:p w14:paraId="7130F27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0A71AE2C">
      <w:p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年度“三公”经费财政拨款支出决算中，公务接待费支出决算1.00万元，占100.00%,因公出国（境）费支出决算0.00万元，占0.00%,公务用车购置费及运行维护费支出决算0.00万元，占0.00%。其中：</w:t>
      </w:r>
    </w:p>
    <w:p w14:paraId="5209277E">
      <w:pPr>
        <w:ind w:firstLine="320" w:firstLineChars="1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1、因公出国（境）费支出决算为0.00万元，全年安排因公出国（境）团组0个，累计0人次,开支内容无。</w:t>
      </w:r>
    </w:p>
    <w:p w14:paraId="0D1C76CA">
      <w:pPr>
        <w:ind w:firstLine="320" w:firstLineChars="1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2、公务接待费支出决算为1.00万元，全年共接待来访团组1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个、来宾</w:t>
      </w:r>
      <w:r>
        <w:rPr>
          <w:rFonts w:hint="eastAsia" w:ascii="微软雅黑" w:hAnsi="微软雅黑" w:eastAsia="微软雅黑" w:cs="微软雅黑"/>
          <w:sz w:val="32"/>
          <w:szCs w:val="32"/>
          <w:lang w:val="en-US" w:eastAsia="zh-CN"/>
        </w:rPr>
        <w:t>80</w:t>
      </w:r>
      <w:r>
        <w:rPr>
          <w:rFonts w:hint="eastAsia" w:ascii="微软雅黑" w:hAnsi="微软雅黑" w:eastAsia="微软雅黑" w:cs="微软雅黑"/>
          <w:sz w:val="32"/>
          <w:szCs w:val="32"/>
          <w:lang w:eastAsia="zh-CN"/>
        </w:rPr>
        <w:t>人次，主要用于与有关单位交流工作情况及接受相关部门检查指导工作发生的接待支出。</w:t>
      </w:r>
    </w:p>
    <w:p w14:paraId="0C453594">
      <w:pPr>
        <w:ind w:firstLine="320" w:firstLineChars="100"/>
        <w:rPr>
          <w:rFonts w:hint="eastAsia" w:ascii="微软雅黑" w:hAnsi="微软雅黑" w:eastAsia="微软雅黑" w:cs="微软雅黑"/>
          <w:b/>
          <w:bCs/>
          <w:i w:val="0"/>
          <w:iCs/>
          <w:color w:val="FF0000"/>
          <w:kern w:val="0"/>
          <w:sz w:val="40"/>
          <w:szCs w:val="40"/>
        </w:rPr>
      </w:pPr>
      <w:r>
        <w:rPr>
          <w:rFonts w:hint="eastAsia" w:ascii="微软雅黑" w:hAnsi="微软雅黑" w:eastAsia="微软雅黑" w:cs="微软雅黑"/>
          <w:sz w:val="32"/>
          <w:szCs w:val="32"/>
          <w:lang w:eastAsia="zh-CN"/>
        </w:rPr>
        <w:t>3、公务用车购置费及运行维护费支出决算为0.00万元，其中：公务用车购置费0.00万元，岳阳县城市公共交通</w:t>
      </w:r>
      <w:r>
        <w:rPr>
          <w:rFonts w:hint="eastAsia" w:ascii="微软雅黑" w:hAnsi="微软雅黑" w:eastAsia="微软雅黑" w:cs="微软雅黑"/>
          <w:sz w:val="32"/>
          <w:szCs w:val="32"/>
          <w:lang w:val="en-US" w:eastAsia="zh-CN"/>
        </w:rPr>
        <w:t>服务中心</w:t>
      </w:r>
      <w:r>
        <w:rPr>
          <w:rFonts w:hint="eastAsia" w:ascii="微软雅黑" w:hAnsi="微软雅黑" w:eastAsia="微软雅黑" w:cs="微软雅黑"/>
          <w:sz w:val="32"/>
          <w:szCs w:val="32"/>
          <w:lang w:eastAsia="zh-CN"/>
        </w:rPr>
        <w:t>更新公务用车0辆。公务用车运行维护费0.00万元，截至2023年12月31日，我单位开支财政拨款的公务用车保有量为0辆。</w:t>
      </w:r>
    </w:p>
    <w:p w14:paraId="28E32ECC">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14:paraId="1B4472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0CAD7654">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本单位属</w:t>
      </w:r>
      <w:r>
        <w:rPr>
          <w:rFonts w:hint="eastAsia" w:ascii="微软雅黑" w:hAnsi="微软雅黑" w:eastAsia="微软雅黑" w:cs="微软雅黑"/>
          <w:sz w:val="32"/>
          <w:szCs w:val="32"/>
        </w:rPr>
        <w:t>事业单位，按照机关运行经费的口径，本年度机关运行经费为0。</w:t>
      </w:r>
    </w:p>
    <w:p w14:paraId="5835F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5626DA1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人，内容</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；开支培训费</w:t>
      </w:r>
      <w:r>
        <w:rPr>
          <w:rFonts w:ascii="微软雅黑" w:hAnsi="微软雅黑" w:eastAsia="微软雅黑" w:cs="微软雅黑"/>
          <w:sz w:val="32"/>
        </w:rPr>
        <w:t>0.40万元，</w:t>
      </w:r>
      <w:r>
        <w:rPr>
          <w:rFonts w:hint="eastAsia" w:ascii="微软雅黑" w:hAnsi="微软雅黑" w:eastAsia="微软雅黑" w:cs="微软雅黑"/>
          <w:sz w:val="32"/>
        </w:rPr>
        <w:t>用于开展交通执法培训，人数</w:t>
      </w:r>
      <w:r>
        <w:rPr>
          <w:rFonts w:hint="eastAsia" w:ascii="微软雅黑" w:hAnsi="微软雅黑" w:eastAsia="微软雅黑" w:cs="微软雅黑"/>
          <w:sz w:val="32"/>
          <w:lang w:val="en-US" w:eastAsia="zh-CN"/>
        </w:rPr>
        <w:t>20</w:t>
      </w:r>
      <w:r>
        <w:rPr>
          <w:rFonts w:hint="eastAsia" w:ascii="微软雅黑" w:hAnsi="微软雅黑" w:eastAsia="微软雅黑" w:cs="微软雅黑"/>
          <w:sz w:val="32"/>
        </w:rPr>
        <w:t>人，主要培训内容为城市公交执法业务知识；202</w:t>
      </w:r>
      <w:r>
        <w:rPr>
          <w:rFonts w:hint="eastAsia" w:ascii="微软雅黑" w:hAnsi="微软雅黑" w:eastAsia="微软雅黑" w:cs="微软雅黑"/>
          <w:sz w:val="32"/>
          <w:lang w:val="en-US" w:eastAsia="zh-CN"/>
        </w:rPr>
        <w:t>4</w:t>
      </w:r>
      <w:r>
        <w:rPr>
          <w:rFonts w:hint="eastAsia" w:ascii="微软雅黑" w:hAnsi="微软雅黑" w:eastAsia="微软雅黑" w:cs="微软雅黑"/>
          <w:sz w:val="32"/>
        </w:rPr>
        <w:t>年本部门未举办节庆、晚会、论坛、赛事活动，开支0万元。</w:t>
      </w:r>
    </w:p>
    <w:p w14:paraId="72C3B2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36.58</w:t>
      </w:r>
      <w:r>
        <w:rPr>
          <w:rFonts w:hint="eastAsia" w:ascii="微软雅黑" w:hAnsi="微软雅黑" w:eastAsia="微软雅黑" w:cs="微软雅黑"/>
          <w:sz w:val="32"/>
          <w:szCs w:val="32"/>
        </w:rPr>
        <w:t>万元，其中：政府采购货物支出X</w:t>
      </w:r>
      <w:r>
        <w:rPr>
          <w:rFonts w:hint="eastAsia" w:ascii="微软雅黑" w:hAnsi="微软雅黑" w:eastAsia="微软雅黑" w:cs="微软雅黑"/>
          <w:sz w:val="32"/>
          <w:szCs w:val="32"/>
          <w:lang w:val="en-US" w:eastAsia="zh-CN"/>
        </w:rPr>
        <w:t>36.58</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36.58</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36.58</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36.58</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14:paraId="2E5EA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5CA372EB">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10979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2024年度一般公共预算项目支出全面开展绩效自评，其中，一级项目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6A76E64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 个项目开展了部门评价，涉及一般公共预算支出0 万元，政府性基金预算支出0万元，国有资本经营预算支出0万元。</w:t>
      </w:r>
    </w:p>
    <w:p w14:paraId="33F6F00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组织对岳阳县城市公共交通服务中心1个单位开展整体支出绩效评价，涉及一般公共预算支出578.38 万元，政府性基金预算支出107.73万元。我单位整体支出内容规范，支出进度平稳，保障了本单位各项工作的正常开展，评价得分为96分，评价等级为优秀。</w:t>
      </w:r>
    </w:p>
    <w:p w14:paraId="7484C86E">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部门决算中项目绩效自评结果。</w:t>
      </w:r>
    </w:p>
    <w:p w14:paraId="6A20327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default" w:ascii="微软雅黑" w:hAnsi="微软雅黑" w:eastAsia="微软雅黑" w:cs="微软雅黑"/>
          <w:b w:val="0"/>
          <w:bCs/>
          <w:color w:val="000000"/>
          <w:kern w:val="0"/>
          <w:sz w:val="32"/>
          <w:szCs w:val="32"/>
          <w:lang w:val="en-US" w:eastAsia="zh-CN"/>
        </w:rPr>
      </w:pPr>
      <w:r>
        <w:rPr>
          <w:rFonts w:hint="eastAsia" w:ascii="微软雅黑" w:hAnsi="微软雅黑" w:eastAsia="微软雅黑" w:cs="微软雅黑"/>
          <w:b/>
          <w:color w:val="000000"/>
          <w:kern w:val="0"/>
          <w:sz w:val="32"/>
          <w:szCs w:val="32"/>
          <w:lang w:val="en-US" w:eastAsia="zh-CN"/>
        </w:rPr>
        <w:t xml:space="preserve">      </w:t>
      </w:r>
      <w:r>
        <w:rPr>
          <w:rFonts w:hint="eastAsia" w:ascii="微软雅黑" w:hAnsi="微软雅黑" w:eastAsia="微软雅黑" w:cs="微软雅黑"/>
          <w:b w:val="0"/>
          <w:bCs/>
          <w:color w:val="000000"/>
          <w:kern w:val="0"/>
          <w:sz w:val="32"/>
          <w:szCs w:val="32"/>
          <w:lang w:val="en-US" w:eastAsia="zh-CN"/>
        </w:rPr>
        <w:t xml:space="preserve">   无</w:t>
      </w: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3"/>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第四部分</w:t>
      </w:r>
    </w:p>
    <w:p w14:paraId="3B810295">
      <w:pPr>
        <w:jc w:val="center"/>
        <w:rPr>
          <w:rFonts w:hint="eastAsia" w:ascii="微软雅黑" w:hAnsi="微软雅黑" w:eastAsia="微软雅黑" w:cs="微软雅黑"/>
          <w:b/>
          <w:bCs/>
          <w:color w:val="000000"/>
          <w:kern w:val="0"/>
          <w:sz w:val="30"/>
          <w:szCs w:val="30"/>
        </w:rPr>
      </w:pPr>
    </w:p>
    <w:p w14:paraId="0D6C4062">
      <w:pPr>
        <w:jc w:val="center"/>
        <w:rPr>
          <w:rFonts w:hint="eastAsia" w:ascii="微软雅黑" w:hAnsi="微软雅黑" w:eastAsia="微软雅黑" w:cs="微软雅黑"/>
          <w:b/>
          <w:bCs/>
          <w:color w:val="000000"/>
          <w:kern w:val="0"/>
          <w:sz w:val="30"/>
          <w:szCs w:val="30"/>
        </w:rPr>
      </w:pPr>
      <w:r>
        <w:rPr>
          <w:rFonts w:hint="eastAsia" w:ascii="微软雅黑" w:hAnsi="微软雅黑" w:eastAsia="微软雅黑" w:cs="微软雅黑"/>
          <w:b/>
          <w:bCs/>
          <w:color w:val="000000"/>
          <w:kern w:val="0"/>
          <w:sz w:val="30"/>
          <w:szCs w:val="3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D5722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14:paraId="74F01676">
      <w:pPr>
        <w:ind w:firstLine="4800" w:firstLineChars="1600"/>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第五部分</w:t>
      </w:r>
    </w:p>
    <w:p w14:paraId="00B72341">
      <w:pPr>
        <w:jc w:val="center"/>
        <w:rPr>
          <w:rFonts w:hint="eastAsia" w:ascii="微软雅黑" w:hAnsi="微软雅黑" w:eastAsia="微软雅黑" w:cs="微软雅黑"/>
          <w:b/>
          <w:bCs/>
          <w:color w:val="000000"/>
          <w:kern w:val="0"/>
          <w:sz w:val="30"/>
          <w:szCs w:val="30"/>
        </w:rPr>
      </w:pPr>
    </w:p>
    <w:p w14:paraId="0457B14F">
      <w:pPr>
        <w:pStyle w:val="13"/>
        <w:jc w:val="center"/>
        <w:rPr>
          <w:rFonts w:hint="eastAsia" w:ascii="微软雅黑" w:hAnsi="微软雅黑" w:eastAsia="微软雅黑" w:cs="微软雅黑"/>
          <w:b/>
          <w:bCs/>
          <w:sz w:val="30"/>
          <w:szCs w:val="30"/>
        </w:rPr>
      </w:pPr>
      <w:r>
        <w:rPr>
          <w:rFonts w:hint="eastAsia" w:ascii="微软雅黑" w:hAnsi="微软雅黑" w:eastAsia="微软雅黑" w:cs="微软雅黑"/>
          <w:b/>
          <w:bCs/>
          <w:color w:val="000000"/>
          <w:kern w:val="0"/>
          <w:sz w:val="30"/>
          <w:szCs w:val="3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534AA"/>
    <w:multiLevelType w:val="singleLevel"/>
    <w:tmpl w:val="C49534AA"/>
    <w:lvl w:ilvl="0" w:tentative="0">
      <w:start w:val="11"/>
      <w:numFmt w:val="decimal"/>
      <w:suff w:val="nothing"/>
      <w:lvlText w:val="%1、"/>
      <w:lvlJc w:val="left"/>
    </w:lvl>
  </w:abstractNum>
  <w:abstractNum w:abstractNumId="1">
    <w:nsid w:val="C93EA6E6"/>
    <w:multiLevelType w:val="singleLevel"/>
    <w:tmpl w:val="C93EA6E6"/>
    <w:lvl w:ilvl="0" w:tentative="0">
      <w:start w:val="8"/>
      <w:numFmt w:val="chineseCounting"/>
      <w:suff w:val="nothing"/>
      <w:lvlText w:val="%1、"/>
      <w:lvlJc w:val="left"/>
      <w:rPr>
        <w:rFonts w:hint="eastAsia"/>
      </w:rPr>
    </w:lvl>
  </w:abstractNum>
  <w:abstractNum w:abstractNumId="2">
    <w:nsid w:val="19B82730"/>
    <w:multiLevelType w:val="singleLevel"/>
    <w:tmpl w:val="19B82730"/>
    <w:lvl w:ilvl="0" w:tentative="0">
      <w:start w:val="2"/>
      <w:numFmt w:val="decimal"/>
      <w:suff w:val="nothing"/>
      <w:lvlText w:val="（%1）"/>
      <w:lvlJc w:val="left"/>
    </w:lvl>
  </w:abstractNum>
  <w:abstractNum w:abstractNumId="3">
    <w:nsid w:val="2EAEB5B3"/>
    <w:multiLevelType w:val="singleLevel"/>
    <w:tmpl w:val="2EAEB5B3"/>
    <w:lvl w:ilvl="0" w:tentative="0">
      <w:start w:val="2"/>
      <w:numFmt w:val="chineseCounting"/>
      <w:suff w:val="nothing"/>
      <w:lvlText w:val="（%1）"/>
      <w:lvlJc w:val="left"/>
      <w:rPr>
        <w:rFonts w:hint="eastAsia"/>
      </w:rPr>
    </w:lvl>
  </w:abstractNum>
  <w:abstractNum w:abstractNumId="4">
    <w:nsid w:val="44746638"/>
    <w:multiLevelType w:val="singleLevel"/>
    <w:tmpl w:val="44746638"/>
    <w:lvl w:ilvl="0" w:tentative="0">
      <w:start w:val="4"/>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1F7F7E"/>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71BDD"/>
    <w:rsid w:val="05482261"/>
    <w:rsid w:val="06F20647"/>
    <w:rsid w:val="074309F6"/>
    <w:rsid w:val="07966D78"/>
    <w:rsid w:val="07E04F3D"/>
    <w:rsid w:val="08163A15"/>
    <w:rsid w:val="0899501D"/>
    <w:rsid w:val="096227F5"/>
    <w:rsid w:val="0AC57974"/>
    <w:rsid w:val="0CDF23B8"/>
    <w:rsid w:val="0DE51E4A"/>
    <w:rsid w:val="0F9016DB"/>
    <w:rsid w:val="0FE268D2"/>
    <w:rsid w:val="10A73DA4"/>
    <w:rsid w:val="11A63AC3"/>
    <w:rsid w:val="13135140"/>
    <w:rsid w:val="134641EF"/>
    <w:rsid w:val="136B7D14"/>
    <w:rsid w:val="14333BA0"/>
    <w:rsid w:val="14D94748"/>
    <w:rsid w:val="157F3D95"/>
    <w:rsid w:val="15986B0A"/>
    <w:rsid w:val="15A64981"/>
    <w:rsid w:val="16F5338F"/>
    <w:rsid w:val="17D85E72"/>
    <w:rsid w:val="18A92683"/>
    <w:rsid w:val="191A1185"/>
    <w:rsid w:val="1A4B623A"/>
    <w:rsid w:val="1F817EB6"/>
    <w:rsid w:val="208C08C0"/>
    <w:rsid w:val="21680401"/>
    <w:rsid w:val="21723F5A"/>
    <w:rsid w:val="23E10F23"/>
    <w:rsid w:val="24284DA4"/>
    <w:rsid w:val="2584425C"/>
    <w:rsid w:val="26BC7A25"/>
    <w:rsid w:val="27B766F6"/>
    <w:rsid w:val="27F03E2A"/>
    <w:rsid w:val="29701875"/>
    <w:rsid w:val="2BA411B4"/>
    <w:rsid w:val="2BCA04EF"/>
    <w:rsid w:val="2DE47F8D"/>
    <w:rsid w:val="2E5642BC"/>
    <w:rsid w:val="2F026361"/>
    <w:rsid w:val="2F5729E1"/>
    <w:rsid w:val="306F0E15"/>
    <w:rsid w:val="31B77767"/>
    <w:rsid w:val="324F79A0"/>
    <w:rsid w:val="32655415"/>
    <w:rsid w:val="33E12879"/>
    <w:rsid w:val="34095384"/>
    <w:rsid w:val="34207846"/>
    <w:rsid w:val="34E24AFB"/>
    <w:rsid w:val="34EB2755"/>
    <w:rsid w:val="3566572C"/>
    <w:rsid w:val="35A85D44"/>
    <w:rsid w:val="36C546D4"/>
    <w:rsid w:val="36DD557A"/>
    <w:rsid w:val="36E96615"/>
    <w:rsid w:val="38415FDC"/>
    <w:rsid w:val="38935D30"/>
    <w:rsid w:val="3A2A31CC"/>
    <w:rsid w:val="3AEC66D3"/>
    <w:rsid w:val="3BC62A80"/>
    <w:rsid w:val="3CEA279F"/>
    <w:rsid w:val="3F8769CB"/>
    <w:rsid w:val="3FD348C7"/>
    <w:rsid w:val="40C80669"/>
    <w:rsid w:val="414D77A0"/>
    <w:rsid w:val="41940D6D"/>
    <w:rsid w:val="42415557"/>
    <w:rsid w:val="42982C9D"/>
    <w:rsid w:val="42D27F5D"/>
    <w:rsid w:val="42FC322C"/>
    <w:rsid w:val="441D15D4"/>
    <w:rsid w:val="44AC435F"/>
    <w:rsid w:val="48505731"/>
    <w:rsid w:val="487D493C"/>
    <w:rsid w:val="493A4AAE"/>
    <w:rsid w:val="4BE07B8E"/>
    <w:rsid w:val="4C76404F"/>
    <w:rsid w:val="4D2C6E03"/>
    <w:rsid w:val="4D542DAB"/>
    <w:rsid w:val="4E300AC5"/>
    <w:rsid w:val="4E3C4E24"/>
    <w:rsid w:val="4EC70B92"/>
    <w:rsid w:val="512C2F2E"/>
    <w:rsid w:val="513242BC"/>
    <w:rsid w:val="52E579D6"/>
    <w:rsid w:val="552C5BF2"/>
    <w:rsid w:val="55C63EE6"/>
    <w:rsid w:val="570F5142"/>
    <w:rsid w:val="57560D05"/>
    <w:rsid w:val="5777D4F5"/>
    <w:rsid w:val="57D94F90"/>
    <w:rsid w:val="59743537"/>
    <w:rsid w:val="5AC93EE4"/>
    <w:rsid w:val="5B4F3FC2"/>
    <w:rsid w:val="5BCE70F9"/>
    <w:rsid w:val="5C6914DA"/>
    <w:rsid w:val="5D2E44D2"/>
    <w:rsid w:val="5DA84284"/>
    <w:rsid w:val="5DB1138B"/>
    <w:rsid w:val="5E026FEC"/>
    <w:rsid w:val="5FC6BB1E"/>
    <w:rsid w:val="5FF720F1"/>
    <w:rsid w:val="62865D5A"/>
    <w:rsid w:val="6311035E"/>
    <w:rsid w:val="63930AB7"/>
    <w:rsid w:val="63D556A7"/>
    <w:rsid w:val="643C1282"/>
    <w:rsid w:val="645753D4"/>
    <w:rsid w:val="6472739A"/>
    <w:rsid w:val="65B05FE0"/>
    <w:rsid w:val="660109D5"/>
    <w:rsid w:val="66C44176"/>
    <w:rsid w:val="6720463D"/>
    <w:rsid w:val="67586EB0"/>
    <w:rsid w:val="67717495"/>
    <w:rsid w:val="68273FF7"/>
    <w:rsid w:val="687C4343"/>
    <w:rsid w:val="6AB06526"/>
    <w:rsid w:val="6B142F59"/>
    <w:rsid w:val="6BD30F4C"/>
    <w:rsid w:val="6CED24B8"/>
    <w:rsid w:val="6D15603E"/>
    <w:rsid w:val="6D1D2BA3"/>
    <w:rsid w:val="6D340BE9"/>
    <w:rsid w:val="6D48513C"/>
    <w:rsid w:val="6E4E0530"/>
    <w:rsid w:val="6E785227"/>
    <w:rsid w:val="6FAF3250"/>
    <w:rsid w:val="71B615C9"/>
    <w:rsid w:val="71D979AB"/>
    <w:rsid w:val="72853156"/>
    <w:rsid w:val="72D57472"/>
    <w:rsid w:val="73653335"/>
    <w:rsid w:val="737D59BA"/>
    <w:rsid w:val="73922C6D"/>
    <w:rsid w:val="73D15FE7"/>
    <w:rsid w:val="743957DE"/>
    <w:rsid w:val="75063912"/>
    <w:rsid w:val="772C33D8"/>
    <w:rsid w:val="776B5ABC"/>
    <w:rsid w:val="776D2CE2"/>
    <w:rsid w:val="77C37683"/>
    <w:rsid w:val="78A05E2C"/>
    <w:rsid w:val="78B13B95"/>
    <w:rsid w:val="79764DDF"/>
    <w:rsid w:val="79FF515B"/>
    <w:rsid w:val="7C4D3A17"/>
    <w:rsid w:val="7CC145C3"/>
    <w:rsid w:val="7CC8382E"/>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4946</Words>
  <Characters>5540</Characters>
  <Lines>63</Lines>
  <Paragraphs>18</Paragraphs>
  <TotalTime>228</TotalTime>
  <ScaleCrop>false</ScaleCrop>
  <LinksUpToDate>false</LinksUpToDate>
  <CharactersWithSpaces>5607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ZZ</cp:lastModifiedBy>
  <cp:lastPrinted>2023-08-15T09:28:00Z</cp:lastPrinted>
  <dcterms:modified xsi:type="dcterms:W3CDTF">2025-10-13T03:50:43Z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661ABA64067A42B98A18CBAF8FC9F9FC_13</vt:lpwstr>
  </property>
  <property fmtid="{D5CDD505-2E9C-101B-9397-08002B2CF9AE}" pid="4" name="KSOTemplateDocerSaveRecord">
    <vt:lpwstr>eyJoZGlkIjoiOWVlMjdlMWJlYzUyMmRmMGFmNzNlN2U1MTU2Y2YxYzMifQ==</vt:lpwstr>
  </property>
</Properties>
</file>