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2C791">
      <w:pPr>
        <w:pStyle w:val="14"/>
        <w:jc w:val="center"/>
        <w:rPr>
          <w:rFonts w:ascii="微软雅黑" w:hAnsi="微软雅黑" w:eastAsia="微软雅黑" w:cs="微软雅黑"/>
          <w:sz w:val="56"/>
          <w:szCs w:val="56"/>
        </w:rPr>
      </w:pPr>
    </w:p>
    <w:p w14:paraId="07587E25">
      <w:pPr>
        <w:pStyle w:val="14"/>
        <w:jc w:val="center"/>
        <w:rPr>
          <w:rFonts w:ascii="微软雅黑" w:hAnsi="微软雅黑" w:eastAsia="微软雅黑" w:cs="微软雅黑"/>
          <w:sz w:val="56"/>
          <w:szCs w:val="56"/>
        </w:rPr>
      </w:pPr>
    </w:p>
    <w:p w14:paraId="535679EA">
      <w:pPr>
        <w:pStyle w:val="14"/>
        <w:jc w:val="center"/>
        <w:rPr>
          <w:rFonts w:ascii="微软雅黑" w:hAnsi="微软雅黑" w:eastAsia="微软雅黑" w:cs="微软雅黑"/>
          <w:sz w:val="84"/>
          <w:szCs w:val="84"/>
        </w:rPr>
      </w:pPr>
    </w:p>
    <w:p w14:paraId="2776BFC2">
      <w:pPr>
        <w:pStyle w:val="14"/>
        <w:jc w:val="center"/>
        <w:rPr>
          <w:rFonts w:ascii="微软雅黑" w:hAnsi="微软雅黑" w:eastAsia="微软雅黑" w:cs="微软雅黑"/>
          <w:sz w:val="84"/>
          <w:szCs w:val="84"/>
        </w:rPr>
      </w:pPr>
    </w:p>
    <w:p w14:paraId="79D01BC2">
      <w:pPr>
        <w:pStyle w:val="14"/>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5D122753">
      <w:pPr>
        <w:pStyle w:val="14"/>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岳阳县水运事务中心</w:t>
      </w:r>
      <w:r>
        <w:rPr>
          <w:rFonts w:ascii="微软雅黑" w:hAnsi="微软雅黑" w:eastAsia="微软雅黑" w:cs="微软雅黑"/>
          <w:b/>
          <w:sz w:val="84"/>
        </w:rPr>
        <w:t>部门（单位）部门决算</w:t>
      </w:r>
    </w:p>
    <w:p w14:paraId="232BC4FB">
      <w:pPr>
        <w:pStyle w:val="14"/>
        <w:jc w:val="center"/>
        <w:rPr>
          <w:rFonts w:ascii="微软雅黑" w:hAnsi="微软雅黑" w:eastAsia="微软雅黑" w:cs="微软雅黑"/>
          <w:sz w:val="84"/>
          <w:szCs w:val="84"/>
        </w:rPr>
      </w:pPr>
    </w:p>
    <w:p w14:paraId="53DBA8B3">
      <w:pPr>
        <w:pStyle w:val="14"/>
        <w:jc w:val="center"/>
        <w:rPr>
          <w:rFonts w:ascii="微软雅黑" w:hAnsi="微软雅黑" w:eastAsia="微软雅黑" w:cs="微软雅黑"/>
          <w:sz w:val="84"/>
          <w:szCs w:val="84"/>
        </w:rPr>
      </w:pPr>
    </w:p>
    <w:p w14:paraId="0BD75610">
      <w:pPr>
        <w:pStyle w:val="14"/>
        <w:jc w:val="center"/>
        <w:rPr>
          <w:rFonts w:ascii="微软雅黑" w:hAnsi="微软雅黑" w:eastAsia="微软雅黑" w:cs="微软雅黑"/>
          <w:sz w:val="84"/>
          <w:szCs w:val="84"/>
        </w:rPr>
      </w:pPr>
    </w:p>
    <w:p w14:paraId="32783159">
      <w:pPr>
        <w:pStyle w:val="14"/>
        <w:jc w:val="center"/>
        <w:rPr>
          <w:rFonts w:ascii="微软雅黑" w:hAnsi="微软雅黑" w:eastAsia="微软雅黑" w:cs="微软雅黑"/>
          <w:sz w:val="84"/>
          <w:szCs w:val="84"/>
        </w:rPr>
      </w:pPr>
    </w:p>
    <w:p w14:paraId="185B307E">
      <w:pPr>
        <w:rPr>
          <w:rFonts w:ascii="微软雅黑" w:hAnsi="微软雅黑" w:eastAsia="微软雅黑" w:cs="微软雅黑"/>
        </w:rPr>
      </w:pPr>
    </w:p>
    <w:p w14:paraId="4E359787">
      <w:pPr>
        <w:pStyle w:val="14"/>
        <w:spacing w:line="500" w:lineRule="exact"/>
        <w:jc w:val="center"/>
        <w:rPr>
          <w:rFonts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6AF0C250">
      <w:pPr>
        <w:pStyle w:val="14"/>
        <w:spacing w:line="500" w:lineRule="exact"/>
        <w:jc w:val="center"/>
        <w:rPr>
          <w:rFonts w:ascii="微软雅黑" w:hAnsi="微软雅黑" w:eastAsia="微软雅黑" w:cs="微软雅黑"/>
          <w:b/>
          <w:sz w:val="36"/>
          <w:szCs w:val="28"/>
        </w:rPr>
      </w:pPr>
    </w:p>
    <w:p w14:paraId="1EFFAA97">
      <w:pPr>
        <w:pStyle w:val="14"/>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第一部分 岳阳县水运事务中心部门（单位）概况</w:t>
      </w:r>
    </w:p>
    <w:p w14:paraId="194D54B6">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60B51B7A">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34A58E35">
      <w:pPr>
        <w:pStyle w:val="14"/>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第二部分 部门决算表</w:t>
      </w:r>
    </w:p>
    <w:p w14:paraId="1A89C6B6">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0C16B023">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53FDB023">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0AB17C8E">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22945B5B">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7CB5723B">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415C5B85">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AFF3916">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7400D18A">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34A531EE">
      <w:pPr>
        <w:pStyle w:val="14"/>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第三部分 部门决算情况说明</w:t>
      </w:r>
    </w:p>
    <w:p w14:paraId="41935CEE">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7E47831E">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5178CCE4">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544097D3">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004904B3">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76B08237">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5E515D0">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七、政府性基金预算收入支出决算情况</w:t>
      </w:r>
    </w:p>
    <w:p w14:paraId="68FCB250">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八、国有资本经营预算财政拨款支出决算情况</w:t>
      </w:r>
    </w:p>
    <w:p w14:paraId="58F10C63">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九、财政拨款三公经费支出决算情况说明</w:t>
      </w:r>
    </w:p>
    <w:p w14:paraId="22EFE9CE">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3B6530DC">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12BC079F">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0CA79276">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692CBE80">
      <w:pPr>
        <w:pStyle w:val="14"/>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十四、关于2024</w:t>
      </w:r>
      <w:r>
        <w:rPr>
          <w:rFonts w:ascii="微软雅黑" w:hAnsi="微软雅黑" w:eastAsia="微软雅黑" w:cs="微软雅黑"/>
          <w:sz w:val="28"/>
        </w:rPr>
        <w:t>年度</w:t>
      </w:r>
      <w:r>
        <w:rPr>
          <w:rFonts w:hint="eastAsia" w:ascii="微软雅黑" w:hAnsi="微软雅黑" w:eastAsia="微软雅黑" w:cs="微软雅黑"/>
          <w:sz w:val="28"/>
          <w:szCs w:val="28"/>
        </w:rPr>
        <w:t>绩效评价情况的说明</w:t>
      </w:r>
    </w:p>
    <w:p w14:paraId="6C064FB1">
      <w:pPr>
        <w:pStyle w:val="14"/>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第四部分 名词解释</w:t>
      </w:r>
    </w:p>
    <w:p w14:paraId="1230AE2D">
      <w:pPr>
        <w:pStyle w:val="14"/>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第五部分 附件</w:t>
      </w:r>
    </w:p>
    <w:p w14:paraId="39E61042">
      <w:pPr>
        <w:pStyle w:val="14"/>
        <w:spacing w:line="500" w:lineRule="exact"/>
        <w:rPr>
          <w:rFonts w:ascii="微软雅黑" w:hAnsi="微软雅黑" w:eastAsia="微软雅黑" w:cs="微软雅黑"/>
          <w:bCs/>
          <w:sz w:val="28"/>
          <w:szCs w:val="28"/>
        </w:rPr>
      </w:pPr>
      <w:r>
        <w:rPr>
          <w:rFonts w:hint="eastAsia" w:ascii="微软雅黑" w:hAnsi="微软雅黑" w:eastAsia="微软雅黑" w:cs="微软雅黑"/>
          <w:bCs/>
          <w:sz w:val="28"/>
          <w:szCs w:val="28"/>
        </w:rPr>
        <w:br w:type="page"/>
      </w:r>
    </w:p>
    <w:p w14:paraId="19FF930C">
      <w:pPr>
        <w:jc w:val="center"/>
        <w:rPr>
          <w:rFonts w:ascii="微软雅黑" w:hAnsi="微软雅黑" w:eastAsia="微软雅黑" w:cs="微软雅黑"/>
          <w:sz w:val="72"/>
          <w:szCs w:val="72"/>
        </w:rPr>
      </w:pPr>
    </w:p>
    <w:p w14:paraId="290FA534">
      <w:pPr>
        <w:jc w:val="center"/>
        <w:rPr>
          <w:rFonts w:ascii="微软雅黑" w:hAnsi="微软雅黑" w:eastAsia="微软雅黑" w:cs="微软雅黑"/>
          <w:sz w:val="72"/>
          <w:szCs w:val="72"/>
        </w:rPr>
      </w:pPr>
    </w:p>
    <w:p w14:paraId="2F9CE82C">
      <w:pPr>
        <w:jc w:val="center"/>
        <w:rPr>
          <w:rFonts w:ascii="微软雅黑" w:hAnsi="微软雅黑" w:eastAsia="微软雅黑" w:cs="微软雅黑"/>
          <w:sz w:val="72"/>
          <w:szCs w:val="72"/>
        </w:rPr>
      </w:pPr>
    </w:p>
    <w:p w14:paraId="30A35079">
      <w:pPr>
        <w:jc w:val="center"/>
        <w:rPr>
          <w:rFonts w:ascii="微软雅黑" w:hAnsi="微软雅黑" w:eastAsia="微软雅黑" w:cs="微软雅黑"/>
          <w:sz w:val="72"/>
          <w:szCs w:val="72"/>
        </w:rPr>
      </w:pPr>
    </w:p>
    <w:p w14:paraId="5691FE0F">
      <w:pPr>
        <w:pStyle w:val="14"/>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6718235E">
      <w:pPr>
        <w:pStyle w:val="14"/>
        <w:jc w:val="center"/>
        <w:rPr>
          <w:rFonts w:ascii="微软雅黑" w:hAnsi="微软雅黑" w:eastAsia="微软雅黑" w:cs="微软雅黑"/>
          <w:b/>
          <w:bCs/>
          <w:sz w:val="84"/>
          <w:szCs w:val="84"/>
        </w:rPr>
      </w:pPr>
    </w:p>
    <w:p w14:paraId="32750FD5">
      <w:pPr>
        <w:pStyle w:val="14"/>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岳阳县水运事务中心部门（单位）概况</w:t>
      </w:r>
    </w:p>
    <w:p w14:paraId="5D046B5B">
      <w:pPr>
        <w:jc w:val="center"/>
        <w:rPr>
          <w:rFonts w:ascii="微软雅黑" w:hAnsi="微软雅黑" w:eastAsia="微软雅黑" w:cs="微软雅黑"/>
          <w:sz w:val="72"/>
          <w:szCs w:val="72"/>
        </w:rPr>
      </w:pPr>
    </w:p>
    <w:p w14:paraId="3D55A4F4">
      <w:pPr>
        <w:jc w:val="center"/>
        <w:rPr>
          <w:rFonts w:ascii="微软雅黑" w:hAnsi="微软雅黑" w:eastAsia="微软雅黑" w:cs="微软雅黑"/>
          <w:sz w:val="72"/>
          <w:szCs w:val="72"/>
        </w:rPr>
      </w:pPr>
    </w:p>
    <w:p w14:paraId="07183135">
      <w:pPr>
        <w:jc w:val="center"/>
        <w:rPr>
          <w:rFonts w:ascii="微软雅黑" w:hAnsi="微软雅黑" w:eastAsia="微软雅黑" w:cs="微软雅黑"/>
          <w:sz w:val="72"/>
          <w:szCs w:val="72"/>
        </w:rPr>
      </w:pPr>
    </w:p>
    <w:p w14:paraId="7C2B7176">
      <w:pPr>
        <w:jc w:val="center"/>
        <w:rPr>
          <w:rFonts w:ascii="微软雅黑" w:hAnsi="微软雅黑" w:eastAsia="微软雅黑" w:cs="微软雅黑"/>
          <w:sz w:val="72"/>
          <w:szCs w:val="72"/>
        </w:rPr>
      </w:pPr>
    </w:p>
    <w:p w14:paraId="69B600EB">
      <w:pPr>
        <w:jc w:val="center"/>
        <w:rPr>
          <w:rFonts w:ascii="微软雅黑" w:hAnsi="微软雅黑" w:eastAsia="微软雅黑" w:cs="微软雅黑"/>
          <w:sz w:val="72"/>
          <w:szCs w:val="72"/>
        </w:rPr>
      </w:pPr>
    </w:p>
    <w:p w14:paraId="29FC929C">
      <w:pPr>
        <w:pStyle w:val="15"/>
        <w:ind w:firstLine="0" w:firstLineChars="0"/>
        <w:jc w:val="left"/>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一、部门职责</w:t>
      </w:r>
    </w:p>
    <w:p w14:paraId="414B7A13">
      <w:pPr>
        <w:widowControl/>
        <w:spacing w:line="600" w:lineRule="exact"/>
        <w:ind w:firstLine="640" w:firstLineChars="200"/>
        <w:rPr>
          <w:rFonts w:ascii="宋体" w:hAnsi="Times New Roman" w:cs="宋体"/>
          <w:sz w:val="32"/>
          <w:szCs w:val="32"/>
        </w:rPr>
      </w:pPr>
      <w:r>
        <w:rPr>
          <w:rFonts w:hint="eastAsia" w:ascii="微软雅黑" w:hAnsi="微软雅黑" w:eastAsia="微软雅黑" w:cs="微软雅黑"/>
          <w:color w:val="000000"/>
          <w:kern w:val="0"/>
          <w:sz w:val="32"/>
          <w:szCs w:val="32"/>
        </w:rPr>
        <w:t>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w:t>
      </w:r>
      <w:bookmarkStart w:id="0" w:name="_GoBack"/>
      <w:bookmarkEnd w:id="0"/>
      <w:r>
        <w:rPr>
          <w:rFonts w:hint="eastAsia" w:ascii="微软雅黑" w:hAnsi="微软雅黑" w:eastAsia="微软雅黑" w:cs="微软雅黑"/>
          <w:color w:val="000000"/>
          <w:kern w:val="0"/>
          <w:sz w:val="32"/>
          <w:szCs w:val="32"/>
        </w:rPr>
        <w:t>港口装卸、船舶修造市场实施行业管理，负责全县水路运输行政管理、港口行政管理，组织和协调辖区的战备军事运输和防汛抗灾工作等</w:t>
      </w:r>
      <w:r>
        <w:rPr>
          <w:rFonts w:hint="eastAsia" w:ascii="宋体" w:hAnsi="Times New Roman" w:cs="宋体"/>
          <w:sz w:val="32"/>
          <w:szCs w:val="32"/>
        </w:rPr>
        <w:t>。</w:t>
      </w:r>
    </w:p>
    <w:p w14:paraId="5F96232C">
      <w:pPr>
        <w:widowControl/>
        <w:spacing w:line="600" w:lineRule="exact"/>
        <w:ind w:firstLine="640" w:firstLineChars="200"/>
        <w:rPr>
          <w:rFonts w:ascii="宋体" w:hAnsi="Times New Roman" w:cs="宋体"/>
          <w:sz w:val="32"/>
          <w:szCs w:val="32"/>
        </w:rPr>
      </w:pPr>
    </w:p>
    <w:p w14:paraId="006BA6F8">
      <w:pPr>
        <w:widowControl/>
        <w:spacing w:line="600" w:lineRule="exact"/>
        <w:rPr>
          <w:rFonts w:ascii="微软雅黑" w:hAnsi="微软雅黑" w:eastAsia="微软雅黑" w:cs="微软雅黑"/>
          <w:b/>
          <w:kern w:val="0"/>
          <w:sz w:val="32"/>
          <w:szCs w:val="32"/>
        </w:rPr>
      </w:pPr>
      <w:r>
        <w:rPr>
          <w:rFonts w:hint="eastAsia" w:ascii="微软雅黑" w:hAnsi="微软雅黑" w:eastAsia="微软雅黑" w:cs="微软雅黑"/>
          <w:b/>
          <w:kern w:val="0"/>
          <w:sz w:val="32"/>
          <w:szCs w:val="32"/>
        </w:rPr>
        <w:t>二、机构设置及决算单位构成</w:t>
      </w:r>
    </w:p>
    <w:p w14:paraId="3358A355">
      <w:pPr>
        <w:widowControl/>
        <w:spacing w:line="600" w:lineRule="exact"/>
        <w:rPr>
          <w:rFonts w:ascii="微软雅黑" w:hAnsi="微软雅黑" w:eastAsia="微软雅黑" w:cs="微软雅黑"/>
          <w:b/>
          <w:kern w:val="0"/>
          <w:sz w:val="32"/>
          <w:szCs w:val="32"/>
        </w:rPr>
      </w:pPr>
    </w:p>
    <w:p w14:paraId="7173354F">
      <w:pPr>
        <w:autoSpaceDE w:val="0"/>
        <w:autoSpaceDN w:val="0"/>
        <w:adjustRightInd w:val="0"/>
        <w:ind w:firstLine="640"/>
        <w:rPr>
          <w:rFonts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 xml:space="preserve">（一）内设机构设置。   </w:t>
      </w:r>
    </w:p>
    <w:p w14:paraId="41BC4BF2">
      <w:pPr>
        <w:autoSpaceDE w:val="0"/>
        <w:autoSpaceDN w:val="0"/>
        <w:adjustRightInd w:val="0"/>
        <w:ind w:firstLine="640"/>
        <w:rPr>
          <w:rFonts w:ascii="宋体" w:hAnsi="Times New Roman" w:cs="宋体"/>
          <w:sz w:val="32"/>
          <w:szCs w:val="32"/>
          <w:lang w:val="zh-CN"/>
        </w:rPr>
      </w:pPr>
      <w:r>
        <w:rPr>
          <w:rFonts w:hint="eastAsia" w:ascii="微软雅黑" w:hAnsi="微软雅黑" w:eastAsia="微软雅黑" w:cs="微软雅黑"/>
          <w:color w:val="000000"/>
          <w:kern w:val="0"/>
          <w:sz w:val="32"/>
          <w:szCs w:val="32"/>
          <w:lang w:val="zh-CN"/>
        </w:rPr>
        <w:t>岳阳县水运事务中心单位内设机构包括：办公室、人事股、计财股、安全法制股、港口运输管理股共5个内设股室。</w:t>
      </w:r>
    </w:p>
    <w:p w14:paraId="323A2C3C">
      <w:pPr>
        <w:widowControl/>
        <w:spacing w:line="360" w:lineRule="auto"/>
        <w:ind w:firstLine="960" w:firstLineChars="300"/>
        <w:rPr>
          <w:rFonts w:ascii="微软雅黑" w:hAnsi="微软雅黑" w:eastAsia="微软雅黑" w:cs="微软雅黑"/>
          <w:bCs/>
          <w:kern w:val="0"/>
          <w:sz w:val="32"/>
          <w:szCs w:val="32"/>
        </w:rPr>
      </w:pPr>
    </w:p>
    <w:p w14:paraId="6778588E">
      <w:pPr>
        <w:numPr>
          <w:ilvl w:val="0"/>
          <w:numId w:val="1"/>
        </w:numPr>
        <w:autoSpaceDE w:val="0"/>
        <w:autoSpaceDN w:val="0"/>
        <w:adjustRightInd w:val="0"/>
        <w:ind w:firstLine="640"/>
        <w:rPr>
          <w:rFonts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决算单位构成。</w:t>
      </w:r>
    </w:p>
    <w:p w14:paraId="587F63CD">
      <w:pPr>
        <w:autoSpaceDE w:val="0"/>
        <w:autoSpaceDN w:val="0"/>
        <w:adjustRightInd w:val="0"/>
        <w:ind w:firstLine="640"/>
        <w:rPr>
          <w:rFonts w:ascii="微软雅黑" w:hAnsi="微软雅黑" w:eastAsia="微软雅黑" w:cs="微软雅黑"/>
          <w:color w:val="000000"/>
          <w:kern w:val="0"/>
          <w:sz w:val="32"/>
          <w:szCs w:val="32"/>
          <w:lang w:val="zh-CN"/>
        </w:rPr>
      </w:pPr>
      <w:r>
        <w:rPr>
          <w:rFonts w:hint="eastAsia" w:ascii="微软雅黑" w:hAnsi="微软雅黑" w:eastAsia="微软雅黑" w:cs="微软雅黑"/>
          <w:color w:val="000000"/>
          <w:kern w:val="0"/>
          <w:sz w:val="32"/>
          <w:szCs w:val="32"/>
          <w:lang w:val="zh-CN"/>
        </w:rPr>
        <w:t>岳阳县水运事务中心单位202</w:t>
      </w:r>
      <w:r>
        <w:rPr>
          <w:rFonts w:hint="eastAsia" w:ascii="微软雅黑" w:hAnsi="微软雅黑" w:eastAsia="微软雅黑" w:cs="微软雅黑"/>
          <w:color w:val="000000"/>
          <w:kern w:val="0"/>
          <w:sz w:val="32"/>
          <w:szCs w:val="32"/>
        </w:rPr>
        <w:t>4</w:t>
      </w:r>
      <w:r>
        <w:rPr>
          <w:rFonts w:hint="eastAsia" w:ascii="微软雅黑" w:hAnsi="微软雅黑" w:eastAsia="微软雅黑" w:cs="微软雅黑"/>
          <w:color w:val="000000"/>
          <w:kern w:val="0"/>
          <w:sz w:val="32"/>
          <w:szCs w:val="32"/>
          <w:lang w:val="zh-CN"/>
        </w:rPr>
        <w:t>年部门决算汇总公开单位构成包括：机关本级决算,本单位没有所属独立预算和独立核算的二级机构，因此本年度部门决算仅为本级部门决算。</w:t>
      </w:r>
    </w:p>
    <w:p w14:paraId="6432ADE0">
      <w:pPr>
        <w:jc w:val="center"/>
        <w:rPr>
          <w:rFonts w:ascii="微软雅黑" w:hAnsi="微软雅黑" w:eastAsia="微软雅黑" w:cs="微软雅黑"/>
          <w:sz w:val="72"/>
          <w:szCs w:val="72"/>
        </w:rPr>
      </w:pPr>
    </w:p>
    <w:p w14:paraId="28F1B601">
      <w:pPr>
        <w:jc w:val="center"/>
        <w:rPr>
          <w:rFonts w:ascii="微软雅黑" w:hAnsi="微软雅黑" w:eastAsia="微软雅黑" w:cs="微软雅黑"/>
          <w:sz w:val="72"/>
          <w:szCs w:val="72"/>
        </w:rPr>
      </w:pPr>
    </w:p>
    <w:p w14:paraId="7CF41512">
      <w:pPr>
        <w:jc w:val="center"/>
        <w:rPr>
          <w:rFonts w:ascii="微软雅黑" w:hAnsi="微软雅黑" w:eastAsia="微软雅黑" w:cs="微软雅黑"/>
          <w:sz w:val="72"/>
          <w:szCs w:val="72"/>
        </w:rPr>
      </w:pPr>
    </w:p>
    <w:p w14:paraId="14617856">
      <w:pPr>
        <w:pStyle w:val="14"/>
        <w:jc w:val="center"/>
        <w:rPr>
          <w:rFonts w:ascii="微软雅黑" w:hAnsi="微软雅黑" w:eastAsia="微软雅黑" w:cs="微软雅黑"/>
          <w:sz w:val="84"/>
          <w:szCs w:val="84"/>
        </w:rPr>
      </w:pPr>
    </w:p>
    <w:p w14:paraId="207C3C01">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75E43983">
      <w:pPr>
        <w:pStyle w:val="14"/>
        <w:jc w:val="center"/>
        <w:rPr>
          <w:rFonts w:ascii="微软雅黑" w:hAnsi="微软雅黑" w:eastAsia="微软雅黑" w:cs="微软雅黑"/>
          <w:b/>
          <w:bCs/>
          <w:sz w:val="72"/>
          <w:szCs w:val="72"/>
        </w:rPr>
      </w:pPr>
    </w:p>
    <w:p w14:paraId="5AD5DF78">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08A5316D">
      <w:pPr>
        <w:jc w:val="center"/>
        <w:rPr>
          <w:rFonts w:ascii="微软雅黑" w:hAnsi="微软雅黑" w:eastAsia="微软雅黑" w:cs="微软雅黑"/>
          <w:b/>
          <w:bCs/>
          <w:sz w:val="72"/>
          <w:szCs w:val="72"/>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rPr>
        <w:t>（见附件）</w:t>
      </w:r>
    </w:p>
    <w:p w14:paraId="0F6FFFB6">
      <w:pPr>
        <w:pStyle w:val="14"/>
        <w:jc w:val="center"/>
        <w:rPr>
          <w:rFonts w:ascii="微软雅黑" w:hAnsi="微软雅黑" w:eastAsia="微软雅黑" w:cs="微软雅黑"/>
          <w:sz w:val="72"/>
          <w:szCs w:val="72"/>
        </w:rPr>
      </w:pPr>
    </w:p>
    <w:p w14:paraId="06785F89">
      <w:pPr>
        <w:pStyle w:val="14"/>
        <w:jc w:val="center"/>
        <w:rPr>
          <w:rFonts w:ascii="微软雅黑" w:hAnsi="微软雅黑" w:eastAsia="微软雅黑" w:cs="微软雅黑"/>
          <w:sz w:val="72"/>
          <w:szCs w:val="72"/>
        </w:rPr>
      </w:pPr>
    </w:p>
    <w:p w14:paraId="1B03F663">
      <w:pPr>
        <w:pStyle w:val="14"/>
        <w:jc w:val="center"/>
        <w:rPr>
          <w:rFonts w:ascii="微软雅黑" w:hAnsi="微软雅黑" w:eastAsia="微软雅黑" w:cs="微软雅黑"/>
          <w:sz w:val="72"/>
          <w:szCs w:val="72"/>
        </w:rPr>
      </w:pPr>
    </w:p>
    <w:p w14:paraId="7EB353C9">
      <w:pPr>
        <w:pStyle w:val="14"/>
        <w:jc w:val="center"/>
        <w:rPr>
          <w:rFonts w:ascii="微软雅黑" w:hAnsi="微软雅黑" w:eastAsia="微软雅黑" w:cs="微软雅黑"/>
          <w:sz w:val="72"/>
          <w:szCs w:val="72"/>
        </w:rPr>
      </w:pPr>
    </w:p>
    <w:p w14:paraId="4E1A0D85">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409274F">
      <w:pPr>
        <w:pStyle w:val="14"/>
        <w:jc w:val="center"/>
        <w:rPr>
          <w:rFonts w:ascii="微软雅黑" w:hAnsi="微软雅黑" w:eastAsia="微软雅黑" w:cs="微软雅黑"/>
          <w:b/>
          <w:bCs/>
          <w:sz w:val="70"/>
          <w:szCs w:val="70"/>
        </w:rPr>
      </w:pPr>
    </w:p>
    <w:p w14:paraId="3576E86F">
      <w:pPr>
        <w:pStyle w:val="14"/>
        <w:jc w:val="center"/>
        <w:rPr>
          <w:rFonts w:ascii="微软雅黑" w:hAnsi="微软雅黑" w:eastAsia="微软雅黑" w:cs="微软雅黑"/>
          <w:sz w:val="70"/>
          <w:szCs w:val="70"/>
        </w:rPr>
      </w:pPr>
      <w:r>
        <w:rPr>
          <w:rFonts w:hint="eastAsia" w:ascii="微软雅黑" w:hAnsi="微软雅黑" w:eastAsia="微软雅黑" w:cs="微软雅黑"/>
          <w:b/>
          <w:bCs/>
          <w:sz w:val="70"/>
          <w:szCs w:val="70"/>
        </w:rPr>
        <w:t>2024年度部门决算情况说明</w:t>
      </w:r>
    </w:p>
    <w:p w14:paraId="4F7E9E5C">
      <w:pPr>
        <w:pStyle w:val="14"/>
        <w:jc w:val="center"/>
        <w:rPr>
          <w:rFonts w:ascii="微软雅黑" w:hAnsi="微软雅黑" w:eastAsia="微软雅黑" w:cs="微软雅黑"/>
          <w:sz w:val="70"/>
          <w:szCs w:val="70"/>
        </w:rPr>
      </w:pPr>
    </w:p>
    <w:p w14:paraId="001ECBFD">
      <w:pPr>
        <w:pStyle w:val="14"/>
        <w:jc w:val="center"/>
        <w:rPr>
          <w:rFonts w:ascii="微软雅黑" w:hAnsi="微软雅黑" w:eastAsia="微软雅黑" w:cs="微软雅黑"/>
          <w:sz w:val="70"/>
          <w:szCs w:val="70"/>
        </w:rPr>
      </w:pPr>
    </w:p>
    <w:p w14:paraId="5C46391D">
      <w:pPr>
        <w:pStyle w:val="14"/>
        <w:jc w:val="center"/>
        <w:rPr>
          <w:rFonts w:ascii="微软雅黑" w:hAnsi="微软雅黑" w:eastAsia="微软雅黑" w:cs="微软雅黑"/>
          <w:sz w:val="70"/>
          <w:szCs w:val="70"/>
        </w:rPr>
      </w:pPr>
    </w:p>
    <w:p w14:paraId="0A610CE5">
      <w:pPr>
        <w:pStyle w:val="14"/>
        <w:jc w:val="center"/>
        <w:rPr>
          <w:rFonts w:ascii="微软雅黑" w:hAnsi="微软雅黑" w:eastAsia="微软雅黑" w:cs="微软雅黑"/>
          <w:sz w:val="70"/>
          <w:szCs w:val="70"/>
        </w:rPr>
      </w:pPr>
    </w:p>
    <w:p w14:paraId="237F59EB">
      <w:pPr>
        <w:pStyle w:val="14"/>
        <w:jc w:val="center"/>
        <w:rPr>
          <w:rFonts w:ascii="微软雅黑" w:hAnsi="微软雅黑" w:eastAsia="微软雅黑" w:cs="微软雅黑"/>
          <w:sz w:val="70"/>
          <w:szCs w:val="70"/>
        </w:rPr>
      </w:pPr>
    </w:p>
    <w:p w14:paraId="62FC79E8">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一、收入支出决算总体情况说明</w:t>
      </w:r>
    </w:p>
    <w:p w14:paraId="76678669">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2024年度收、支总计</w:t>
      </w:r>
      <w:r>
        <w:rPr>
          <w:rFonts w:ascii="微软雅黑" w:hAnsi="微软雅黑" w:eastAsia="微软雅黑" w:cs="微软雅黑"/>
          <w:sz w:val="32"/>
        </w:rPr>
        <w:t>1548.29万元。与上年</w:t>
      </w:r>
      <w:r>
        <w:rPr>
          <w:rFonts w:hint="eastAsia" w:ascii="微软雅黑" w:hAnsi="微软雅黑" w:eastAsia="微软雅黑" w:cs="微软雅黑"/>
          <w:sz w:val="32"/>
          <w:szCs w:val="32"/>
        </w:rPr>
        <w:t>相比，增加462.26</w:t>
      </w:r>
      <w:r>
        <w:rPr>
          <w:rFonts w:ascii="微软雅黑" w:hAnsi="微软雅黑" w:eastAsia="微软雅黑" w:cs="微软雅黑"/>
          <w:sz w:val="32"/>
        </w:rPr>
        <w:t>万元，</w:t>
      </w:r>
      <w:r>
        <w:rPr>
          <w:rFonts w:hint="eastAsia" w:ascii="微软雅黑" w:hAnsi="微软雅黑" w:eastAsia="微软雅黑" w:cs="微软雅黑"/>
          <w:sz w:val="32"/>
          <w:szCs w:val="32"/>
        </w:rPr>
        <w:t>增加</w:t>
      </w:r>
      <w:r>
        <w:rPr>
          <w:rFonts w:hint="eastAsia" w:ascii="微软雅黑" w:hAnsi="微软雅黑" w:eastAsia="微软雅黑" w:cs="微软雅黑"/>
          <w:sz w:val="32"/>
        </w:rPr>
        <w:t>42.56</w:t>
      </w:r>
      <w:r>
        <w:rPr>
          <w:rFonts w:ascii="微软雅黑" w:hAnsi="微软雅黑" w:eastAsia="微软雅黑" w:cs="微软雅黑"/>
          <w:sz w:val="32"/>
        </w:rPr>
        <w:t>%，主要是因为</w:t>
      </w:r>
      <w:r>
        <w:rPr>
          <w:rFonts w:hint="eastAsia" w:ascii="微软雅黑" w:hAnsi="微软雅黑" w:eastAsia="微软雅黑" w:cs="微软雅黑"/>
          <w:sz w:val="32"/>
          <w:szCs w:val="32"/>
        </w:rPr>
        <w:t>财政年中根据我单位实际业务活动情况追加了部分预算指标。</w:t>
      </w:r>
    </w:p>
    <w:p w14:paraId="18807015">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二、收入决算情况说明</w:t>
      </w:r>
    </w:p>
    <w:p w14:paraId="0CA5F2C9">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rPr>
        <w:t>1,548.29万元，其中：财政拨款收入</w:t>
      </w:r>
      <w:r>
        <w:rPr>
          <w:rFonts w:ascii="微软雅黑" w:hAnsi="微软雅黑" w:eastAsia="微软雅黑" w:cs="微软雅黑"/>
          <w:sz w:val="32"/>
        </w:rPr>
        <w:t>1101.80</w:t>
      </w:r>
      <w:r>
        <w:rPr>
          <w:rFonts w:hint="eastAsia" w:ascii="微软雅黑" w:hAnsi="微软雅黑" w:eastAsia="微软雅黑" w:cs="微软雅黑"/>
          <w:sz w:val="32"/>
          <w:szCs w:val="32"/>
        </w:rPr>
        <w:t>万元，占71.16%；上级补助收入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%；其他收入</w:t>
      </w:r>
      <w:r>
        <w:rPr>
          <w:rFonts w:ascii="微软雅黑" w:hAnsi="微软雅黑" w:eastAsia="微软雅黑" w:cs="微软雅黑"/>
          <w:sz w:val="32"/>
        </w:rPr>
        <w:t>446.49万元，占</w:t>
      </w:r>
      <w:r>
        <w:rPr>
          <w:rFonts w:hint="eastAsia" w:ascii="微软雅黑" w:hAnsi="微软雅黑" w:eastAsia="微软雅黑" w:cs="微软雅黑"/>
          <w:sz w:val="32"/>
          <w:szCs w:val="32"/>
        </w:rPr>
        <w:t>28.84%。</w:t>
      </w:r>
    </w:p>
    <w:p w14:paraId="717E99F4">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三、支出决算情况说明</w:t>
      </w:r>
    </w:p>
    <w:p w14:paraId="6984518D">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年度支出合计1,349.57万元，其中：基本支出496.17万元，占36.76%；项目支出853.40万元，占63.24%；上缴上级支出0万元，占0%；经营支出0万元，占0%；对附属单位补助支出0万元，占0%。</w:t>
      </w:r>
    </w:p>
    <w:p w14:paraId="3361935B">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四、财政拨款收入支出决算总体情况说明</w:t>
      </w:r>
    </w:p>
    <w:p w14:paraId="24D8FBD2">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 xml:space="preserve">    2024</w:t>
      </w:r>
      <w:r>
        <w:rPr>
          <w:rFonts w:ascii="微软雅黑" w:hAnsi="微软雅黑" w:eastAsia="微软雅黑" w:cs="微软雅黑"/>
          <w:sz w:val="32"/>
        </w:rPr>
        <w:t>年度财政拨款收、支总计1,101.80万元，与上年相比，增长165.97万元,增长17.74%，主要是因为</w:t>
      </w:r>
      <w:r>
        <w:rPr>
          <w:rFonts w:hint="eastAsia" w:ascii="微软雅黑" w:hAnsi="微软雅黑" w:eastAsia="微软雅黑" w:cs="微软雅黑"/>
          <w:sz w:val="32"/>
          <w:szCs w:val="32"/>
        </w:rPr>
        <w:t>财政年中根据我单位实际业务活动情况追加了部分预算指标。</w:t>
      </w:r>
    </w:p>
    <w:p w14:paraId="5B5A1E4A">
      <w:pPr>
        <w:pStyle w:val="14"/>
        <w:spacing w:line="600" w:lineRule="exact"/>
        <w:ind w:firstLine="640" w:firstLineChars="200"/>
        <w:rPr>
          <w:rFonts w:ascii="微软雅黑" w:hAnsi="微软雅黑" w:eastAsia="微软雅黑" w:cs="微软雅黑"/>
          <w:bCs/>
          <w:sz w:val="32"/>
          <w:szCs w:val="32"/>
        </w:rPr>
      </w:pPr>
      <w:r>
        <w:rPr>
          <w:rFonts w:hint="eastAsia" w:ascii="微软雅黑" w:hAnsi="微软雅黑" w:eastAsia="微软雅黑" w:cs="微软雅黑"/>
          <w:b/>
          <w:sz w:val="32"/>
          <w:szCs w:val="32"/>
        </w:rPr>
        <w:t>五、一般公共预算财政拨款支出决算情况说明</w:t>
      </w:r>
    </w:p>
    <w:p w14:paraId="0146CE99">
      <w:pPr>
        <w:pStyle w:val="14"/>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（一）财政拨款支出决算总体情况</w:t>
      </w:r>
    </w:p>
    <w:p w14:paraId="230012C8">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年度财政拨款支出1,094.60万元，占本年支出合计的81.11</w:t>
      </w:r>
      <w:r>
        <w:rPr>
          <w:rFonts w:hint="eastAsia" w:ascii="微软雅黑" w:hAnsi="微软雅黑" w:eastAsia="微软雅黑" w:cs="微软雅黑"/>
          <w:sz w:val="32"/>
          <w:szCs w:val="32"/>
        </w:rPr>
        <w:t>%，与上年相比，财政拨款支出</w:t>
      </w:r>
      <w:r>
        <w:rPr>
          <w:rFonts w:ascii="微软雅黑" w:hAnsi="微软雅黑" w:eastAsia="微软雅黑" w:cs="微软雅黑"/>
          <w:sz w:val="32"/>
        </w:rPr>
        <w:t>增长199.97万元，增长22.35%，主要是因为</w:t>
      </w:r>
      <w:r>
        <w:rPr>
          <w:rFonts w:hint="eastAsia" w:ascii="微软雅黑" w:hAnsi="微软雅黑" w:eastAsia="微软雅黑" w:cs="微软雅黑"/>
          <w:sz w:val="32"/>
          <w:szCs w:val="32"/>
        </w:rPr>
        <w:t>财政年中根据我单位实际业务活动情况追加了部分预算指标。</w:t>
      </w:r>
    </w:p>
    <w:p w14:paraId="10266996">
      <w:pPr>
        <w:pStyle w:val="14"/>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（二）财政拨款支出决算结构情况</w:t>
      </w:r>
    </w:p>
    <w:p w14:paraId="264B83D0">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年度财政拨款支出1,094.60万元，主要用于以下方面：</w:t>
      </w:r>
      <w:r>
        <w:rPr>
          <w:rFonts w:hint="eastAsia" w:ascii="微软雅黑" w:hAnsi="微软雅黑" w:eastAsia="微软雅黑" w:cs="微软雅黑"/>
          <w:sz w:val="32"/>
        </w:rPr>
        <w:t>社会保障和就业支出（类）33.53</w:t>
      </w:r>
      <w:r>
        <w:rPr>
          <w:rFonts w:hint="eastAsia" w:ascii="微软雅黑" w:hAnsi="微软雅黑" w:eastAsia="微软雅黑" w:cs="微软雅黑"/>
          <w:sz w:val="32"/>
          <w:szCs w:val="32"/>
        </w:rPr>
        <w:t>万元，占比</w:t>
      </w:r>
      <w:r>
        <w:rPr>
          <w:rFonts w:hint="eastAsia" w:ascii="微软雅黑" w:hAnsi="微软雅黑" w:eastAsia="微软雅黑" w:cs="微软雅黑"/>
          <w:sz w:val="32"/>
        </w:rPr>
        <w:t>3.06</w:t>
      </w:r>
      <w:r>
        <w:rPr>
          <w:rFonts w:hint="eastAsia" w:ascii="微软雅黑" w:hAnsi="微软雅黑" w:eastAsia="微软雅黑" w:cs="微软雅黑"/>
          <w:sz w:val="32"/>
          <w:szCs w:val="32"/>
        </w:rPr>
        <w:t>%；</w:t>
      </w:r>
      <w:r>
        <w:rPr>
          <w:rFonts w:hint="eastAsia" w:ascii="微软雅黑" w:hAnsi="微软雅黑" w:eastAsia="微软雅黑" w:cs="微软雅黑"/>
          <w:sz w:val="32"/>
        </w:rPr>
        <w:t>教育支出（类）19.27万元</w:t>
      </w:r>
      <w:r>
        <w:rPr>
          <w:rFonts w:hint="eastAsia" w:ascii="微软雅黑" w:hAnsi="微软雅黑" w:eastAsia="微软雅黑" w:cs="微软雅黑"/>
          <w:sz w:val="32"/>
          <w:szCs w:val="32"/>
        </w:rPr>
        <w:t>，占比</w:t>
      </w:r>
      <w:r>
        <w:rPr>
          <w:rFonts w:hint="eastAsia" w:ascii="微软雅黑" w:hAnsi="微软雅黑" w:eastAsia="微软雅黑" w:cs="微软雅黑"/>
          <w:sz w:val="32"/>
        </w:rPr>
        <w:t>1.76</w:t>
      </w:r>
      <w:r>
        <w:rPr>
          <w:rFonts w:hint="eastAsia" w:ascii="微软雅黑" w:hAnsi="微软雅黑" w:eastAsia="微软雅黑" w:cs="微软雅黑"/>
          <w:sz w:val="32"/>
          <w:szCs w:val="32"/>
        </w:rPr>
        <w:t>%</w:t>
      </w:r>
      <w:r>
        <w:rPr>
          <w:rFonts w:hint="eastAsia" w:ascii="微软雅黑" w:hAnsi="微软雅黑" w:eastAsia="微软雅黑" w:cs="微软雅黑"/>
          <w:sz w:val="32"/>
        </w:rPr>
        <w:t>;</w:t>
      </w:r>
      <w:r>
        <w:rPr>
          <w:rFonts w:hint="eastAsia" w:ascii="微软雅黑" w:hAnsi="微软雅黑" w:eastAsia="微软雅黑" w:cs="微软雅黑"/>
          <w:sz w:val="32"/>
          <w:szCs w:val="32"/>
        </w:rPr>
        <w:t>卫生健康支出</w:t>
      </w:r>
      <w:r>
        <w:rPr>
          <w:rFonts w:hint="eastAsia" w:ascii="微软雅黑" w:hAnsi="微软雅黑" w:eastAsia="微软雅黑" w:cs="微软雅黑"/>
          <w:sz w:val="32"/>
        </w:rPr>
        <w:t>（类）18.74</w:t>
      </w:r>
      <w:r>
        <w:rPr>
          <w:rFonts w:hint="eastAsia" w:ascii="微软雅黑" w:hAnsi="微软雅黑" w:eastAsia="微软雅黑" w:cs="微软雅黑"/>
          <w:sz w:val="32"/>
          <w:szCs w:val="32"/>
        </w:rPr>
        <w:t>万元，占</w:t>
      </w:r>
      <w:r>
        <w:rPr>
          <w:rFonts w:hint="eastAsia" w:ascii="微软雅黑" w:hAnsi="微软雅黑" w:eastAsia="微软雅黑" w:cs="微软雅黑"/>
          <w:sz w:val="32"/>
        </w:rPr>
        <w:t>1.71</w:t>
      </w:r>
      <w:r>
        <w:rPr>
          <w:rFonts w:hint="eastAsia" w:ascii="微软雅黑" w:hAnsi="微软雅黑" w:eastAsia="微软雅黑" w:cs="微软雅黑"/>
          <w:sz w:val="32"/>
          <w:szCs w:val="32"/>
        </w:rPr>
        <w:t>%;节能环保支出</w:t>
      </w:r>
      <w:r>
        <w:rPr>
          <w:rFonts w:hint="eastAsia" w:ascii="微软雅黑" w:hAnsi="微软雅黑" w:eastAsia="微软雅黑" w:cs="微软雅黑"/>
          <w:sz w:val="32"/>
        </w:rPr>
        <w:t>（类）134.3万元，占12.27</w:t>
      </w:r>
      <w:r>
        <w:rPr>
          <w:rFonts w:hint="eastAsia" w:ascii="微软雅黑" w:hAnsi="微软雅黑" w:eastAsia="微软雅黑" w:cs="微软雅黑"/>
          <w:sz w:val="32"/>
          <w:szCs w:val="32"/>
        </w:rPr>
        <w:t>%；交通运输支出（类）865.53万元，占79.07%；住房保障支出（类）23.25万元，占2.12%。</w:t>
      </w:r>
    </w:p>
    <w:p w14:paraId="2EEFC48A">
      <w:pPr>
        <w:pStyle w:val="14"/>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（三）财政拨款支出决算具体情况</w:t>
      </w:r>
    </w:p>
    <w:p w14:paraId="52B55D14">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年度财政拨款支出年初预算数为859.78万元，支出决算数为1,094.60</w:t>
      </w:r>
      <w:r>
        <w:rPr>
          <w:rFonts w:hint="eastAsia" w:ascii="微软雅黑" w:hAnsi="微软雅黑" w:eastAsia="微软雅黑" w:cs="微软雅黑"/>
          <w:sz w:val="32"/>
          <w:szCs w:val="32"/>
        </w:rPr>
        <w:t>万元，完成年初预算的</w:t>
      </w:r>
      <w:r>
        <w:rPr>
          <w:rFonts w:ascii="微软雅黑" w:hAnsi="微软雅黑" w:eastAsia="微软雅黑" w:cs="微软雅黑"/>
          <w:sz w:val="32"/>
        </w:rPr>
        <w:t>127.31</w:t>
      </w:r>
      <w:r>
        <w:rPr>
          <w:rFonts w:hint="eastAsia" w:ascii="微软雅黑" w:hAnsi="微软雅黑" w:eastAsia="微软雅黑" w:cs="微软雅黑"/>
          <w:sz w:val="32"/>
          <w:szCs w:val="32"/>
        </w:rPr>
        <w:t>%，其中：</w:t>
      </w:r>
    </w:p>
    <w:p w14:paraId="203006EA">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1、社会保障和就业（类）行政事业单位养老（款）机关事业单位基本养老保险缴费（项）。</w:t>
      </w:r>
    </w:p>
    <w:p w14:paraId="390BAED7">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年初预算为31.55万元，支出决算为31.55万元，完成年初预算的100%。决算数与预算数一致，我单位严格按预算执行决算。</w:t>
      </w:r>
    </w:p>
    <w:p w14:paraId="2FC26BBB">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2、社会保障和就业（类）行政事业单位养老（款）其他社会保障和就业支出（项）。</w:t>
      </w:r>
    </w:p>
    <w:p w14:paraId="73E63549">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年初预算为1.97万元，支出决算为1.97万元，完成年初预算的100%。决算数与预算数一致，我单位严格按预算执行决算。</w:t>
      </w:r>
    </w:p>
    <w:p w14:paraId="6A6C0BBC">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3、卫生健康（类）行政事业单位医疗（款）事业单位医疗（项）。</w:t>
      </w:r>
    </w:p>
    <w:p w14:paraId="57513712">
      <w:pPr>
        <w:pStyle w:val="14"/>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年初预算为16.76万元，支出决算为16.76万元，完成年初预算的100%。决算数与预算数一致，我单位严格按预算执行决算。</w:t>
      </w:r>
    </w:p>
    <w:p w14:paraId="1540C6C1">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4、卫生健康（类）行政事业单位医疗（款）公务员医疗补助（项）。</w:t>
      </w:r>
    </w:p>
    <w:p w14:paraId="5C403D7F">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年初预算为1.97万元，支出决算为1.97万元，完成年初预算的100%。决算数与预算数一致，我单位严格按预算执行决算。</w:t>
      </w:r>
    </w:p>
    <w:p w14:paraId="2A0EE65E">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5、节能环保（类）污染防治（款）水体（项）。</w:t>
      </w:r>
    </w:p>
    <w:p w14:paraId="5F7AFAA3">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年初预算为0.00万元，支出决算为134.30万元，因年初预算数为零，无法计算预算完成率，决算数大于预算数的主要原因是财政年中根据我单位业务活动情况追加了部分预算指标。</w:t>
      </w:r>
    </w:p>
    <w:p w14:paraId="1B96977F">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6、交通运输（类）公路水路运输（款）行政运行（项）。</w:t>
      </w:r>
    </w:p>
    <w:p w14:paraId="7F4228ED">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年初预算为220万元，支出决算为275.16万元，完成年初预算的125.07%。决算数大于预算数的主要原因是财政年中根据我单位业务活动情况追加了部分预算指标。。</w:t>
      </w:r>
    </w:p>
    <w:p w14:paraId="64A1233A">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7、交通运输（类）公路水路运输（款）航道维护（项）。</w:t>
      </w:r>
    </w:p>
    <w:p w14:paraId="2840CB16">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年初预算为473.87万元，支出决算为499.96万元，完成年初预算的105.51%。决算数大于预算数的主要原因是财政年中根据我单位业务活动情况追加了部分预算指标。</w:t>
      </w:r>
    </w:p>
    <w:p w14:paraId="0868ACF4">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8</w:t>
      </w:r>
      <w:r>
        <w:rPr>
          <w:rFonts w:ascii="微软雅黑" w:hAnsi="微软雅黑" w:eastAsia="微软雅黑" w:cs="微软雅黑"/>
          <w:sz w:val="32"/>
          <w:szCs w:val="32"/>
        </w:rPr>
        <w:t>、</w:t>
      </w:r>
      <w:r>
        <w:rPr>
          <w:rFonts w:hint="eastAsia" w:ascii="微软雅黑" w:hAnsi="微软雅黑" w:eastAsia="微软雅黑" w:cs="微软雅黑"/>
          <w:sz w:val="32"/>
          <w:szCs w:val="32"/>
        </w:rPr>
        <w:t>交通运输（类）公路水路运输（款）其他公路水路运输支出（项）。</w:t>
      </w:r>
    </w:p>
    <w:p w14:paraId="0439DA50">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年初预算为81万元，支出决算为81万元，完成年初预算的100%。决算数与预算数一致，我单位严格按预算执行决算。</w:t>
      </w:r>
    </w:p>
    <w:p w14:paraId="46E637EF">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9</w:t>
      </w:r>
      <w:r>
        <w:rPr>
          <w:rFonts w:ascii="微软雅黑" w:hAnsi="微软雅黑" w:eastAsia="微软雅黑" w:cs="微软雅黑"/>
          <w:sz w:val="32"/>
          <w:szCs w:val="32"/>
        </w:rPr>
        <w:t>、</w:t>
      </w:r>
      <w:r>
        <w:rPr>
          <w:rFonts w:hint="eastAsia" w:ascii="微软雅黑" w:hAnsi="微软雅黑" w:eastAsia="微软雅黑" w:cs="微软雅黑"/>
          <w:sz w:val="32"/>
          <w:szCs w:val="32"/>
        </w:rPr>
        <w:t>交通运输（类）其他</w:t>
      </w:r>
      <w:r>
        <w:rPr>
          <w:rFonts w:ascii="微软雅黑" w:hAnsi="微软雅黑" w:eastAsia="微软雅黑" w:cs="微软雅黑"/>
          <w:sz w:val="32"/>
          <w:szCs w:val="32"/>
        </w:rPr>
        <w:t>交通</w:t>
      </w:r>
      <w:r>
        <w:rPr>
          <w:rFonts w:hint="eastAsia" w:ascii="微软雅黑" w:hAnsi="微软雅黑" w:eastAsia="微软雅黑" w:cs="微软雅黑"/>
          <w:sz w:val="32"/>
          <w:szCs w:val="32"/>
        </w:rPr>
        <w:t>运输（款）其他</w:t>
      </w:r>
      <w:r>
        <w:rPr>
          <w:rFonts w:ascii="微软雅黑" w:hAnsi="微软雅黑" w:eastAsia="微软雅黑" w:cs="微软雅黑"/>
          <w:sz w:val="32"/>
          <w:szCs w:val="32"/>
        </w:rPr>
        <w:t>交通</w:t>
      </w:r>
      <w:r>
        <w:rPr>
          <w:rFonts w:hint="eastAsia" w:ascii="微软雅黑" w:hAnsi="微软雅黑" w:eastAsia="微软雅黑" w:cs="微软雅黑"/>
          <w:sz w:val="32"/>
          <w:szCs w:val="32"/>
        </w:rPr>
        <w:t>运输支出（项）。</w:t>
      </w:r>
    </w:p>
    <w:p w14:paraId="53377A5A">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年初预算为9.40万元，支出决算为9.40万元，完成年初预算的100%。决算数与预算数一致，我单位严格按预算执行决算。</w:t>
      </w:r>
    </w:p>
    <w:p w14:paraId="4296A816">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10、教育支出（类）普通教育（款）其他普通教育支出（项）。</w:t>
      </w:r>
    </w:p>
    <w:p w14:paraId="05A182DD">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年初预算为0万元，支出决算为19.27万元，完成年初预算的0%，决算数大于预算数的主要原因是财政年中根据我单位业务活动情况追加了部分预算指标。</w:t>
      </w:r>
    </w:p>
    <w:p w14:paraId="1D2C9786">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11、住房保障（类）住房改革（款）住房公积金（项）。</w:t>
      </w:r>
    </w:p>
    <w:p w14:paraId="1EBFB35A">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年初预算为23.25万元，支出决算为23.25万元，完成年初预算的100%。决算数与预算数一致，我单位严格按预算执行决算。</w:t>
      </w:r>
    </w:p>
    <w:p w14:paraId="6DCECAAC">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六、一般公共预算财政拨款基本支出决算情况说明</w:t>
      </w:r>
    </w:p>
    <w:p w14:paraId="2D2347F5">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年度财政拨款基本支出386.94万元，其中：</w:t>
      </w:r>
    </w:p>
    <w:p w14:paraId="624DB588">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人员经费</w:t>
      </w:r>
      <w:r>
        <w:rPr>
          <w:rFonts w:ascii="微软雅黑" w:hAnsi="微软雅黑" w:eastAsia="微软雅黑" w:cs="微软雅黑"/>
          <w:sz w:val="32"/>
        </w:rPr>
        <w:t>358.24万元，占基本支出的92.58%,主要包括</w:t>
      </w:r>
      <w:r>
        <w:rPr>
          <w:rFonts w:hint="eastAsia" w:ascii="微软雅黑" w:hAnsi="微软雅黑" w:eastAsia="微软雅黑" w:cs="微软雅黑"/>
          <w:sz w:val="32"/>
        </w:rPr>
        <w:t>基本工资、津贴补贴、</w:t>
      </w:r>
      <w:r>
        <w:rPr>
          <w:rFonts w:hint="eastAsia" w:ascii="微软雅黑" w:hAnsi="微软雅黑" w:eastAsia="微软雅黑" w:cs="微软雅黑"/>
          <w:sz w:val="32"/>
          <w:lang w:val="zh-CN"/>
        </w:rPr>
        <w:t>奖金、绩效工资、机关事业单位基本养老保险缴费、职工基本医疗保险缴费、公务员医疗补助缴费、其他社会保障缴费、住房公积金、医疗费、抚恤金、生活补助、奖励金、其他对个人和家庭的补助</w:t>
      </w:r>
      <w:r>
        <w:rPr>
          <w:rFonts w:ascii="微软雅黑" w:hAnsi="微软雅黑" w:eastAsia="微软雅黑" w:cs="微软雅黑"/>
          <w:sz w:val="32"/>
        </w:rPr>
        <w:t>。</w:t>
      </w:r>
    </w:p>
    <w:p w14:paraId="168AE3E5">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公用经费</w:t>
      </w:r>
      <w:r>
        <w:rPr>
          <w:rFonts w:ascii="微软雅黑" w:hAnsi="微软雅黑" w:eastAsia="微软雅黑" w:cs="微软雅黑"/>
          <w:sz w:val="32"/>
        </w:rPr>
        <w:t>28.70万元，占基本支出的</w:t>
      </w:r>
      <w:r>
        <w:rPr>
          <w:rFonts w:hint="eastAsia" w:ascii="微软雅黑" w:hAnsi="微软雅黑" w:eastAsia="微软雅黑" w:cs="微软雅黑"/>
          <w:sz w:val="32"/>
          <w:szCs w:val="32"/>
        </w:rPr>
        <w:t>7.42%，主要包括办公费、印刷费、咨询费、水费、电费、邮电费、物业管理费、差旅费、维修（护）费、会议费、培训费、公务接待费、专用材料费、劳务费、委托业务费、工会经费、福利费、其他交通费用、其他商品和服务支出、办公设备购置。</w:t>
      </w:r>
    </w:p>
    <w:p w14:paraId="668BD71E">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七、政府性基金预算收入支出决算情况</w:t>
      </w:r>
    </w:p>
    <w:p w14:paraId="3F30351B">
      <w:pPr>
        <w:pStyle w:val="14"/>
        <w:spacing w:line="360" w:lineRule="auto"/>
        <w:rPr>
          <w:rFonts w:hint="eastAsia" w:ascii="微软雅黑" w:hAnsi="微软雅黑" w:eastAsia="微软雅黑" w:cs="微软雅黑"/>
          <w:sz w:val="32"/>
          <w:szCs w:val="32"/>
          <w:lang w:val="zh-CN"/>
        </w:rPr>
      </w:pPr>
      <w:r>
        <w:rPr>
          <w:rFonts w:hint="eastAsia" w:ascii="微软雅黑" w:hAnsi="微软雅黑" w:eastAsia="微软雅黑" w:cs="微软雅黑"/>
          <w:sz w:val="32"/>
          <w:szCs w:val="32"/>
        </w:rPr>
        <w:t xml:space="preserve">     2024</w:t>
      </w:r>
      <w:r>
        <w:rPr>
          <w:rFonts w:ascii="微软雅黑" w:hAnsi="微软雅黑" w:eastAsia="微软雅黑" w:cs="微软雅黑"/>
          <w:sz w:val="32"/>
        </w:rPr>
        <w:t>年度</w:t>
      </w:r>
      <w:r>
        <w:rPr>
          <w:rFonts w:hint="eastAsia" w:ascii="微软雅黑" w:hAnsi="微软雅黑" w:eastAsia="微软雅黑" w:cs="微软雅黑"/>
          <w:sz w:val="32"/>
          <w:szCs w:val="32"/>
          <w:lang w:val="zh-CN"/>
        </w:rPr>
        <w:t>本单位没有使用政府性基金预算财政拨款安排的收支。</w:t>
      </w:r>
    </w:p>
    <w:p w14:paraId="471D0A8C">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八、国有资本经营预算财政拨款支出决算情况</w:t>
      </w:r>
    </w:p>
    <w:p w14:paraId="164F9F1B">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2024</w:t>
      </w:r>
      <w:r>
        <w:rPr>
          <w:rFonts w:ascii="微软雅黑" w:hAnsi="微软雅黑" w:eastAsia="微软雅黑" w:cs="微软雅黑"/>
          <w:sz w:val="32"/>
        </w:rPr>
        <w:t>年度国有资本经营预算财政拨款支出7.20</w:t>
      </w:r>
      <w:r>
        <w:rPr>
          <w:rFonts w:hint="eastAsia" w:ascii="微软雅黑" w:hAnsi="微软雅黑" w:eastAsia="微软雅黑" w:cs="微软雅黑"/>
          <w:sz w:val="32"/>
          <w:szCs w:val="32"/>
        </w:rPr>
        <w:t>万元；基本支出</w:t>
      </w:r>
      <w:r>
        <w:rPr>
          <w:rFonts w:ascii="微软雅黑" w:hAnsi="微软雅黑" w:eastAsia="微软雅黑" w:cs="微软雅黑"/>
          <w:sz w:val="32"/>
        </w:rPr>
        <w:t>0.00</w:t>
      </w:r>
      <w:r>
        <w:rPr>
          <w:rFonts w:hint="eastAsia" w:ascii="微软雅黑" w:hAnsi="微软雅黑" w:eastAsia="微软雅黑" w:cs="微软雅黑"/>
          <w:sz w:val="32"/>
          <w:szCs w:val="32"/>
        </w:rPr>
        <w:t>万元，项目支出</w:t>
      </w:r>
      <w:r>
        <w:rPr>
          <w:rFonts w:ascii="微软雅黑" w:hAnsi="微软雅黑" w:eastAsia="微软雅黑" w:cs="微软雅黑"/>
          <w:sz w:val="32"/>
        </w:rPr>
        <w:t>7.20</w:t>
      </w:r>
      <w:r>
        <w:rPr>
          <w:rFonts w:hint="eastAsia" w:ascii="微软雅黑" w:hAnsi="微软雅黑" w:eastAsia="微软雅黑" w:cs="微软雅黑"/>
          <w:sz w:val="32"/>
          <w:szCs w:val="32"/>
        </w:rPr>
        <w:t>万元。</w:t>
      </w:r>
    </w:p>
    <w:p w14:paraId="7DF64E5F">
      <w:pPr>
        <w:autoSpaceDE w:val="0"/>
        <w:autoSpaceDN w:val="0"/>
        <w:adjustRightInd w:val="0"/>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年初预算为0万元，支出决算为</w:t>
      </w:r>
      <w:r>
        <w:rPr>
          <w:rFonts w:ascii="微软雅黑" w:hAnsi="微软雅黑" w:eastAsia="微软雅黑" w:cs="微软雅黑"/>
          <w:sz w:val="32"/>
        </w:rPr>
        <w:t>7.20</w:t>
      </w:r>
      <w:r>
        <w:rPr>
          <w:rFonts w:hint="eastAsia" w:ascii="微软雅黑" w:hAnsi="微软雅黑" w:eastAsia="微软雅黑" w:cs="微软雅黑"/>
          <w:sz w:val="32"/>
          <w:szCs w:val="32"/>
        </w:rPr>
        <w:t>万元，因年初预算数为零，无法计算预算完成率，决算数大于预算数的主要原因是财政年中根据我单位业务活动情况追加了部分预算指标。</w:t>
      </w:r>
    </w:p>
    <w:p w14:paraId="3621A9AA">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九、财政拨款三公经费支出决算情况说明</w:t>
      </w:r>
    </w:p>
    <w:p w14:paraId="7D9F0AA3">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（一）“三公”经费财政拨款支出决算总体情况说明</w:t>
      </w:r>
    </w:p>
    <w:p w14:paraId="1836A790">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41544AF5">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%，决算数等于预算数的主要原因是无，与上年相比</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%,增长/减少的主要原因是无。</w:t>
      </w:r>
    </w:p>
    <w:p w14:paraId="6E6A4C11">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szCs w:val="32"/>
        </w:rPr>
        <w:t>0</w:t>
      </w:r>
      <w:r>
        <w:rPr>
          <w:rFonts w:hint="eastAsia" w:ascii="微软雅黑" w:hAnsi="微软雅黑" w:eastAsia="微软雅黑" w:cs="微软雅黑"/>
          <w:sz w:val="32"/>
          <w:szCs w:val="32"/>
        </w:rPr>
        <w:t>%，决算数等于预算数的主要原因是无，与上年相比</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万元，增长0.00%,增长/减少的主要原因是无。</w:t>
      </w:r>
    </w:p>
    <w:p w14:paraId="596CC993">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szCs w:val="32"/>
        </w:rPr>
        <w:t>0</w:t>
      </w:r>
      <w:r>
        <w:rPr>
          <w:rFonts w:hint="eastAsia" w:ascii="微软雅黑" w:hAnsi="微软雅黑" w:eastAsia="微软雅黑" w:cs="微软雅黑"/>
          <w:sz w:val="32"/>
          <w:szCs w:val="32"/>
        </w:rPr>
        <w:t>%，决算数等于预算数的主要原因是无，与上年相比</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%,增长/减少的主要原因是无。</w:t>
      </w:r>
    </w:p>
    <w:p w14:paraId="726F089A">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szCs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szCs w:val="32"/>
        </w:rPr>
        <w:t>0</w:t>
      </w:r>
      <w:r>
        <w:rPr>
          <w:rFonts w:hint="eastAsia" w:ascii="微软雅黑" w:hAnsi="微软雅黑" w:eastAsia="微软雅黑" w:cs="微软雅黑"/>
          <w:sz w:val="32"/>
          <w:szCs w:val="32"/>
        </w:rPr>
        <w:t>%，决算数等于预算数的主要原因是无，与上年相比</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szCs w:val="32"/>
        </w:rPr>
        <w:t>增长0.00</w:t>
      </w:r>
      <w:r>
        <w:rPr>
          <w:rFonts w:hint="eastAsia" w:ascii="微软雅黑" w:hAnsi="微软雅黑" w:eastAsia="微软雅黑" w:cs="微软雅黑"/>
          <w:sz w:val="32"/>
          <w:szCs w:val="32"/>
        </w:rPr>
        <w:t>%,增长/减少的主要原因是无。</w:t>
      </w:r>
    </w:p>
    <w:p w14:paraId="2EC5204F">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（二）“三公”经费财政拨款支出决算具体情况说明</w:t>
      </w:r>
    </w:p>
    <w:p w14:paraId="4748D5C8">
      <w:pPr>
        <w:pStyle w:val="14"/>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2024年度“三公”经费财政拨款支出决算中，公务接待费支出决算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%。其中：</w:t>
      </w:r>
    </w:p>
    <w:p w14:paraId="64EC0ADA">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sz w:val="32"/>
          <w:szCs w:val="32"/>
        </w:rPr>
        <w:t>1、因公出国（境）费支出决算为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万元，全年安排因公出国（境）团组0个，累计0人次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开支内容无。</w:t>
      </w:r>
    </w:p>
    <w:p w14:paraId="36B2D41D">
      <w:pPr>
        <w:pStyle w:val="14"/>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万元，全年共接待来访团组0个、来宾0人次，无发生的接待支出。</w:t>
      </w:r>
    </w:p>
    <w:p w14:paraId="570038A7">
      <w:pPr>
        <w:spacing w:line="360" w:lineRule="auto"/>
        <w:ind w:firstLine="800" w:firstLineChars="250"/>
        <w:rPr>
          <w:rFonts w:ascii="微软雅黑" w:hAnsi="微软雅黑" w:eastAsia="微软雅黑" w:cs="微软雅黑"/>
          <w:b/>
          <w:bCs/>
          <w:i/>
          <w:kern w:val="0"/>
          <w:sz w:val="32"/>
          <w:szCs w:val="32"/>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岳阳县超限治理站（单位本级或某二级机构）更新公务用车</w:t>
      </w:r>
      <w:r>
        <w:rPr>
          <w:rFonts w:hint="eastAsia" w:ascii="微软雅黑" w:hAnsi="微软雅黑" w:eastAsia="微软雅黑" w:cs="微软雅黑"/>
          <w:sz w:val="32"/>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万元，截至2024年12月31日，我单位开支财政拨款的公务用车保有量为0辆。</w:t>
      </w:r>
    </w:p>
    <w:p w14:paraId="6BB98D7F">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十、关于机关运行经费支出说明</w:t>
      </w:r>
    </w:p>
    <w:p w14:paraId="021B40C5">
      <w:pPr>
        <w:pStyle w:val="14"/>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rPr>
        <w:t>本级和所属单位均为事业单位，按照机关运行经费的口径，本年度机关运行经费为0。</w:t>
      </w:r>
    </w:p>
    <w:p w14:paraId="6C4FE93C">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十一、一般性支出情况说明</w:t>
      </w:r>
    </w:p>
    <w:p w14:paraId="18683B04">
      <w:pPr>
        <w:autoSpaceDE w:val="0"/>
        <w:autoSpaceDN w:val="0"/>
        <w:adjustRightInd w:val="0"/>
        <w:ind w:firstLine="640"/>
        <w:rPr>
          <w:rFonts w:ascii="微软雅黑" w:hAnsi="微软雅黑" w:eastAsia="微软雅黑" w:cs="微软雅黑"/>
          <w:sz w:val="32"/>
          <w:szCs w:val="32"/>
        </w:rPr>
      </w:pPr>
      <w:r>
        <w:rPr>
          <w:rFonts w:hint="eastAsia" w:ascii="微软雅黑" w:hAnsi="微软雅黑" w:eastAsia="微软雅黑" w:cs="微软雅黑"/>
          <w:sz w:val="32"/>
          <w:szCs w:val="32"/>
        </w:rPr>
        <w:t>2024年本部门开支会议费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0.</w:t>
      </w:r>
      <w:r>
        <w:rPr>
          <w:rFonts w:hint="eastAsia" w:ascii="微软雅黑" w:hAnsi="微软雅黑" w:eastAsia="微软雅黑" w:cs="微软雅黑"/>
          <w:sz w:val="32"/>
        </w:rPr>
        <w:t>44</w:t>
      </w:r>
      <w:r>
        <w:rPr>
          <w:rFonts w:ascii="微软雅黑" w:hAnsi="微软雅黑" w:eastAsia="微软雅黑" w:cs="微软雅黑"/>
          <w:sz w:val="32"/>
        </w:rPr>
        <w:t>万元，用于开展</w:t>
      </w:r>
      <w:r>
        <w:rPr>
          <w:rFonts w:hint="eastAsia" w:ascii="微软雅黑" w:hAnsi="微软雅黑" w:eastAsia="微软雅黑" w:cs="微软雅黑"/>
          <w:sz w:val="32"/>
        </w:rPr>
        <w:t>干部职工治超</w:t>
      </w:r>
      <w:r>
        <w:rPr>
          <w:rFonts w:ascii="微软雅黑" w:hAnsi="微软雅黑" w:eastAsia="微软雅黑" w:cs="微软雅黑"/>
          <w:sz w:val="32"/>
        </w:rPr>
        <w:t>培训，</w:t>
      </w:r>
      <w:r>
        <w:rPr>
          <w:rFonts w:hint="eastAsia" w:ascii="微软雅黑" w:hAnsi="微软雅黑" w:eastAsia="微软雅黑" w:cs="微软雅黑"/>
          <w:sz w:val="32"/>
          <w:szCs w:val="32"/>
        </w:rPr>
        <w:t>人数20人，内容为事业单位在岗人员业务培训；2024年本部门未举办节庆、晚会、论坛、赛事活动，开支0万元</w:t>
      </w:r>
      <w:r>
        <w:rPr>
          <w:rFonts w:hint="eastAsia" w:ascii="宋体" w:hAnsi="Times New Roman"/>
          <w:kern w:val="0"/>
          <w:sz w:val="32"/>
        </w:rPr>
        <w:t>。</w:t>
      </w:r>
    </w:p>
    <w:p w14:paraId="31B3C19E">
      <w:pPr>
        <w:pStyle w:val="14"/>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十二、关于政府采购支出说明</w:t>
      </w:r>
    </w:p>
    <w:p w14:paraId="46917C47">
      <w:pPr>
        <w:pStyle w:val="14"/>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本部门2024年度政府采购支出总额65万元，其中：政府采购货物支出20 万元、政府采购工程支出0万元、政府采购服务支出45万元。授予中小企业合同金额65万元，占政府采购支出总额的100%，其中：授予小微企业合同金额65万元，占授予中小企业合同金额的100%。货物采购授予中小企业合同金额占货物支出金额的100%，工程采购授予中小企业合同金额占工程支出金额的0%，服务采购授予中小企业合同金额占服务支出金额的100%。</w:t>
      </w:r>
    </w:p>
    <w:p w14:paraId="4C8B037C">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十三、关于国有资产占用情况说明</w:t>
      </w:r>
    </w:p>
    <w:p w14:paraId="5E670EA4">
      <w:pPr>
        <w:pStyle w:val="14"/>
        <w:spacing w:line="360" w:lineRule="auto"/>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0C0B8FDD">
      <w:pPr>
        <w:pStyle w:val="14"/>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十四、关于2024年度绩效评价情况的说明</w:t>
      </w:r>
    </w:p>
    <w:p w14:paraId="177A5256">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304EFA7F">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根据预算绩效管理要求，我部门组织对</w:t>
      </w:r>
      <w:r>
        <w:rPr>
          <w:rFonts w:ascii="微软雅黑" w:hAnsi="微软雅黑" w:eastAsia="微软雅黑" w:cs="微软雅黑"/>
          <w:color w:val="000000"/>
          <w:sz w:val="32"/>
        </w:rPr>
        <w:t>2024年度一般公共预算项目支出全面开展绩效自评，其中，一级项目</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 xml:space="preserve"> 万元，占一般公共预算项目支出总额的</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%。组织对2024年度</w:t>
      </w:r>
      <w:r>
        <w:rPr>
          <w:rFonts w:hint="eastAsia" w:ascii="微软雅黑" w:hAnsi="微软雅黑" w:eastAsia="微软雅黑" w:cs="微软雅黑"/>
          <w:color w:val="000000"/>
          <w:sz w:val="32"/>
        </w:rPr>
        <w:t>其他</w:t>
      </w:r>
      <w:r>
        <w:rPr>
          <w:rFonts w:ascii="微软雅黑" w:hAnsi="微软雅黑" w:eastAsia="微软雅黑" w:cs="微软雅黑"/>
          <w:color w:val="000000"/>
          <w:sz w:val="32"/>
        </w:rPr>
        <w:t>国有资本经营</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 xml:space="preserve"> 万元，占国有资本经营预算项目支出总额的</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w:t>
      </w:r>
    </w:p>
    <w:p w14:paraId="5008E209">
      <w:pPr>
        <w:autoSpaceDE w:val="0"/>
        <w:autoSpaceDN w:val="0"/>
        <w:adjustRightInd w:val="0"/>
        <w:ind w:firstLine="640"/>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组织对0 个项目开展了部门评价，涉及一般公共预算支出0 万元，政府性基金预算支出0 万元，国有资本经营预算支出0 万元。</w:t>
      </w:r>
    </w:p>
    <w:p w14:paraId="329B3EE4">
      <w:pPr>
        <w:autoSpaceDE w:val="0"/>
        <w:autoSpaceDN w:val="0"/>
        <w:adjustRightInd w:val="0"/>
        <w:ind w:firstLine="640"/>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组织对岳阳县水运事务中心1个单位开展整体支出绩效评价，涉及一般公共预算支出1097.60 万元，政府性基金预算支出0万元、国有资本经营预算支出7.20万元。从评价情况来看我单位整体支出内容规范，支出进度平稳，保障了本单位各项工作的正常开展，评价得分为95分，评价等级为优秀。</w:t>
      </w:r>
    </w:p>
    <w:p w14:paraId="1F8C711C">
      <w:pPr>
        <w:numPr>
          <w:ilvl w:val="0"/>
          <w:numId w:val="2"/>
        </w:numPr>
        <w:autoSpaceDE w:val="0"/>
        <w:autoSpaceDN w:val="0"/>
        <w:adjustRightInd w:val="0"/>
        <w:spacing w:line="360" w:lineRule="auto"/>
        <w:ind w:firstLine="640" w:firstLineChars="200"/>
        <w:jc w:val="left"/>
        <w:rPr>
          <w:rFonts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部门决算中项目绩效自评结果（如有）。</w:t>
      </w:r>
    </w:p>
    <w:p w14:paraId="1DF1D667">
      <w:pPr>
        <w:autoSpaceDE w:val="0"/>
        <w:autoSpaceDN w:val="0"/>
        <w:adjustRightInd w:val="0"/>
        <w:spacing w:line="360" w:lineRule="auto"/>
        <w:ind w:firstLine="2880" w:firstLineChars="900"/>
        <w:jc w:val="left"/>
        <w:rPr>
          <w:rFonts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无</w:t>
      </w:r>
    </w:p>
    <w:p w14:paraId="18B5C080">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B0BAFF4">
      <w:pPr>
        <w:rPr>
          <w:rFonts w:ascii="微软雅黑" w:hAnsi="微软雅黑" w:eastAsia="微软雅黑" w:cs="微软雅黑"/>
          <w:i/>
          <w:iCs/>
          <w:color w:val="FF0000"/>
          <w:sz w:val="32"/>
          <w:szCs w:val="32"/>
        </w:rPr>
      </w:pPr>
      <w:r>
        <w:rPr>
          <w:rFonts w:hint="eastAsia" w:ascii="微软雅黑" w:hAnsi="微软雅黑" w:eastAsia="微软雅黑" w:cs="微软雅黑"/>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r>
        <w:rPr>
          <w:rFonts w:hint="eastAsia" w:ascii="微软雅黑" w:hAnsi="微软雅黑" w:eastAsia="微软雅黑" w:cs="微软雅黑"/>
          <w:i/>
          <w:iCs/>
          <w:color w:val="FF0000"/>
          <w:sz w:val="32"/>
          <w:szCs w:val="32"/>
        </w:rPr>
        <w:br w:type="page"/>
      </w:r>
    </w:p>
    <w:p w14:paraId="54AE5341">
      <w:pPr>
        <w:pStyle w:val="14"/>
        <w:spacing w:line="360" w:lineRule="auto"/>
        <w:ind w:firstLine="640" w:firstLineChars="200"/>
        <w:rPr>
          <w:rFonts w:ascii="微软雅黑" w:hAnsi="微软雅黑" w:eastAsia="微软雅黑" w:cs="微软雅黑"/>
          <w:i/>
          <w:iCs/>
          <w:color w:val="FF0000"/>
          <w:sz w:val="32"/>
          <w:szCs w:val="32"/>
        </w:rPr>
      </w:pPr>
    </w:p>
    <w:p w14:paraId="6E06B2A3">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1B3F9CCE">
      <w:pPr>
        <w:jc w:val="center"/>
        <w:rPr>
          <w:rFonts w:ascii="微软雅黑" w:hAnsi="微软雅黑" w:eastAsia="微软雅黑" w:cs="微软雅黑"/>
          <w:b/>
          <w:bCs/>
          <w:color w:val="000000"/>
          <w:kern w:val="0"/>
          <w:sz w:val="70"/>
          <w:szCs w:val="70"/>
        </w:rPr>
      </w:pPr>
    </w:p>
    <w:p w14:paraId="07628EC4">
      <w:pPr>
        <w:jc w:val="center"/>
        <w:rPr>
          <w:rFonts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3196263D">
      <w:pPr>
        <w:widowControl/>
        <w:jc w:val="left"/>
        <w:rPr>
          <w:rFonts w:ascii="微软雅黑" w:hAnsi="微软雅黑" w:eastAsia="微软雅黑" w:cs="微软雅黑"/>
          <w:color w:val="000000"/>
          <w:kern w:val="0"/>
          <w:sz w:val="32"/>
          <w:szCs w:val="32"/>
        </w:rPr>
      </w:pPr>
    </w:p>
    <w:p w14:paraId="27C220EC">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8896028">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B17329A">
      <w:pPr>
        <w:rPr>
          <w:rFonts w:ascii="微软雅黑" w:hAnsi="微软雅黑" w:eastAsia="微软雅黑" w:cs="微软雅黑"/>
          <w:sz w:val="72"/>
          <w:szCs w:val="72"/>
        </w:rPr>
      </w:pPr>
      <w:r>
        <w:rPr>
          <w:rFonts w:hint="eastAsia" w:ascii="微软雅黑" w:hAnsi="微软雅黑" w:eastAsia="微软雅黑" w:cs="微软雅黑"/>
          <w:sz w:val="72"/>
          <w:szCs w:val="72"/>
        </w:rPr>
        <w:br w:type="page"/>
      </w:r>
    </w:p>
    <w:p w14:paraId="2F2B8E4A">
      <w:pPr>
        <w:pStyle w:val="14"/>
        <w:jc w:val="center"/>
        <w:rPr>
          <w:rFonts w:ascii="微软雅黑" w:hAnsi="微软雅黑" w:eastAsia="微软雅黑" w:cs="微软雅黑"/>
          <w:sz w:val="72"/>
          <w:szCs w:val="72"/>
        </w:rPr>
      </w:pPr>
    </w:p>
    <w:p w14:paraId="5FDC468D">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732E6E9C">
      <w:pPr>
        <w:jc w:val="center"/>
        <w:rPr>
          <w:rFonts w:ascii="微软雅黑" w:hAnsi="微软雅黑" w:eastAsia="微软雅黑" w:cs="微软雅黑"/>
          <w:b/>
          <w:bCs/>
          <w:color w:val="000000"/>
          <w:kern w:val="0"/>
          <w:sz w:val="70"/>
          <w:szCs w:val="70"/>
        </w:rPr>
      </w:pPr>
    </w:p>
    <w:p w14:paraId="7F6E5FE9">
      <w:pPr>
        <w:pStyle w:val="14"/>
        <w:jc w:val="center"/>
        <w:rPr>
          <w:rFonts w:ascii="微软雅黑" w:hAnsi="微软雅黑" w:eastAsia="微软雅黑" w:cs="微软雅黑"/>
          <w:b/>
          <w:bCs/>
          <w:sz w:val="72"/>
          <w:szCs w:val="72"/>
        </w:rPr>
      </w:pPr>
      <w:r>
        <w:rPr>
          <w:rFonts w:hint="eastAsia" w:ascii="微软雅黑" w:hAnsi="微软雅黑" w:eastAsia="微软雅黑" w:cs="微软雅黑"/>
          <w:b/>
          <w:bCs/>
          <w:sz w:val="70"/>
          <w:szCs w:val="70"/>
        </w:rPr>
        <w:t>附件</w:t>
      </w:r>
    </w:p>
    <w:p w14:paraId="5D044E13">
      <w:pPr>
        <w:ind w:firstLine="640" w:firstLineChars="200"/>
        <w:jc w:val="left"/>
        <w:rPr>
          <w:rFonts w:ascii="微软雅黑" w:hAnsi="微软雅黑" w:eastAsia="微软雅黑" w:cs="微软雅黑"/>
          <w:b/>
          <w:bCs/>
          <w:color w:val="000000"/>
          <w:kern w:val="0"/>
          <w:sz w:val="32"/>
          <w:szCs w:val="32"/>
        </w:rPr>
      </w:pPr>
    </w:p>
    <w:p w14:paraId="4E65E7C5">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1、</w:t>
      </w:r>
      <w:r>
        <w:rPr>
          <w:rFonts w:ascii="微软雅黑" w:hAnsi="微软雅黑" w:eastAsia="微软雅黑" w:cs="微软雅黑"/>
          <w:b/>
          <w:color w:val="000000"/>
          <w:sz w:val="32"/>
        </w:rPr>
        <w:t>2024年部门决算公开表格</w:t>
      </w:r>
    </w:p>
    <w:p w14:paraId="47F45894">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2、2024年度部门整体支出绩效评价报告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8050F"/>
    <w:multiLevelType w:val="singleLevel"/>
    <w:tmpl w:val="B4A8050F"/>
    <w:lvl w:ilvl="0" w:tentative="0">
      <w:start w:val="2"/>
      <w:numFmt w:val="decimal"/>
      <w:suff w:val="nothing"/>
      <w:lvlText w:val="（%1）"/>
      <w:lvlJc w:val="left"/>
    </w:lvl>
  </w:abstractNum>
  <w:abstractNum w:abstractNumId="1">
    <w:nsid w:val="102D8E2D"/>
    <w:multiLevelType w:val="singleLevel"/>
    <w:tmpl w:val="102D8E2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0B4160"/>
    <w:rsid w:val="00103957"/>
    <w:rsid w:val="00152C6D"/>
    <w:rsid w:val="00162D39"/>
    <w:rsid w:val="001678BD"/>
    <w:rsid w:val="00182373"/>
    <w:rsid w:val="001A67DB"/>
    <w:rsid w:val="001C3786"/>
    <w:rsid w:val="001C3C29"/>
    <w:rsid w:val="001D51E5"/>
    <w:rsid w:val="001E080D"/>
    <w:rsid w:val="001E1696"/>
    <w:rsid w:val="001E53D0"/>
    <w:rsid w:val="001F0C3B"/>
    <w:rsid w:val="00202C82"/>
    <w:rsid w:val="00212BED"/>
    <w:rsid w:val="00214427"/>
    <w:rsid w:val="00226CB7"/>
    <w:rsid w:val="00264552"/>
    <w:rsid w:val="00264EF9"/>
    <w:rsid w:val="00265724"/>
    <w:rsid w:val="0027426B"/>
    <w:rsid w:val="002E0A30"/>
    <w:rsid w:val="003130C4"/>
    <w:rsid w:val="00316C4B"/>
    <w:rsid w:val="0032192B"/>
    <w:rsid w:val="0033493A"/>
    <w:rsid w:val="003479BD"/>
    <w:rsid w:val="0035053B"/>
    <w:rsid w:val="0037197D"/>
    <w:rsid w:val="003768D5"/>
    <w:rsid w:val="003926B9"/>
    <w:rsid w:val="003C47E6"/>
    <w:rsid w:val="003C4FC2"/>
    <w:rsid w:val="003E6A52"/>
    <w:rsid w:val="00416E61"/>
    <w:rsid w:val="004234B0"/>
    <w:rsid w:val="0042790C"/>
    <w:rsid w:val="004506F9"/>
    <w:rsid w:val="00464113"/>
    <w:rsid w:val="004717A2"/>
    <w:rsid w:val="00473DF3"/>
    <w:rsid w:val="00485766"/>
    <w:rsid w:val="00487911"/>
    <w:rsid w:val="00491741"/>
    <w:rsid w:val="004B0CEE"/>
    <w:rsid w:val="004C318A"/>
    <w:rsid w:val="004D237F"/>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611E6"/>
    <w:rsid w:val="00686673"/>
    <w:rsid w:val="00691E8C"/>
    <w:rsid w:val="006A22C4"/>
    <w:rsid w:val="006A351B"/>
    <w:rsid w:val="006B0422"/>
    <w:rsid w:val="006C1B53"/>
    <w:rsid w:val="006D7730"/>
    <w:rsid w:val="006E5284"/>
    <w:rsid w:val="006F3EB5"/>
    <w:rsid w:val="006F4FE2"/>
    <w:rsid w:val="00702E34"/>
    <w:rsid w:val="00704395"/>
    <w:rsid w:val="00710FE7"/>
    <w:rsid w:val="00717621"/>
    <w:rsid w:val="00720FF1"/>
    <w:rsid w:val="00727A53"/>
    <w:rsid w:val="00787B42"/>
    <w:rsid w:val="007C4539"/>
    <w:rsid w:val="007D6744"/>
    <w:rsid w:val="007F3657"/>
    <w:rsid w:val="00812ED5"/>
    <w:rsid w:val="008277D9"/>
    <w:rsid w:val="0084478C"/>
    <w:rsid w:val="008540AD"/>
    <w:rsid w:val="0086638C"/>
    <w:rsid w:val="008A3E8D"/>
    <w:rsid w:val="009237C4"/>
    <w:rsid w:val="00944C48"/>
    <w:rsid w:val="00950252"/>
    <w:rsid w:val="00967F5D"/>
    <w:rsid w:val="009A0F95"/>
    <w:rsid w:val="009B3ADF"/>
    <w:rsid w:val="009C3B52"/>
    <w:rsid w:val="009D7669"/>
    <w:rsid w:val="009E6817"/>
    <w:rsid w:val="009E6E9A"/>
    <w:rsid w:val="00A01D2B"/>
    <w:rsid w:val="00A16691"/>
    <w:rsid w:val="00A20B4E"/>
    <w:rsid w:val="00A42218"/>
    <w:rsid w:val="00A67E49"/>
    <w:rsid w:val="00A70249"/>
    <w:rsid w:val="00A70B02"/>
    <w:rsid w:val="00A71D9F"/>
    <w:rsid w:val="00A92E9F"/>
    <w:rsid w:val="00AB18FF"/>
    <w:rsid w:val="00B33BEA"/>
    <w:rsid w:val="00B57C9F"/>
    <w:rsid w:val="00B63572"/>
    <w:rsid w:val="00B845B3"/>
    <w:rsid w:val="00B85D8B"/>
    <w:rsid w:val="00BA65AF"/>
    <w:rsid w:val="00BB4A40"/>
    <w:rsid w:val="00BD6C3E"/>
    <w:rsid w:val="00BE3674"/>
    <w:rsid w:val="00C10681"/>
    <w:rsid w:val="00C3049A"/>
    <w:rsid w:val="00C31B1E"/>
    <w:rsid w:val="00C47951"/>
    <w:rsid w:val="00C77645"/>
    <w:rsid w:val="00CE04C3"/>
    <w:rsid w:val="00CE76A0"/>
    <w:rsid w:val="00D148C6"/>
    <w:rsid w:val="00D17A8A"/>
    <w:rsid w:val="00D20F49"/>
    <w:rsid w:val="00D35C43"/>
    <w:rsid w:val="00D415BA"/>
    <w:rsid w:val="00D63780"/>
    <w:rsid w:val="00D644EE"/>
    <w:rsid w:val="00D85C24"/>
    <w:rsid w:val="00DD06FF"/>
    <w:rsid w:val="00DD5FE9"/>
    <w:rsid w:val="00E00C7A"/>
    <w:rsid w:val="00E37D6C"/>
    <w:rsid w:val="00E53C4F"/>
    <w:rsid w:val="00E55B68"/>
    <w:rsid w:val="00E561AE"/>
    <w:rsid w:val="00E67BE6"/>
    <w:rsid w:val="00E7350E"/>
    <w:rsid w:val="00E8683C"/>
    <w:rsid w:val="00E9686E"/>
    <w:rsid w:val="00EA1B98"/>
    <w:rsid w:val="00EA2B72"/>
    <w:rsid w:val="00F74360"/>
    <w:rsid w:val="00FB462F"/>
    <w:rsid w:val="00FC2363"/>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1CFC0F1F"/>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unhideWhenUsed/>
    <w:qFormat/>
    <w:uiPriority w:val="0"/>
    <w:pPr>
      <w:spacing w:after="120"/>
    </w:pPr>
    <w:rPr>
      <w:rFonts w:hint="eastAsia"/>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正文文本 Char"/>
    <w:basedOn w:val="7"/>
    <w:link w:val="2"/>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4923</Words>
  <Characters>5461</Characters>
  <Lines>40</Lines>
  <Paragraphs>11</Paragraphs>
  <TotalTime>56</TotalTime>
  <ScaleCrop>false</ScaleCrop>
  <LinksUpToDate>false</LinksUpToDate>
  <CharactersWithSpaces>5491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ZZ</cp:lastModifiedBy>
  <cp:lastPrinted>2023-08-15T09:28:00Z</cp:lastPrinted>
  <dcterms:modified xsi:type="dcterms:W3CDTF">2025-10-13T06:48:51Z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661ABA64067A42B98A18CBAF8FC9F9FC_13</vt:lpwstr>
  </property>
</Properties>
</file>