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6C249">
      <w:pPr>
        <w:ind w:firstLine="880"/>
        <w:jc w:val="center"/>
        <w:rPr>
          <w:rFonts w:hint="eastAsia" w:ascii="方正小标宋简体" w:eastAsia="方正小标宋简体"/>
          <w:sz w:val="32"/>
          <w:szCs w:val="32"/>
          <w:lang w:eastAsia="zh-CN"/>
        </w:rPr>
      </w:pPr>
      <w:bookmarkStart w:id="14" w:name="_GoBack"/>
      <w:bookmarkEnd w:id="14"/>
    </w:p>
    <w:p w14:paraId="4198C3B3">
      <w:pPr>
        <w:ind w:firstLine="880"/>
        <w:jc w:val="center"/>
        <w:rPr>
          <w:rFonts w:hint="eastAsia" w:ascii="方正小标宋简体" w:eastAsia="方正小标宋简体"/>
          <w:sz w:val="32"/>
          <w:szCs w:val="32"/>
          <w:lang w:eastAsia="zh-CN"/>
        </w:rPr>
      </w:pPr>
    </w:p>
    <w:p w14:paraId="542A5508">
      <w:pPr>
        <w:ind w:firstLine="880"/>
        <w:jc w:val="center"/>
        <w:rPr>
          <w:rFonts w:ascii="方正小标宋简体" w:hAnsi="宋体" w:eastAsia="方正小标宋简体" w:cs="宋体"/>
          <w:sz w:val="36"/>
          <w:szCs w:val="36"/>
          <w:lang w:eastAsia="zh-CN"/>
        </w:rPr>
      </w:pPr>
      <w:r>
        <w:rPr>
          <w:rFonts w:hint="eastAsia" w:ascii="方正小标宋简体" w:eastAsia="方正小标宋简体"/>
          <w:sz w:val="36"/>
          <w:szCs w:val="36"/>
          <w:lang w:eastAsia="zh-CN"/>
        </w:rPr>
        <w:t>202</w:t>
      </w:r>
      <w:r>
        <w:rPr>
          <w:rFonts w:hint="eastAsia" w:ascii="方正小标宋简体" w:eastAsia="方正小标宋简体"/>
          <w:sz w:val="36"/>
          <w:szCs w:val="36"/>
          <w:lang w:val="en-US" w:eastAsia="zh-CN"/>
        </w:rPr>
        <w:t>4</w:t>
      </w:r>
      <w:r>
        <w:rPr>
          <w:rFonts w:hint="eastAsia" w:ascii="方正小标宋简体" w:hAnsi="宋体" w:eastAsia="方正小标宋简体" w:cs="宋体"/>
          <w:sz w:val="36"/>
          <w:szCs w:val="36"/>
          <w:lang w:eastAsia="zh-CN"/>
        </w:rPr>
        <w:t>年度岳阳县民政局整体支出</w:t>
      </w:r>
    </w:p>
    <w:p w14:paraId="48DB4E94">
      <w:pPr>
        <w:ind w:firstLine="880"/>
        <w:jc w:val="center"/>
        <w:rPr>
          <w:rFonts w:ascii="方正小标宋简体" w:eastAsia="方正小标宋简体"/>
          <w:sz w:val="36"/>
          <w:szCs w:val="36"/>
          <w:lang w:eastAsia="zh-CN"/>
        </w:rPr>
      </w:pPr>
      <w:r>
        <w:rPr>
          <w:rFonts w:hint="eastAsia" w:ascii="方正小标宋简体" w:hAnsi="宋体" w:eastAsia="方正小标宋简体" w:cs="宋体"/>
          <w:sz w:val="36"/>
          <w:szCs w:val="36"/>
          <w:lang w:eastAsia="zh-CN"/>
        </w:rPr>
        <w:t>绩效自评报告</w:t>
      </w:r>
    </w:p>
    <w:p w14:paraId="78F367FA">
      <w:pPr>
        <w:pStyle w:val="3"/>
        <w:spacing w:before="78" w:line="221" w:lineRule="auto"/>
        <w:ind w:firstLine="587"/>
        <w:jc w:val="center"/>
        <w:rPr>
          <w:rFonts w:ascii="楷体_GB2312" w:eastAsia="楷体_GB2312"/>
          <w:b/>
          <w:bCs/>
          <w:spacing w:val="-28"/>
          <w:sz w:val="36"/>
          <w:szCs w:val="36"/>
          <w:lang w:eastAsia="zh-CN"/>
        </w:rPr>
      </w:pPr>
    </w:p>
    <w:p w14:paraId="1BCE41A0">
      <w:pPr>
        <w:pStyle w:val="3"/>
        <w:spacing w:before="78" w:line="221" w:lineRule="auto"/>
        <w:ind w:firstLine="587"/>
        <w:jc w:val="center"/>
        <w:rPr>
          <w:rFonts w:ascii="楷体_GB2312" w:eastAsia="楷体_GB2312"/>
          <w:b/>
          <w:bCs/>
          <w:spacing w:val="-28"/>
          <w:sz w:val="36"/>
          <w:szCs w:val="36"/>
          <w:lang w:eastAsia="zh-CN"/>
        </w:rPr>
      </w:pPr>
    </w:p>
    <w:p w14:paraId="1098042C">
      <w:pPr>
        <w:pStyle w:val="3"/>
        <w:spacing w:before="78" w:line="221" w:lineRule="auto"/>
        <w:ind w:firstLine="587"/>
        <w:jc w:val="center"/>
        <w:rPr>
          <w:rFonts w:ascii="楷体_GB2312" w:eastAsia="楷体_GB2312"/>
          <w:b/>
          <w:bCs/>
          <w:spacing w:val="-28"/>
          <w:sz w:val="36"/>
          <w:szCs w:val="36"/>
          <w:lang w:eastAsia="zh-CN"/>
        </w:rPr>
      </w:pPr>
    </w:p>
    <w:p w14:paraId="6AD0F927">
      <w:pPr>
        <w:pStyle w:val="3"/>
        <w:spacing w:before="78" w:line="221" w:lineRule="auto"/>
        <w:ind w:firstLine="587"/>
        <w:jc w:val="center"/>
        <w:rPr>
          <w:rFonts w:ascii="楷体_GB2312" w:eastAsia="楷体_GB2312"/>
          <w:b/>
          <w:bCs/>
          <w:spacing w:val="-28"/>
          <w:sz w:val="36"/>
          <w:szCs w:val="36"/>
          <w:lang w:eastAsia="zh-CN"/>
        </w:rPr>
      </w:pPr>
    </w:p>
    <w:p w14:paraId="5810E56F">
      <w:pPr>
        <w:pStyle w:val="3"/>
        <w:spacing w:before="78" w:line="221" w:lineRule="auto"/>
        <w:ind w:firstLine="587"/>
        <w:jc w:val="center"/>
        <w:rPr>
          <w:rFonts w:ascii="楷体_GB2312" w:eastAsia="楷体_GB2312"/>
          <w:b/>
          <w:bCs/>
          <w:spacing w:val="-28"/>
          <w:sz w:val="36"/>
          <w:szCs w:val="36"/>
          <w:lang w:eastAsia="zh-CN"/>
        </w:rPr>
      </w:pPr>
    </w:p>
    <w:p w14:paraId="1E722F9D">
      <w:pPr>
        <w:pStyle w:val="3"/>
        <w:spacing w:before="78" w:line="221" w:lineRule="auto"/>
        <w:ind w:firstLine="587"/>
        <w:jc w:val="center"/>
        <w:rPr>
          <w:rFonts w:ascii="楷体_GB2312" w:eastAsia="楷体_GB2312"/>
          <w:b/>
          <w:bCs/>
          <w:spacing w:val="-28"/>
          <w:sz w:val="36"/>
          <w:szCs w:val="36"/>
          <w:lang w:eastAsia="zh-CN"/>
        </w:rPr>
      </w:pPr>
    </w:p>
    <w:p w14:paraId="2B40E458">
      <w:pPr>
        <w:pStyle w:val="3"/>
        <w:spacing w:before="78" w:line="221" w:lineRule="auto"/>
        <w:ind w:firstLine="587"/>
        <w:jc w:val="center"/>
        <w:rPr>
          <w:rFonts w:ascii="楷体_GB2312" w:eastAsia="楷体_GB2312"/>
          <w:b/>
          <w:bCs/>
          <w:spacing w:val="-28"/>
          <w:sz w:val="36"/>
          <w:szCs w:val="36"/>
          <w:lang w:eastAsia="zh-CN"/>
        </w:rPr>
      </w:pPr>
    </w:p>
    <w:p w14:paraId="3A3BBB13">
      <w:pPr>
        <w:pStyle w:val="3"/>
        <w:spacing w:before="78" w:line="221" w:lineRule="auto"/>
        <w:ind w:firstLine="587"/>
        <w:jc w:val="center"/>
        <w:rPr>
          <w:rFonts w:ascii="楷体_GB2312" w:eastAsia="楷体_GB2312"/>
          <w:b/>
          <w:bCs/>
          <w:spacing w:val="-28"/>
          <w:sz w:val="36"/>
          <w:szCs w:val="36"/>
          <w:lang w:eastAsia="zh-CN"/>
        </w:rPr>
      </w:pPr>
    </w:p>
    <w:p w14:paraId="014263A7">
      <w:pPr>
        <w:pStyle w:val="3"/>
        <w:spacing w:before="78" w:line="221" w:lineRule="auto"/>
        <w:ind w:firstLine="587"/>
        <w:jc w:val="center"/>
        <w:rPr>
          <w:rFonts w:ascii="楷体_GB2312" w:eastAsia="楷体_GB2312"/>
          <w:b/>
          <w:bCs/>
          <w:spacing w:val="-28"/>
          <w:sz w:val="36"/>
          <w:szCs w:val="36"/>
          <w:lang w:eastAsia="zh-CN"/>
        </w:rPr>
      </w:pPr>
    </w:p>
    <w:p w14:paraId="1C388559">
      <w:pPr>
        <w:pStyle w:val="3"/>
        <w:spacing w:before="78" w:line="221" w:lineRule="auto"/>
        <w:ind w:firstLine="587"/>
        <w:jc w:val="center"/>
        <w:rPr>
          <w:rFonts w:ascii="楷体_GB2312" w:eastAsia="楷体_GB2312"/>
          <w:b/>
          <w:bCs/>
          <w:spacing w:val="-28"/>
          <w:sz w:val="36"/>
          <w:szCs w:val="36"/>
          <w:lang w:eastAsia="zh-CN"/>
        </w:rPr>
      </w:pPr>
    </w:p>
    <w:p w14:paraId="6862F0BD">
      <w:pPr>
        <w:pStyle w:val="3"/>
        <w:spacing w:before="78" w:line="221" w:lineRule="auto"/>
        <w:ind w:firstLine="587"/>
        <w:jc w:val="center"/>
        <w:rPr>
          <w:rFonts w:ascii="楷体_GB2312" w:eastAsia="楷体_GB2312"/>
          <w:b/>
          <w:bCs/>
          <w:spacing w:val="-28"/>
          <w:sz w:val="36"/>
          <w:szCs w:val="36"/>
          <w:lang w:eastAsia="zh-CN"/>
        </w:rPr>
      </w:pPr>
    </w:p>
    <w:p w14:paraId="211997CC">
      <w:pPr>
        <w:pStyle w:val="3"/>
        <w:spacing w:before="78" w:line="221" w:lineRule="auto"/>
        <w:ind w:firstLine="587"/>
        <w:jc w:val="center"/>
        <w:rPr>
          <w:rFonts w:ascii="楷体_GB2312" w:eastAsia="楷体_GB2312"/>
          <w:b/>
          <w:bCs/>
          <w:spacing w:val="-28"/>
          <w:sz w:val="36"/>
          <w:szCs w:val="36"/>
          <w:lang w:eastAsia="zh-CN"/>
        </w:rPr>
      </w:pPr>
    </w:p>
    <w:p w14:paraId="2B0B42E8">
      <w:pPr>
        <w:pStyle w:val="3"/>
        <w:spacing w:before="78" w:line="221" w:lineRule="auto"/>
        <w:jc w:val="both"/>
        <w:rPr>
          <w:rFonts w:ascii="楷体_GB2312" w:eastAsia="楷体_GB2312"/>
          <w:b/>
          <w:bCs/>
          <w:spacing w:val="-28"/>
          <w:sz w:val="36"/>
          <w:szCs w:val="36"/>
          <w:lang w:eastAsia="zh-CN"/>
        </w:rPr>
      </w:pPr>
    </w:p>
    <w:p w14:paraId="50796EB5">
      <w:pPr>
        <w:pStyle w:val="3"/>
        <w:spacing w:before="78" w:line="221" w:lineRule="auto"/>
        <w:ind w:firstLine="587"/>
        <w:jc w:val="center"/>
        <w:rPr>
          <w:rFonts w:ascii="楷体_GB2312" w:eastAsia="楷体_GB2312"/>
          <w:b/>
          <w:bCs/>
          <w:spacing w:val="-28"/>
          <w:sz w:val="36"/>
          <w:szCs w:val="36"/>
          <w:lang w:eastAsia="zh-CN"/>
        </w:rPr>
      </w:pPr>
    </w:p>
    <w:p w14:paraId="1FC96976">
      <w:pPr>
        <w:pStyle w:val="3"/>
        <w:spacing w:before="78" w:line="221" w:lineRule="auto"/>
        <w:ind w:firstLine="587"/>
        <w:jc w:val="center"/>
        <w:rPr>
          <w:rFonts w:ascii="楷体_GB2312" w:eastAsia="楷体_GB2312"/>
          <w:b/>
          <w:bCs/>
          <w:spacing w:val="-28"/>
          <w:sz w:val="36"/>
          <w:szCs w:val="36"/>
          <w:lang w:eastAsia="zh-CN"/>
        </w:rPr>
      </w:pPr>
    </w:p>
    <w:p w14:paraId="72193F96">
      <w:pPr>
        <w:pStyle w:val="3"/>
        <w:spacing w:before="78" w:line="221" w:lineRule="auto"/>
        <w:ind w:firstLine="587"/>
        <w:jc w:val="center"/>
        <w:rPr>
          <w:rFonts w:ascii="楷体_GB2312" w:eastAsia="楷体_GB2312"/>
          <w:b/>
          <w:bCs/>
          <w:spacing w:val="-28"/>
          <w:sz w:val="36"/>
          <w:szCs w:val="36"/>
          <w:lang w:eastAsia="zh-CN"/>
        </w:rPr>
      </w:pPr>
    </w:p>
    <w:p w14:paraId="294B357F">
      <w:pPr>
        <w:pStyle w:val="3"/>
        <w:spacing w:before="78" w:line="221" w:lineRule="auto"/>
        <w:ind w:firstLine="587"/>
        <w:jc w:val="center"/>
        <w:rPr>
          <w:rFonts w:ascii="楷体_GB2312" w:eastAsia="楷体_GB2312"/>
          <w:sz w:val="36"/>
          <w:szCs w:val="36"/>
          <w:lang w:eastAsia="zh-CN"/>
        </w:rPr>
      </w:pPr>
      <w:r>
        <w:rPr>
          <w:rFonts w:hint="eastAsia" w:ascii="楷体_GB2312" w:eastAsia="楷体_GB2312"/>
          <w:b/>
          <w:bCs/>
          <w:spacing w:val="-28"/>
          <w:sz w:val="36"/>
          <w:szCs w:val="36"/>
          <w:lang w:eastAsia="zh-CN"/>
        </w:rPr>
        <w:t>部门(单位)名称：</w:t>
      </w:r>
      <w:r>
        <w:rPr>
          <w:rFonts w:hint="eastAsia" w:ascii="楷体_GB2312" w:eastAsia="楷体_GB2312"/>
          <w:b/>
          <w:bCs/>
          <w:spacing w:val="-28"/>
          <w:sz w:val="36"/>
          <w:szCs w:val="36"/>
          <w:u w:val="single"/>
          <w:lang w:eastAsia="zh-CN"/>
        </w:rPr>
        <w:t>(盖章)</w:t>
      </w:r>
    </w:p>
    <w:p w14:paraId="184B1732">
      <w:pPr>
        <w:spacing w:before="274" w:line="225" w:lineRule="auto"/>
        <w:ind w:firstLine="617"/>
        <w:jc w:val="center"/>
        <w:rPr>
          <w:rFonts w:ascii="楷体_GB2312" w:hAnsi="楷体" w:eastAsia="楷体_GB2312" w:cs="楷体"/>
          <w:sz w:val="36"/>
          <w:szCs w:val="36"/>
          <w:lang w:eastAsia="zh-CN"/>
        </w:rPr>
      </w:pPr>
      <w:r>
        <w:rPr>
          <w:rFonts w:hint="eastAsia" w:ascii="楷体_GB2312" w:hAnsi="楷体" w:eastAsia="楷体_GB2312" w:cs="楷体"/>
          <w:b/>
          <w:bCs/>
          <w:spacing w:val="-13"/>
          <w:sz w:val="36"/>
          <w:szCs w:val="36"/>
          <w:lang w:val="en-US" w:eastAsia="zh-CN"/>
        </w:rPr>
        <w:t>2025</w:t>
      </w:r>
      <w:r>
        <w:rPr>
          <w:rFonts w:hint="eastAsia" w:ascii="楷体_GB2312" w:hAnsi="楷体" w:eastAsia="楷体_GB2312" w:cs="楷体"/>
          <w:b/>
          <w:bCs/>
          <w:spacing w:val="-13"/>
          <w:sz w:val="36"/>
          <w:szCs w:val="36"/>
          <w:lang w:eastAsia="zh-CN"/>
        </w:rPr>
        <w:t>年</w:t>
      </w:r>
      <w:r>
        <w:rPr>
          <w:rFonts w:hint="eastAsia" w:ascii="楷体_GB2312" w:hAnsi="楷体" w:eastAsia="楷体_GB2312" w:cs="楷体"/>
          <w:b/>
          <w:bCs/>
          <w:spacing w:val="-13"/>
          <w:sz w:val="36"/>
          <w:szCs w:val="36"/>
          <w:lang w:val="en-US" w:eastAsia="zh-CN"/>
        </w:rPr>
        <w:t>4</w:t>
      </w:r>
      <w:r>
        <w:rPr>
          <w:rFonts w:hint="eastAsia" w:ascii="楷体_GB2312" w:hAnsi="楷体" w:eastAsia="楷体_GB2312" w:cs="楷体"/>
          <w:spacing w:val="-13"/>
          <w:sz w:val="36"/>
          <w:szCs w:val="36"/>
          <w:lang w:eastAsia="zh-CN"/>
        </w:rPr>
        <w:t>月</w:t>
      </w:r>
      <w:r>
        <w:rPr>
          <w:rFonts w:hint="eastAsia" w:ascii="楷体_GB2312" w:hAnsi="楷体" w:eastAsia="楷体_GB2312" w:cs="楷体"/>
          <w:spacing w:val="-13"/>
          <w:sz w:val="36"/>
          <w:szCs w:val="36"/>
          <w:lang w:val="en-US" w:eastAsia="zh-CN"/>
        </w:rPr>
        <w:t>8</w:t>
      </w:r>
      <w:r>
        <w:rPr>
          <w:rFonts w:hint="eastAsia" w:ascii="楷体_GB2312" w:hAnsi="楷体" w:eastAsia="楷体_GB2312" w:cs="楷体"/>
          <w:b/>
          <w:bCs/>
          <w:spacing w:val="-13"/>
          <w:sz w:val="36"/>
          <w:szCs w:val="36"/>
          <w:lang w:eastAsia="zh-CN"/>
        </w:rPr>
        <w:t>日</w:t>
      </w:r>
    </w:p>
    <w:p w14:paraId="0011CF71">
      <w:pPr>
        <w:pStyle w:val="3"/>
        <w:spacing w:before="211" w:line="224" w:lineRule="auto"/>
        <w:jc w:val="both"/>
        <w:rPr>
          <w:rFonts w:hint="eastAsia"/>
          <w:b/>
          <w:bCs/>
          <w:spacing w:val="18"/>
          <w:sz w:val="32"/>
          <w:szCs w:val="32"/>
          <w:lang w:val="en-US" w:eastAsia="zh-CN"/>
        </w:rPr>
      </w:pPr>
      <w:r>
        <w:rPr>
          <w:rFonts w:hint="eastAsia"/>
          <w:b/>
          <w:bCs/>
          <w:spacing w:val="18"/>
          <w:sz w:val="32"/>
          <w:szCs w:val="32"/>
          <w:lang w:val="en-US" w:eastAsia="zh-CN"/>
        </w:rPr>
        <w:t xml:space="preserve"> </w:t>
      </w:r>
    </w:p>
    <w:p w14:paraId="70FA05C6">
      <w:pPr>
        <w:pStyle w:val="3"/>
        <w:spacing w:before="211" w:line="224" w:lineRule="auto"/>
        <w:jc w:val="both"/>
        <w:rPr>
          <w:rFonts w:hint="default"/>
          <w:b/>
          <w:bCs/>
          <w:spacing w:val="18"/>
          <w:sz w:val="32"/>
          <w:szCs w:val="32"/>
          <w:lang w:val="en-US" w:eastAsia="zh-CN"/>
        </w:rPr>
      </w:pPr>
    </w:p>
    <w:p w14:paraId="534B3FDC">
      <w:pPr>
        <w:pStyle w:val="4"/>
        <w:ind w:firstLine="360"/>
        <w:rPr>
          <w:rFonts w:hint="eastAsia" w:ascii="宋体" w:hAnsi="宋体" w:eastAsia="宋体"/>
          <w:sz w:val="28"/>
          <w:szCs w:val="28"/>
        </w:rPr>
      </w:pPr>
    </w:p>
    <w:p w14:paraId="1FD3C2C4">
      <w:pPr>
        <w:rPr>
          <w:rFonts w:hint="eastAsia" w:ascii="宋体" w:hAnsi="宋体" w:eastAsia="宋体"/>
          <w:sz w:val="28"/>
          <w:szCs w:val="28"/>
        </w:rPr>
      </w:pPr>
    </w:p>
    <w:p w14:paraId="3E451403">
      <w:pPr>
        <w:pStyle w:val="2"/>
        <w:rPr>
          <w:rFonts w:hint="eastAsia"/>
        </w:rPr>
      </w:pPr>
    </w:p>
    <w:p w14:paraId="265B8F5B">
      <w:pPr>
        <w:pStyle w:val="4"/>
        <w:ind w:firstLine="360"/>
        <w:rPr>
          <w:b/>
          <w:bCs/>
          <w:spacing w:val="18"/>
          <w:sz w:val="28"/>
          <w:szCs w:val="28"/>
          <w:lang w:eastAsia="zh-CN"/>
        </w:rPr>
      </w:pPr>
    </w:p>
    <w:p w14:paraId="571BDFFD">
      <w:pPr>
        <w:pStyle w:val="3"/>
        <w:keepNext w:val="0"/>
        <w:keepLines w:val="0"/>
        <w:pageBreakBefore w:val="0"/>
        <w:numPr>
          <w:ilvl w:val="0"/>
          <w:numId w:val="1"/>
        </w:numPr>
        <w:wordWrap/>
        <w:overflowPunct/>
        <w:topLinePunct w:val="0"/>
        <w:autoSpaceDE w:val="0"/>
        <w:autoSpaceDN w:val="0"/>
        <w:bidi w:val="0"/>
        <w:spacing w:before="0" w:line="360" w:lineRule="auto"/>
        <w:ind w:left="0" w:leftChars="0" w:firstLine="640"/>
        <w:jc w:val="both"/>
        <w:outlineLvl w:val="9"/>
        <w:rPr>
          <w:rFonts w:hint="eastAsia" w:ascii="方正黑体_GBK" w:eastAsia="方正黑体_GBK"/>
          <w:sz w:val="28"/>
          <w:szCs w:val="28"/>
          <w:lang w:eastAsia="zh-CN"/>
        </w:rPr>
      </w:pPr>
      <w:r>
        <w:rPr>
          <w:rFonts w:hint="eastAsia" w:ascii="方正黑体_GBK" w:eastAsia="方正黑体_GBK"/>
          <w:sz w:val="28"/>
          <w:szCs w:val="28"/>
          <w:lang w:eastAsia="zh-CN"/>
        </w:rPr>
        <w:t>部门</w:t>
      </w:r>
      <w:r>
        <w:rPr>
          <w:rFonts w:ascii="方正黑体_GBK" w:eastAsia="方正黑体_GBK"/>
          <w:sz w:val="28"/>
          <w:szCs w:val="28"/>
          <w:lang w:eastAsia="zh-CN"/>
        </w:rPr>
        <w:t>(</w:t>
      </w:r>
      <w:r>
        <w:rPr>
          <w:rFonts w:hint="eastAsia" w:ascii="方正黑体_GBK" w:eastAsia="方正黑体_GBK"/>
          <w:sz w:val="28"/>
          <w:szCs w:val="28"/>
          <w:lang w:eastAsia="zh-CN"/>
        </w:rPr>
        <w:t>单位</w:t>
      </w:r>
      <w:r>
        <w:rPr>
          <w:rFonts w:ascii="方正黑体_GBK" w:eastAsia="方正黑体_GBK"/>
          <w:sz w:val="28"/>
          <w:szCs w:val="28"/>
          <w:lang w:eastAsia="zh-CN"/>
        </w:rPr>
        <w:t>)</w:t>
      </w:r>
      <w:r>
        <w:rPr>
          <w:rFonts w:hint="eastAsia" w:ascii="方正黑体_GBK" w:eastAsia="方正黑体_GBK"/>
          <w:sz w:val="28"/>
          <w:szCs w:val="28"/>
          <w:lang w:eastAsia="zh-CN"/>
        </w:rPr>
        <w:t>基本情况</w:t>
      </w:r>
    </w:p>
    <w:p w14:paraId="0BBDE4A2">
      <w:pPr>
        <w:keepNext w:val="0"/>
        <w:keepLines w:val="0"/>
        <w:pageBreakBefore w:val="0"/>
        <w:widowControl/>
        <w:kinsoku/>
        <w:wordWrap/>
        <w:overflowPunct/>
        <w:topLinePunct w:val="0"/>
        <w:autoSpaceDE w:val="0"/>
        <w:autoSpaceDN w:val="0"/>
        <w:bidi w:val="0"/>
        <w:adjustRightInd/>
        <w:snapToGrid/>
        <w:spacing w:line="360" w:lineRule="auto"/>
        <w:ind w:left="0" w:leftChars="0" w:firstLine="562" w:firstLineChars="200"/>
        <w:textAlignment w:val="auto"/>
        <w:outlineLvl w:val="9"/>
        <w:rPr>
          <w:rFonts w:hint="eastAsia" w:ascii="仿宋" w:hAnsi="仿宋" w:eastAsia="仿宋" w:cs="仿宋"/>
          <w:b/>
          <w:bCs/>
          <w:kern w:val="0"/>
          <w:sz w:val="28"/>
          <w:szCs w:val="28"/>
        </w:rPr>
      </w:pPr>
      <w:r>
        <w:rPr>
          <w:rFonts w:hint="eastAsia" w:ascii="仿宋" w:hAnsi="仿宋" w:eastAsia="仿宋" w:cs="仿宋"/>
          <w:b/>
          <w:bCs/>
          <w:kern w:val="0"/>
          <w:sz w:val="28"/>
          <w:szCs w:val="28"/>
        </w:rPr>
        <w:t>（一）职能职责</w:t>
      </w:r>
    </w:p>
    <w:p w14:paraId="11684749">
      <w:pPr>
        <w:keepNext w:val="0"/>
        <w:keepLines w:val="0"/>
        <w:pageBreakBefore w:val="0"/>
        <w:wordWrap/>
        <w:overflowPunct/>
        <w:topLinePunct w:val="0"/>
        <w:autoSpaceDE w:val="0"/>
        <w:autoSpaceDN w:val="0"/>
        <w:bidi w:val="0"/>
        <w:spacing w:line="360" w:lineRule="auto"/>
        <w:ind w:left="0" w:leftChars="0" w:firstLine="560" w:firstLineChars="200"/>
        <w:outlineLvl w:val="9"/>
        <w:rPr>
          <w:rFonts w:hint="eastAsia" w:ascii="仿宋" w:hAnsi="仿宋" w:eastAsia="仿宋" w:cs="仿宋"/>
          <w:sz w:val="28"/>
          <w:szCs w:val="28"/>
        </w:rPr>
      </w:pPr>
      <w:r>
        <w:rPr>
          <w:rFonts w:hint="eastAsia" w:ascii="仿宋" w:hAnsi="仿宋" w:eastAsia="仿宋" w:cs="仿宋"/>
          <w:sz w:val="28"/>
          <w:szCs w:val="28"/>
        </w:rPr>
        <w:t>（一）制定全县民政事业中、长期发展规划和年度计划，研究制订全县民政工作有关政策、规章的实施细则与办法并负责组织实施和监督检查。</w:t>
      </w:r>
    </w:p>
    <w:p w14:paraId="07445652">
      <w:pPr>
        <w:keepNext w:val="0"/>
        <w:keepLines w:val="0"/>
        <w:pageBreakBefore w:val="0"/>
        <w:wordWrap/>
        <w:overflowPunct/>
        <w:topLinePunct w:val="0"/>
        <w:autoSpaceDE w:val="0"/>
        <w:autoSpaceDN w:val="0"/>
        <w:bidi w:val="0"/>
        <w:spacing w:line="360" w:lineRule="auto"/>
        <w:ind w:left="0" w:leftChars="0" w:firstLine="560" w:firstLineChars="200"/>
        <w:outlineLvl w:val="9"/>
        <w:rPr>
          <w:rFonts w:hint="eastAsia" w:ascii="仿宋" w:hAnsi="仿宋" w:eastAsia="仿宋" w:cs="仿宋"/>
          <w:sz w:val="28"/>
          <w:szCs w:val="28"/>
        </w:rPr>
      </w:pPr>
      <w:r>
        <w:rPr>
          <w:rFonts w:hint="eastAsia" w:ascii="仿宋" w:hAnsi="仿宋" w:eastAsia="仿宋" w:cs="仿宋"/>
          <w:sz w:val="28"/>
          <w:szCs w:val="28"/>
        </w:rPr>
        <w:t>（二）制订全县社会组织登记和监督管理办法并组织实施，依法对社会组织进行登记管理和执法监督。</w:t>
      </w:r>
    </w:p>
    <w:p w14:paraId="33717398">
      <w:pPr>
        <w:keepNext w:val="0"/>
        <w:keepLines w:val="0"/>
        <w:pageBreakBefore w:val="0"/>
        <w:pBdr>
          <w:top w:val="none" w:color="000000" w:sz="0" w:space="0"/>
          <w:left w:val="none" w:color="000000" w:sz="0" w:space="0"/>
          <w:bottom w:val="none" w:color="000000" w:sz="0" w:space="0"/>
          <w:right w:val="none" w:color="000000" w:sz="0" w:space="0"/>
        </w:pBdr>
        <w:shd w:val="solid" w:color="FFFFFF" w:fill="auto"/>
        <w:wordWrap/>
        <w:overflowPunct/>
        <w:topLinePunct w:val="0"/>
        <w:autoSpaceDE w:val="0"/>
        <w:autoSpaceDN w:val="0"/>
        <w:bidi w:val="0"/>
        <w:spacing w:line="360" w:lineRule="auto"/>
        <w:ind w:left="0" w:leftChars="0" w:firstLine="560" w:firstLineChars="200"/>
        <w:outlineLvl w:val="9"/>
        <w:rPr>
          <w:rFonts w:hint="eastAsia" w:ascii="仿宋" w:hAnsi="仿宋" w:eastAsia="仿宋" w:cs="仿宋"/>
          <w:sz w:val="28"/>
          <w:szCs w:val="28"/>
        </w:rPr>
      </w:pPr>
      <w:r>
        <w:rPr>
          <w:rFonts w:hint="eastAsia" w:ascii="仿宋" w:hAnsi="仿宋" w:eastAsia="仿宋" w:cs="仿宋"/>
          <w:sz w:val="28"/>
          <w:szCs w:val="28"/>
        </w:rPr>
        <w:t>（三）拟定全县社会救助政策、标准，统筹社会救助体系建设，负责城乡居民最低生活保障、特困人员救助供养、临时救助等工作；负责农村敬老院建设工作；负责本行政区域内低收入家庭收入核查统计认定工作。</w:t>
      </w:r>
    </w:p>
    <w:p w14:paraId="58C1849D">
      <w:pPr>
        <w:keepNext w:val="0"/>
        <w:keepLines w:val="0"/>
        <w:pageBreakBefore w:val="0"/>
        <w:wordWrap/>
        <w:overflowPunct/>
        <w:topLinePunct w:val="0"/>
        <w:autoSpaceDE w:val="0"/>
        <w:autoSpaceDN w:val="0"/>
        <w:bidi w:val="0"/>
        <w:spacing w:line="360" w:lineRule="auto"/>
        <w:ind w:left="0" w:leftChars="0" w:firstLine="560" w:firstLineChars="200"/>
        <w:outlineLvl w:val="9"/>
        <w:rPr>
          <w:rFonts w:hint="eastAsia" w:ascii="仿宋" w:hAnsi="仿宋" w:eastAsia="仿宋" w:cs="仿宋"/>
          <w:sz w:val="28"/>
          <w:szCs w:val="28"/>
        </w:rPr>
      </w:pPr>
      <w:r>
        <w:rPr>
          <w:rFonts w:hint="eastAsia" w:ascii="仿宋" w:hAnsi="仿宋" w:eastAsia="仿宋" w:cs="仿宋"/>
          <w:sz w:val="28"/>
          <w:szCs w:val="28"/>
        </w:rPr>
        <w:t>（四）拟定全县城乡基层群众自治建设和社区治理政策，指导、组织城乡社区建设和服务管理；</w:t>
      </w:r>
      <w:r>
        <w:rPr>
          <w:rFonts w:hint="eastAsia" w:ascii="仿宋" w:hAnsi="仿宋" w:eastAsia="仿宋" w:cs="仿宋"/>
          <w:kern w:val="0"/>
          <w:sz w:val="28"/>
          <w:szCs w:val="28"/>
        </w:rPr>
        <w:t>指导村民委员会和居民委员会民主选举、民主决策、民主管理和民主监督工作</w:t>
      </w:r>
      <w:r>
        <w:rPr>
          <w:rFonts w:hint="eastAsia" w:ascii="仿宋" w:hAnsi="仿宋" w:eastAsia="仿宋" w:cs="仿宋"/>
          <w:bCs/>
          <w:kern w:val="0"/>
          <w:sz w:val="28"/>
          <w:szCs w:val="28"/>
        </w:rPr>
        <w:t>；</w:t>
      </w:r>
      <w:r>
        <w:rPr>
          <w:rFonts w:hint="eastAsia" w:ascii="仿宋" w:hAnsi="仿宋" w:eastAsia="仿宋" w:cs="仿宋"/>
          <w:sz w:val="28"/>
          <w:szCs w:val="28"/>
        </w:rPr>
        <w:t>推动村（居）务公开和基层民主政治建设。</w:t>
      </w:r>
    </w:p>
    <w:p w14:paraId="3B4C4A48">
      <w:pPr>
        <w:keepNext w:val="0"/>
        <w:keepLines w:val="0"/>
        <w:pageBreakBefore w:val="0"/>
        <w:wordWrap/>
        <w:overflowPunct/>
        <w:topLinePunct w:val="0"/>
        <w:autoSpaceDE w:val="0"/>
        <w:autoSpaceDN w:val="0"/>
        <w:bidi w:val="0"/>
        <w:spacing w:line="360" w:lineRule="auto"/>
        <w:ind w:left="0" w:leftChars="0" w:firstLine="560" w:firstLineChars="200"/>
        <w:outlineLvl w:val="9"/>
        <w:rPr>
          <w:rFonts w:hint="eastAsia" w:ascii="仿宋" w:hAnsi="仿宋" w:eastAsia="仿宋" w:cs="仿宋"/>
          <w:kern w:val="0"/>
          <w:sz w:val="28"/>
          <w:szCs w:val="28"/>
        </w:rPr>
      </w:pPr>
      <w:r>
        <w:rPr>
          <w:rFonts w:hint="eastAsia" w:ascii="仿宋" w:hAnsi="仿宋" w:eastAsia="仿宋" w:cs="仿宋"/>
          <w:sz w:val="28"/>
          <w:szCs w:val="28"/>
        </w:rPr>
        <w:t>（五）贯彻执行国家关于地名工作的方针、政策、法律、法规；落实全国地名工作规划；</w:t>
      </w:r>
      <w:r>
        <w:rPr>
          <w:rFonts w:hint="eastAsia" w:ascii="仿宋" w:hAnsi="仿宋" w:eastAsia="仿宋" w:cs="仿宋"/>
          <w:kern w:val="0"/>
          <w:sz w:val="28"/>
          <w:szCs w:val="28"/>
        </w:rPr>
        <w:t>负责乡（镇）村的设立、撤销、更名和界线变更的审核报批工作；研究和拟订全县行政区划的总体规划，办理报批手续，并组织实施；承办与邻县边界的勘定和边界调处工作；指导各乡（镇）行政区划和界线争议的调查和处理工作。审核承办本辖区地名的命名、更名；推行地名的标准化、规范化；设置地名标志和城乡街门牌；管理地名档案；完成国家其他地名工作任务；负责行政区划界线的勘定和管理工作。</w:t>
      </w:r>
    </w:p>
    <w:p w14:paraId="02AF8E08">
      <w:pPr>
        <w:keepNext w:val="0"/>
        <w:keepLines w:val="0"/>
        <w:pageBreakBefore w:val="0"/>
        <w:wordWrap/>
        <w:overflowPunct/>
        <w:topLinePunct w:val="0"/>
        <w:autoSpaceDE w:val="0"/>
        <w:autoSpaceDN w:val="0"/>
        <w:bidi w:val="0"/>
        <w:spacing w:line="360" w:lineRule="auto"/>
        <w:ind w:left="0" w:leftChars="0" w:firstLine="560" w:firstLineChars="200"/>
        <w:outlineLvl w:val="9"/>
        <w:rPr>
          <w:rFonts w:hint="eastAsia" w:ascii="仿宋" w:hAnsi="仿宋" w:eastAsia="仿宋" w:cs="仿宋"/>
          <w:sz w:val="28"/>
          <w:szCs w:val="28"/>
        </w:rPr>
      </w:pPr>
      <w:r>
        <w:rPr>
          <w:rFonts w:hint="eastAsia" w:ascii="仿宋" w:hAnsi="仿宋" w:eastAsia="仿宋" w:cs="仿宋"/>
          <w:sz w:val="28"/>
          <w:szCs w:val="28"/>
        </w:rPr>
        <w:t>（六）贯彻执行国家的婚姻登记、殡葬管理政策并组织实施；推进婚俗和殡葬改革；指导婚姻、殡葬服务机构管理工作；指导生活无着人员救助管理站的建设，</w:t>
      </w:r>
      <w:r>
        <w:rPr>
          <w:rFonts w:hint="eastAsia" w:ascii="仿宋" w:hAnsi="仿宋" w:eastAsia="仿宋" w:cs="仿宋"/>
          <w:color w:val="auto"/>
          <w:sz w:val="28"/>
          <w:szCs w:val="28"/>
        </w:rPr>
        <w:t>负责</w:t>
      </w:r>
      <w:r>
        <w:rPr>
          <w:rFonts w:hint="eastAsia" w:ascii="仿宋" w:hAnsi="仿宋" w:eastAsia="仿宋" w:cs="仿宋"/>
          <w:sz w:val="28"/>
          <w:szCs w:val="28"/>
        </w:rPr>
        <w:t>生活无着人员救助管理工作。</w:t>
      </w:r>
    </w:p>
    <w:p w14:paraId="409DFB52">
      <w:pPr>
        <w:keepNext w:val="0"/>
        <w:keepLines w:val="0"/>
        <w:pageBreakBefore w:val="0"/>
        <w:wordWrap/>
        <w:overflowPunct/>
        <w:topLinePunct w:val="0"/>
        <w:autoSpaceDE w:val="0"/>
        <w:autoSpaceDN w:val="0"/>
        <w:bidi w:val="0"/>
        <w:spacing w:line="360" w:lineRule="auto"/>
        <w:ind w:left="0" w:leftChars="0" w:firstLine="560" w:firstLineChars="200"/>
        <w:outlineLvl w:val="9"/>
        <w:rPr>
          <w:rFonts w:hint="eastAsia" w:ascii="仿宋" w:hAnsi="仿宋" w:eastAsia="仿宋" w:cs="仿宋"/>
          <w:sz w:val="28"/>
          <w:szCs w:val="28"/>
        </w:rPr>
      </w:pPr>
      <w:r>
        <w:rPr>
          <w:rFonts w:hint="eastAsia" w:ascii="仿宋" w:hAnsi="仿宋" w:eastAsia="仿宋" w:cs="仿宋"/>
          <w:sz w:val="28"/>
          <w:szCs w:val="28"/>
        </w:rPr>
        <w:t>（七）制定全县社会福利事业发展规划；指导全县社会福利机构的建设和管理；拟订社会福利企业认定标准和扶持政策；指导老年人、残疾人等特殊群体的权益保障工作；统筹推进残疾人福利制度建设和康复辅助器具产业发展；拟订福利彩票发行管理具体实施办法并指导使用；组织拟订促进慈善事业发展的规划、政策；组织、指导社会捐助工作。</w:t>
      </w:r>
    </w:p>
    <w:p w14:paraId="649E554E">
      <w:pPr>
        <w:keepNext w:val="0"/>
        <w:keepLines w:val="0"/>
        <w:pageBreakBefore w:val="0"/>
        <w:wordWrap/>
        <w:overflowPunct/>
        <w:topLinePunct w:val="0"/>
        <w:autoSpaceDE w:val="0"/>
        <w:autoSpaceDN w:val="0"/>
        <w:bidi w:val="0"/>
        <w:spacing w:line="360" w:lineRule="auto"/>
        <w:ind w:left="0" w:leftChars="0" w:firstLine="560" w:firstLineChars="200"/>
        <w:outlineLvl w:val="9"/>
        <w:rPr>
          <w:rFonts w:hint="eastAsia" w:ascii="仿宋" w:hAnsi="仿宋" w:eastAsia="仿宋" w:cs="仿宋"/>
          <w:sz w:val="28"/>
          <w:szCs w:val="28"/>
        </w:rPr>
      </w:pPr>
      <w:r>
        <w:rPr>
          <w:rFonts w:hint="eastAsia" w:ascii="仿宋" w:hAnsi="仿宋" w:eastAsia="仿宋" w:cs="仿宋"/>
          <w:sz w:val="28"/>
          <w:szCs w:val="28"/>
        </w:rPr>
        <w:t>（八）拟订儿童福利、孤弃儿童保障、儿童收养、儿童救助保护政策、标准，健全农村留守儿童关爱服务体系和困境儿童保障制度。</w:t>
      </w:r>
    </w:p>
    <w:p w14:paraId="38507D70">
      <w:pPr>
        <w:keepNext w:val="0"/>
        <w:keepLines w:val="0"/>
        <w:pageBreakBefore w:val="0"/>
        <w:wordWrap/>
        <w:overflowPunct/>
        <w:topLinePunct w:val="0"/>
        <w:autoSpaceDE w:val="0"/>
        <w:autoSpaceDN w:val="0"/>
        <w:bidi w:val="0"/>
        <w:spacing w:line="360" w:lineRule="auto"/>
        <w:ind w:left="0" w:leftChars="0" w:firstLine="560" w:firstLineChars="200"/>
        <w:outlineLvl w:val="9"/>
        <w:rPr>
          <w:rFonts w:hint="eastAsia" w:ascii="仿宋" w:hAnsi="仿宋" w:eastAsia="仿宋" w:cs="仿宋"/>
          <w:sz w:val="28"/>
          <w:szCs w:val="28"/>
        </w:rPr>
      </w:pPr>
      <w:r>
        <w:rPr>
          <w:rFonts w:hint="eastAsia" w:ascii="仿宋" w:hAnsi="仿宋" w:eastAsia="仿宋" w:cs="仿宋"/>
          <w:sz w:val="28"/>
          <w:szCs w:val="28"/>
        </w:rPr>
        <w:t>（九）会同有关部门按规定拟定全县社会工作规范性文件草案和发展规划、职业规划，推进社会工作人才队伍建设和相关志愿者队伍建设；指导全县基层民政干部职工队伍建设；推进民政科技和民政行业标准化工作。</w:t>
      </w:r>
    </w:p>
    <w:p w14:paraId="7D17238E">
      <w:pPr>
        <w:keepNext w:val="0"/>
        <w:keepLines w:val="0"/>
        <w:pageBreakBefore w:val="0"/>
        <w:wordWrap/>
        <w:overflowPunct/>
        <w:topLinePunct w:val="0"/>
        <w:autoSpaceDE w:val="0"/>
        <w:autoSpaceDN w:val="0"/>
        <w:bidi w:val="0"/>
        <w:spacing w:line="360" w:lineRule="auto"/>
        <w:ind w:left="0" w:leftChars="0" w:firstLine="560" w:firstLineChars="200"/>
        <w:outlineLvl w:val="9"/>
        <w:rPr>
          <w:rFonts w:hint="eastAsia" w:ascii="仿宋" w:hAnsi="仿宋" w:eastAsia="仿宋" w:cs="仿宋"/>
          <w:sz w:val="28"/>
          <w:szCs w:val="28"/>
        </w:rPr>
      </w:pPr>
      <w:r>
        <w:rPr>
          <w:rFonts w:hint="eastAsia" w:ascii="仿宋" w:hAnsi="仿宋" w:eastAsia="仿宋" w:cs="仿宋"/>
          <w:sz w:val="28"/>
          <w:szCs w:val="28"/>
        </w:rPr>
        <w:t>（十） 负责全县民政事业经费的管理、审计和监督；负责民政统计工作。</w:t>
      </w:r>
    </w:p>
    <w:p w14:paraId="43F08018">
      <w:pPr>
        <w:keepNext w:val="0"/>
        <w:keepLines w:val="0"/>
        <w:pageBreakBefore w:val="0"/>
        <w:wordWrap/>
        <w:overflowPunct/>
        <w:topLinePunct w:val="0"/>
        <w:autoSpaceDE w:val="0"/>
        <w:autoSpaceDN w:val="0"/>
        <w:bidi w:val="0"/>
        <w:spacing w:line="360" w:lineRule="auto"/>
        <w:ind w:left="0" w:leftChars="0" w:firstLine="560" w:firstLineChars="200"/>
        <w:outlineLvl w:val="9"/>
        <w:rPr>
          <w:rFonts w:hint="eastAsia" w:ascii="仿宋" w:hAnsi="仿宋" w:eastAsia="仿宋" w:cs="仿宋"/>
          <w:sz w:val="28"/>
          <w:szCs w:val="28"/>
        </w:rPr>
      </w:pPr>
      <w:r>
        <w:rPr>
          <w:rFonts w:hint="eastAsia" w:ascii="仿宋" w:hAnsi="仿宋" w:eastAsia="仿宋" w:cs="仿宋"/>
          <w:sz w:val="28"/>
          <w:szCs w:val="28"/>
        </w:rPr>
        <w:t>（十一）完成县委、县政府交办的其他任务。</w:t>
      </w:r>
    </w:p>
    <w:p w14:paraId="2C21520A">
      <w:pPr>
        <w:keepNext w:val="0"/>
        <w:keepLines w:val="0"/>
        <w:pageBreakBefore w:val="0"/>
        <w:widowControl/>
        <w:kinsoku/>
        <w:wordWrap/>
        <w:overflowPunct/>
        <w:topLinePunct w:val="0"/>
        <w:autoSpaceDE w:val="0"/>
        <w:autoSpaceDN w:val="0"/>
        <w:bidi w:val="0"/>
        <w:adjustRightInd/>
        <w:snapToGrid/>
        <w:spacing w:line="360" w:lineRule="auto"/>
        <w:ind w:left="0" w:leftChars="0" w:firstLine="562" w:firstLineChars="200"/>
        <w:textAlignment w:val="auto"/>
        <w:outlineLvl w:val="9"/>
        <w:rPr>
          <w:rFonts w:hint="eastAsia" w:ascii="仿宋" w:hAnsi="仿宋" w:eastAsia="仿宋" w:cs="仿宋"/>
          <w:b/>
          <w:bCs/>
          <w:kern w:val="0"/>
          <w:sz w:val="28"/>
          <w:szCs w:val="28"/>
        </w:rPr>
      </w:pPr>
      <w:r>
        <w:rPr>
          <w:rFonts w:hint="eastAsia" w:ascii="仿宋" w:hAnsi="仿宋" w:eastAsia="仿宋" w:cs="仿宋"/>
          <w:b/>
          <w:bCs/>
          <w:kern w:val="0"/>
          <w:sz w:val="28"/>
          <w:szCs w:val="28"/>
        </w:rPr>
        <w:t>（二）机构设置</w:t>
      </w:r>
    </w:p>
    <w:p w14:paraId="5DA007EB">
      <w:pPr>
        <w:keepNext w:val="0"/>
        <w:keepLines w:val="0"/>
        <w:pageBreakBefore w:val="0"/>
        <w:widowControl/>
        <w:shd w:val="clear" w:color="auto" w:fill="FFFFFF"/>
        <w:wordWrap/>
        <w:overflowPunct/>
        <w:topLinePunct w:val="0"/>
        <w:autoSpaceDE w:val="0"/>
        <w:autoSpaceDN w:val="0"/>
        <w:bidi w:val="0"/>
        <w:spacing w:line="360" w:lineRule="auto"/>
        <w:ind w:left="0" w:leftChars="0" w:firstLine="560" w:firstLineChars="200"/>
        <w:jc w:val="left"/>
        <w:outlineLvl w:val="9"/>
        <w:rPr>
          <w:rFonts w:hint="eastAsia" w:ascii="仿宋" w:hAnsi="仿宋" w:eastAsia="仿宋" w:cs="仿宋"/>
          <w:b/>
          <w:bCs/>
          <w:color w:val="000000"/>
          <w:kern w:val="0"/>
          <w:sz w:val="28"/>
          <w:szCs w:val="28"/>
        </w:rPr>
      </w:pPr>
      <w:r>
        <w:rPr>
          <w:rFonts w:hint="eastAsia" w:ascii="仿宋" w:hAnsi="仿宋" w:eastAsia="仿宋" w:cs="仿宋"/>
          <w:sz w:val="28"/>
          <w:szCs w:val="28"/>
        </w:rPr>
        <w:t>对照省厅、市局机构设置，按照县委审批的三定方案</w:t>
      </w:r>
      <w:r>
        <w:rPr>
          <w:rFonts w:hint="eastAsia" w:ascii="仿宋" w:hAnsi="仿宋" w:eastAsia="仿宋" w:cs="仿宋"/>
          <w:sz w:val="28"/>
          <w:szCs w:val="28"/>
          <w:lang w:val="en-US" w:eastAsia="zh-CN"/>
        </w:rPr>
        <w:t>,岳阳县</w:t>
      </w:r>
      <w:r>
        <w:rPr>
          <w:rFonts w:hint="eastAsia" w:ascii="仿宋" w:hAnsi="仿宋" w:eastAsia="仿宋" w:cs="仿宋"/>
          <w:sz w:val="28"/>
          <w:szCs w:val="28"/>
        </w:rPr>
        <w:t>民政</w:t>
      </w:r>
      <w:r>
        <w:rPr>
          <w:rFonts w:hint="eastAsia" w:ascii="仿宋" w:hAnsi="仿宋" w:eastAsia="仿宋" w:cs="仿宋"/>
          <w:sz w:val="28"/>
          <w:szCs w:val="28"/>
          <w:highlight w:val="none"/>
        </w:rPr>
        <w:t>局</w:t>
      </w:r>
      <w:r>
        <w:rPr>
          <w:rFonts w:hint="eastAsia" w:ascii="仿宋" w:hAnsi="仿宋" w:eastAsia="仿宋" w:cs="仿宋"/>
          <w:sz w:val="28"/>
          <w:szCs w:val="28"/>
          <w:highlight w:val="none"/>
          <w:lang w:eastAsia="zh-CN"/>
        </w:rPr>
        <w:t>内</w:t>
      </w:r>
      <w:r>
        <w:rPr>
          <w:rFonts w:hint="eastAsia" w:ascii="仿宋" w:hAnsi="仿宋" w:eastAsia="仿宋" w:cs="仿宋"/>
          <w:sz w:val="28"/>
          <w:szCs w:val="28"/>
          <w:highlight w:val="none"/>
        </w:rPr>
        <w:t>设 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个股室，分别是：办公室、规划财务股</w:t>
      </w:r>
      <w:r>
        <w:rPr>
          <w:rFonts w:hint="eastAsia" w:ascii="仿宋" w:hAnsi="仿宋" w:eastAsia="仿宋" w:cs="仿宋"/>
          <w:sz w:val="28"/>
          <w:szCs w:val="28"/>
          <w:highlight w:val="none"/>
          <w:lang w:eastAsia="zh-CN"/>
        </w:rPr>
        <w:t>、社会救助股、儿童福利股、养老服务股、社会组织管理股、</w:t>
      </w:r>
      <w:r>
        <w:rPr>
          <w:rFonts w:hint="eastAsia" w:ascii="仿宋" w:hAnsi="仿宋" w:eastAsia="仿宋" w:cs="仿宋"/>
          <w:sz w:val="28"/>
          <w:szCs w:val="28"/>
          <w:highlight w:val="none"/>
        </w:rPr>
        <w:t>人事股、</w:t>
      </w:r>
      <w:r>
        <w:rPr>
          <w:rFonts w:hint="eastAsia" w:ascii="仿宋" w:hAnsi="仿宋" w:eastAsia="仿宋" w:cs="仿宋"/>
          <w:sz w:val="28"/>
          <w:szCs w:val="28"/>
          <w:highlight w:val="none"/>
          <w:lang w:eastAsia="zh-CN"/>
        </w:rPr>
        <w:t>基层政权股、社会事务股、信访室、政策法规股</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全</w:t>
      </w:r>
      <w:r>
        <w:rPr>
          <w:rFonts w:hint="eastAsia" w:ascii="仿宋" w:hAnsi="仿宋" w:eastAsia="仿宋" w:cs="仿宋"/>
          <w:sz w:val="28"/>
          <w:szCs w:val="28"/>
          <w:highlight w:val="none"/>
        </w:rPr>
        <w:t>局</w:t>
      </w:r>
      <w:r>
        <w:rPr>
          <w:rFonts w:hint="eastAsia" w:ascii="仿宋" w:hAnsi="仿宋" w:eastAsia="仿宋" w:cs="仿宋"/>
          <w:sz w:val="28"/>
          <w:szCs w:val="28"/>
          <w:highlight w:val="none"/>
          <w:lang w:eastAsia="zh-CN"/>
        </w:rPr>
        <w:t>系统年末</w:t>
      </w:r>
      <w:r>
        <w:rPr>
          <w:rFonts w:hint="eastAsia" w:ascii="仿宋" w:hAnsi="仿宋" w:eastAsia="仿宋" w:cs="仿宋"/>
          <w:sz w:val="28"/>
          <w:szCs w:val="28"/>
          <w:highlight w:val="none"/>
        </w:rPr>
        <w:t>编制</w:t>
      </w:r>
      <w:r>
        <w:rPr>
          <w:rFonts w:hint="eastAsia" w:ascii="仿宋" w:hAnsi="仿宋" w:eastAsia="仿宋" w:cs="仿宋"/>
          <w:sz w:val="28"/>
          <w:szCs w:val="28"/>
          <w:highlight w:val="none"/>
          <w:lang w:eastAsia="zh-CN"/>
        </w:rPr>
        <w:t>数</w:t>
      </w:r>
      <w:r>
        <w:rPr>
          <w:rFonts w:hint="eastAsia" w:ascii="仿宋" w:hAnsi="仿宋" w:eastAsia="仿宋" w:cs="仿宋"/>
          <w:sz w:val="28"/>
          <w:szCs w:val="28"/>
          <w:highlight w:val="none"/>
          <w:lang w:val="en-US" w:eastAsia="zh-CN"/>
        </w:rPr>
        <w:t>81</w:t>
      </w:r>
      <w:r>
        <w:rPr>
          <w:rFonts w:hint="eastAsia" w:ascii="仿宋" w:hAnsi="仿宋" w:eastAsia="仿宋" w:cs="仿宋"/>
          <w:sz w:val="28"/>
          <w:szCs w:val="28"/>
          <w:highlight w:val="none"/>
        </w:rPr>
        <w:t>名，实有人数</w:t>
      </w:r>
      <w:r>
        <w:rPr>
          <w:rFonts w:hint="eastAsia" w:ascii="仿宋" w:hAnsi="仿宋" w:eastAsia="仿宋" w:cs="仿宋"/>
          <w:sz w:val="28"/>
          <w:szCs w:val="28"/>
          <w:highlight w:val="none"/>
          <w:lang w:val="en-US" w:eastAsia="zh-CN"/>
        </w:rPr>
        <w:t>81</w:t>
      </w:r>
      <w:r>
        <w:rPr>
          <w:rFonts w:hint="eastAsia" w:ascii="仿宋" w:hAnsi="仿宋" w:eastAsia="仿宋" w:cs="仿宋"/>
          <w:sz w:val="28"/>
          <w:szCs w:val="28"/>
          <w:highlight w:val="none"/>
        </w:rPr>
        <w:t>人</w:t>
      </w:r>
      <w:r>
        <w:rPr>
          <w:rFonts w:hint="eastAsia" w:ascii="仿宋" w:hAnsi="仿宋" w:eastAsia="仿宋" w:cs="仿宋"/>
          <w:sz w:val="28"/>
          <w:szCs w:val="28"/>
          <w:highlight w:val="none"/>
          <w:lang w:eastAsia="zh-CN"/>
        </w:rPr>
        <w:t>。</w:t>
      </w:r>
    </w:p>
    <w:p w14:paraId="0A5124D2">
      <w:pPr>
        <w:keepNext w:val="0"/>
        <w:keepLines w:val="0"/>
        <w:pageBreakBefore w:val="0"/>
        <w:wordWrap/>
        <w:overflowPunct/>
        <w:topLinePunct w:val="0"/>
        <w:autoSpaceDE w:val="0"/>
        <w:autoSpaceDN w:val="0"/>
        <w:bidi w:val="0"/>
        <w:spacing w:line="360" w:lineRule="auto"/>
        <w:ind w:left="0" w:leftChars="0" w:firstLine="560" w:firstLineChars="200"/>
        <w:jc w:val="both"/>
        <w:outlineLvl w:val="9"/>
        <w:rPr>
          <w:rFonts w:ascii="方正黑体_GBK" w:eastAsia="方正黑体_GBK"/>
          <w:sz w:val="28"/>
          <w:szCs w:val="28"/>
          <w:lang w:eastAsia="zh-CN"/>
        </w:rPr>
      </w:pPr>
      <w:r>
        <w:rPr>
          <w:rFonts w:hint="eastAsia" w:ascii="方正黑体_GBK" w:eastAsia="方正黑体_GBK"/>
          <w:sz w:val="28"/>
          <w:szCs w:val="28"/>
          <w:lang w:eastAsia="zh-CN"/>
        </w:rPr>
        <w:t>二、一般公共预算支出情况</w:t>
      </w:r>
    </w:p>
    <w:p w14:paraId="3868D2AF">
      <w:pPr>
        <w:pStyle w:val="8"/>
        <w:keepNext w:val="0"/>
        <w:keepLines w:val="0"/>
        <w:pageBreakBefore w:val="0"/>
        <w:wordWrap/>
        <w:overflowPunct/>
        <w:topLinePunct w:val="0"/>
        <w:autoSpaceDE w:val="0"/>
        <w:autoSpaceDN w:val="0"/>
        <w:bidi w:val="0"/>
        <w:spacing w:line="360" w:lineRule="auto"/>
        <w:ind w:left="0" w:leftChars="0" w:firstLine="643"/>
        <w:jc w:val="both"/>
        <w:outlineLvl w:val="9"/>
        <w:rPr>
          <w:rFonts w:hint="eastAsia" w:ascii="Times New Roman" w:hAnsi="Times New Roman" w:eastAsia="仿宋_GB2312"/>
          <w:b/>
          <w:bCs w:val="0"/>
          <w:sz w:val="28"/>
          <w:szCs w:val="28"/>
          <w:lang w:eastAsia="zh-CN"/>
        </w:rPr>
      </w:pPr>
      <w:r>
        <w:rPr>
          <w:rFonts w:hint="eastAsia" w:ascii="Times New Roman" w:hAnsi="Times New Roman" w:eastAsia="楷体_GB2312"/>
          <w:b/>
          <w:bCs w:val="0"/>
          <w:sz w:val="28"/>
          <w:szCs w:val="28"/>
          <w:lang w:eastAsia="zh-CN"/>
        </w:rPr>
        <w:t>（一）</w:t>
      </w:r>
      <w:r>
        <w:rPr>
          <w:rFonts w:hint="eastAsia" w:ascii="Times New Roman" w:hAnsi="Times New Roman" w:eastAsia="仿宋_GB2312"/>
          <w:b/>
          <w:bCs w:val="0"/>
          <w:sz w:val="28"/>
          <w:szCs w:val="28"/>
          <w:lang w:eastAsia="zh-CN"/>
        </w:rPr>
        <w:t>基本支出情况</w:t>
      </w:r>
    </w:p>
    <w:p w14:paraId="62407C1A">
      <w:pPr>
        <w:pStyle w:val="9"/>
        <w:keepNext w:val="0"/>
        <w:keepLines w:val="0"/>
        <w:pageBreakBefore w:val="0"/>
        <w:wordWrap/>
        <w:overflowPunct/>
        <w:topLinePunct w:val="0"/>
        <w:autoSpaceDE w:val="0"/>
        <w:autoSpaceDN w:val="0"/>
        <w:bidi w:val="0"/>
        <w:spacing w:line="360" w:lineRule="auto"/>
        <w:ind w:left="0" w:leftChars="0" w:firstLine="560" w:firstLineChars="200"/>
        <w:outlineLvl w:val="9"/>
        <w:rPr>
          <w:rFonts w:hint="eastAsia" w:ascii="仿宋" w:hAnsi="仿宋" w:eastAsia="仿宋" w:cs="仿宋"/>
          <w:sz w:val="28"/>
          <w:szCs w:val="28"/>
          <w:lang w:eastAsia="zh-CN"/>
        </w:rPr>
      </w:pPr>
      <w:r>
        <w:rPr>
          <w:rFonts w:hint="eastAsia" w:ascii="仿宋" w:hAnsi="仿宋" w:eastAsia="仿宋" w:cs="仿宋"/>
          <w:sz w:val="28"/>
          <w:szCs w:val="28"/>
          <w:highlight w:val="none"/>
        </w:rPr>
        <w:t>基本支出共计</w:t>
      </w:r>
      <w:r>
        <w:rPr>
          <w:rFonts w:hint="eastAsia" w:ascii="仿宋" w:hAnsi="仿宋" w:eastAsia="仿宋" w:cs="仿宋"/>
          <w:color w:val="000000"/>
          <w:kern w:val="2"/>
          <w:sz w:val="28"/>
          <w:szCs w:val="28"/>
          <w:lang w:val="en-US" w:eastAsia="zh-CN" w:bidi="ar-SA"/>
        </w:rPr>
        <w:t>1362.41</w:t>
      </w:r>
      <w:r>
        <w:rPr>
          <w:rFonts w:hint="eastAsia" w:ascii="仿宋" w:hAnsi="仿宋" w:eastAsia="仿宋" w:cs="仿宋"/>
          <w:sz w:val="28"/>
          <w:szCs w:val="28"/>
          <w:highlight w:val="none"/>
        </w:rPr>
        <w:t>万元，</w:t>
      </w:r>
      <w:r>
        <w:rPr>
          <w:rFonts w:hint="eastAsia" w:ascii="仿宋" w:hAnsi="仿宋" w:eastAsia="仿宋" w:cs="仿宋"/>
          <w:sz w:val="28"/>
          <w:szCs w:val="28"/>
          <w:highlight w:val="none"/>
          <w:lang w:eastAsia="zh-CN"/>
        </w:rPr>
        <w:t>其中</w:t>
      </w:r>
      <w:r>
        <w:rPr>
          <w:rFonts w:hint="eastAsia" w:ascii="仿宋" w:hAnsi="仿宋" w:eastAsia="仿宋" w:cs="仿宋"/>
          <w:sz w:val="28"/>
          <w:szCs w:val="28"/>
        </w:rPr>
        <w:t>人员经费</w:t>
      </w:r>
      <w:r>
        <w:rPr>
          <w:rFonts w:hint="eastAsia" w:ascii="仿宋" w:hAnsi="仿宋" w:eastAsia="仿宋" w:cs="仿宋"/>
          <w:sz w:val="28"/>
          <w:szCs w:val="28"/>
          <w:lang w:val="en-US" w:eastAsia="zh-CN"/>
        </w:rPr>
        <w:t>994.56</w:t>
      </w:r>
      <w:r>
        <w:rPr>
          <w:rFonts w:hint="eastAsia" w:ascii="仿宋" w:hAnsi="仿宋" w:eastAsia="仿宋" w:cs="仿宋"/>
          <w:sz w:val="28"/>
          <w:szCs w:val="28"/>
        </w:rPr>
        <w:t>万元，占基本支出的</w:t>
      </w:r>
      <w:r>
        <w:rPr>
          <w:rFonts w:hint="eastAsia" w:ascii="仿宋" w:hAnsi="仿宋" w:eastAsia="仿宋" w:cs="仿宋"/>
          <w:sz w:val="28"/>
          <w:szCs w:val="28"/>
          <w:lang w:val="en-US" w:eastAsia="zh-CN"/>
        </w:rPr>
        <w:t>73</w:t>
      </w:r>
      <w:r>
        <w:rPr>
          <w:rFonts w:hint="eastAsia" w:ascii="仿宋" w:hAnsi="仿宋" w:eastAsia="仿宋" w:cs="仿宋"/>
          <w:sz w:val="28"/>
          <w:szCs w:val="28"/>
        </w:rPr>
        <w:t>%,主要包括基本工资、津贴补贴、奖金、绩效工资</w:t>
      </w:r>
      <w:r>
        <w:rPr>
          <w:rFonts w:hint="eastAsia" w:ascii="仿宋" w:hAnsi="仿宋" w:eastAsia="仿宋" w:cs="仿宋"/>
          <w:sz w:val="28"/>
          <w:szCs w:val="28"/>
          <w:lang w:eastAsia="zh-CN"/>
        </w:rPr>
        <w:t>、机关事业单位基本养老保险缴费、职工基本医疗保险缴费、公务员医疗补助缴费、其他社会保障缴费、住房公积金、生活补助、救济费、医疗费补助、奖励金。日常</w:t>
      </w:r>
      <w:r>
        <w:rPr>
          <w:rFonts w:hint="eastAsia" w:ascii="仿宋" w:hAnsi="仿宋" w:eastAsia="仿宋" w:cs="仿宋"/>
          <w:sz w:val="28"/>
          <w:szCs w:val="28"/>
        </w:rPr>
        <w:t>公用经费</w:t>
      </w:r>
      <w:r>
        <w:rPr>
          <w:rFonts w:hint="eastAsia" w:ascii="仿宋" w:hAnsi="仿宋" w:eastAsia="仿宋" w:cs="仿宋"/>
          <w:sz w:val="28"/>
          <w:szCs w:val="28"/>
          <w:lang w:val="en-US" w:eastAsia="zh-CN"/>
        </w:rPr>
        <w:t>367.85</w:t>
      </w:r>
      <w:r>
        <w:rPr>
          <w:rFonts w:hint="eastAsia" w:ascii="仿宋" w:hAnsi="仿宋" w:eastAsia="仿宋" w:cs="仿宋"/>
          <w:sz w:val="28"/>
          <w:szCs w:val="28"/>
        </w:rPr>
        <w:t>万元，占基本支出的</w:t>
      </w:r>
      <w:r>
        <w:rPr>
          <w:rFonts w:hint="eastAsia" w:ascii="仿宋" w:hAnsi="仿宋" w:eastAsia="仿宋" w:cs="仿宋"/>
          <w:sz w:val="28"/>
          <w:szCs w:val="28"/>
          <w:lang w:val="en-US" w:eastAsia="zh-CN"/>
        </w:rPr>
        <w:t>27</w:t>
      </w:r>
      <w:r>
        <w:rPr>
          <w:rFonts w:hint="eastAsia" w:ascii="仿宋" w:hAnsi="仿宋" w:eastAsia="仿宋" w:cs="仿宋"/>
          <w:sz w:val="28"/>
          <w:szCs w:val="28"/>
        </w:rPr>
        <w:t>%，主要包括办公费、印刷费、</w:t>
      </w:r>
      <w:r>
        <w:rPr>
          <w:rFonts w:hint="eastAsia" w:ascii="仿宋" w:hAnsi="仿宋" w:eastAsia="仿宋" w:cs="仿宋"/>
          <w:sz w:val="28"/>
          <w:szCs w:val="28"/>
          <w:lang w:eastAsia="zh-CN"/>
        </w:rPr>
        <w:t>水</w:t>
      </w:r>
      <w:r>
        <w:rPr>
          <w:rFonts w:hint="eastAsia" w:ascii="仿宋" w:hAnsi="仿宋" w:eastAsia="仿宋" w:cs="仿宋"/>
          <w:sz w:val="28"/>
          <w:szCs w:val="28"/>
        </w:rPr>
        <w:t>费、</w:t>
      </w:r>
      <w:r>
        <w:rPr>
          <w:rFonts w:hint="eastAsia" w:ascii="仿宋" w:hAnsi="仿宋" w:eastAsia="仿宋" w:cs="仿宋"/>
          <w:sz w:val="28"/>
          <w:szCs w:val="28"/>
          <w:lang w:eastAsia="zh-CN"/>
        </w:rPr>
        <w:t>电</w:t>
      </w:r>
      <w:r>
        <w:rPr>
          <w:rFonts w:hint="eastAsia" w:ascii="仿宋" w:hAnsi="仿宋" w:eastAsia="仿宋" w:cs="仿宋"/>
          <w:sz w:val="28"/>
          <w:szCs w:val="28"/>
        </w:rPr>
        <w:t>费</w:t>
      </w:r>
      <w:r>
        <w:rPr>
          <w:rFonts w:hint="eastAsia" w:ascii="仿宋" w:hAnsi="仿宋" w:eastAsia="仿宋" w:cs="仿宋"/>
          <w:sz w:val="28"/>
          <w:szCs w:val="28"/>
          <w:lang w:eastAsia="zh-CN"/>
        </w:rPr>
        <w:t>、邮电费、差旅费、维修（护）费、培训费、公务接待费、劳务费、委托业务费、工会经费、福利费、其他交通费用、其他商品和服务支出、办公设备购置。</w:t>
      </w:r>
      <w:r>
        <w:rPr>
          <w:rFonts w:hint="eastAsia" w:ascii="仿宋" w:hAnsi="仿宋" w:eastAsia="仿宋" w:cs="仿宋"/>
          <w:sz w:val="28"/>
          <w:szCs w:val="28"/>
          <w:highlight w:val="none"/>
        </w:rPr>
        <w:t>“三公经费”支出</w:t>
      </w:r>
      <w:r>
        <w:rPr>
          <w:rFonts w:hint="eastAsia" w:ascii="仿宋" w:hAnsi="仿宋" w:eastAsia="仿宋" w:cs="仿宋"/>
          <w:sz w:val="28"/>
          <w:szCs w:val="28"/>
          <w:highlight w:val="none"/>
          <w:lang w:val="en-US" w:eastAsia="zh-CN"/>
        </w:rPr>
        <w:t>6.72</w:t>
      </w:r>
      <w:r>
        <w:rPr>
          <w:rFonts w:hint="eastAsia" w:ascii="仿宋" w:hAnsi="仿宋" w:eastAsia="仿宋" w:cs="仿宋"/>
          <w:sz w:val="28"/>
          <w:szCs w:val="28"/>
          <w:highlight w:val="none"/>
        </w:rPr>
        <w:t>万元，其中：公务接待费</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万元，公务用车运行维护费</w:t>
      </w:r>
      <w:r>
        <w:rPr>
          <w:rFonts w:hint="eastAsia" w:ascii="仿宋" w:hAnsi="仿宋" w:eastAsia="仿宋" w:cs="仿宋"/>
          <w:sz w:val="28"/>
          <w:szCs w:val="28"/>
          <w:highlight w:val="none"/>
          <w:lang w:val="en-US" w:eastAsia="zh-CN"/>
        </w:rPr>
        <w:t>6.72</w:t>
      </w:r>
      <w:r>
        <w:rPr>
          <w:rFonts w:hint="eastAsia" w:ascii="仿宋" w:hAnsi="仿宋" w:eastAsia="仿宋" w:cs="仿宋"/>
          <w:sz w:val="28"/>
          <w:szCs w:val="28"/>
          <w:highlight w:val="none"/>
        </w:rPr>
        <w:t>万元。年初我局制定了《岳阳县</w:t>
      </w:r>
      <w:r>
        <w:rPr>
          <w:rFonts w:hint="eastAsia" w:ascii="仿宋" w:hAnsi="仿宋" w:eastAsia="仿宋" w:cs="仿宋"/>
          <w:sz w:val="28"/>
          <w:szCs w:val="28"/>
          <w:highlight w:val="none"/>
          <w:lang w:eastAsia="zh-CN"/>
        </w:rPr>
        <w:t>民政</w:t>
      </w:r>
      <w:r>
        <w:rPr>
          <w:rFonts w:hint="eastAsia" w:ascii="仿宋" w:hAnsi="仿宋" w:eastAsia="仿宋" w:cs="仿宋"/>
          <w:sz w:val="28"/>
          <w:szCs w:val="28"/>
          <w:highlight w:val="none"/>
        </w:rPr>
        <w:t>局20</w:t>
      </w:r>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rPr>
        <w:t>年经济目标任务实施方案》，制订了各部门的经费预算，提出了各部门开支经费基数及“三公经费”控制标准。</w:t>
      </w:r>
    </w:p>
    <w:p w14:paraId="5FED82E6">
      <w:pPr>
        <w:pStyle w:val="8"/>
        <w:keepNext w:val="0"/>
        <w:keepLines w:val="0"/>
        <w:pageBreakBefore w:val="0"/>
        <w:numPr>
          <w:ilvl w:val="0"/>
          <w:numId w:val="2"/>
        </w:numPr>
        <w:wordWrap/>
        <w:overflowPunct/>
        <w:topLinePunct w:val="0"/>
        <w:autoSpaceDE w:val="0"/>
        <w:autoSpaceDN w:val="0"/>
        <w:bidi w:val="0"/>
        <w:spacing w:line="360" w:lineRule="auto"/>
        <w:ind w:left="0" w:leftChars="0" w:firstLine="643"/>
        <w:jc w:val="both"/>
        <w:outlineLvl w:val="9"/>
        <w:rPr>
          <w:rFonts w:hint="eastAsia" w:ascii="Times New Roman" w:hAnsi="Times New Roman" w:eastAsia="仿宋_GB2312"/>
          <w:b/>
          <w:bCs/>
          <w:sz w:val="28"/>
          <w:szCs w:val="28"/>
          <w:lang w:eastAsia="zh-CN"/>
        </w:rPr>
      </w:pPr>
      <w:r>
        <w:rPr>
          <w:rFonts w:hint="eastAsia" w:ascii="Times New Roman" w:hAnsi="Times New Roman" w:eastAsia="仿宋_GB2312"/>
          <w:b/>
          <w:bCs/>
          <w:sz w:val="28"/>
          <w:szCs w:val="28"/>
          <w:lang w:eastAsia="zh-CN"/>
        </w:rPr>
        <w:t>项目支出情况</w:t>
      </w:r>
    </w:p>
    <w:p w14:paraId="7E3ADD1B">
      <w:pPr>
        <w:keepNext w:val="0"/>
        <w:keepLines w:val="0"/>
        <w:pageBreakBefore w:val="0"/>
        <w:widowControl/>
        <w:wordWrap/>
        <w:overflowPunct/>
        <w:topLinePunct w:val="0"/>
        <w:autoSpaceDE w:val="0"/>
        <w:autoSpaceDN w:val="0"/>
        <w:bidi w:val="0"/>
        <w:spacing w:line="360" w:lineRule="auto"/>
        <w:ind w:left="0" w:leftChars="0" w:firstLine="560" w:firstLineChars="200"/>
        <w:outlineLvl w:val="9"/>
        <w:rPr>
          <w:rFonts w:hint="eastAsia" w:ascii="Times New Roman" w:hAnsi="Times New Roman" w:eastAsia="仿宋_GB2312"/>
          <w:sz w:val="28"/>
          <w:szCs w:val="28"/>
          <w:lang w:eastAsia="zh-CN"/>
        </w:rPr>
      </w:pPr>
      <w:r>
        <w:rPr>
          <w:rFonts w:hint="eastAsia" w:ascii="仿宋" w:hAnsi="仿宋" w:eastAsia="仿宋" w:cs="仿宋"/>
          <w:kern w:val="0"/>
          <w:sz w:val="28"/>
          <w:szCs w:val="28"/>
        </w:rPr>
        <w:t>项目支出</w:t>
      </w:r>
      <w:r>
        <w:rPr>
          <w:rFonts w:hint="eastAsia" w:ascii="仿宋" w:hAnsi="仿宋" w:eastAsia="仿宋" w:cs="仿宋"/>
          <w:kern w:val="0"/>
          <w:sz w:val="28"/>
          <w:szCs w:val="28"/>
          <w:lang w:eastAsia="zh-CN"/>
        </w:rPr>
        <w:t>共计</w:t>
      </w:r>
      <w:r>
        <w:rPr>
          <w:rFonts w:hint="eastAsia" w:ascii="仿宋" w:hAnsi="仿宋" w:eastAsia="仿宋" w:cs="仿宋"/>
          <w:kern w:val="0"/>
          <w:sz w:val="28"/>
          <w:szCs w:val="28"/>
          <w:lang w:val="en-US" w:eastAsia="zh-CN"/>
        </w:rPr>
        <w:t>21214.15</w:t>
      </w:r>
      <w:r>
        <w:rPr>
          <w:rFonts w:hint="eastAsia" w:ascii="仿宋" w:hAnsi="仿宋" w:eastAsia="仿宋" w:cs="仿宋"/>
          <w:kern w:val="0"/>
          <w:sz w:val="28"/>
          <w:szCs w:val="28"/>
        </w:rPr>
        <w:t>万元，是指</w:t>
      </w:r>
      <w:r>
        <w:rPr>
          <w:rFonts w:hint="eastAsia" w:ascii="仿宋" w:hAnsi="仿宋" w:eastAsia="仿宋" w:cs="仿宋"/>
          <w:kern w:val="0"/>
          <w:sz w:val="28"/>
          <w:szCs w:val="28"/>
          <w:lang w:eastAsia="zh-CN"/>
        </w:rPr>
        <w:t>单位</w:t>
      </w:r>
      <w:r>
        <w:rPr>
          <w:rFonts w:hint="eastAsia" w:ascii="仿宋" w:hAnsi="仿宋" w:eastAsia="仿宋" w:cs="仿宋"/>
          <w:kern w:val="0"/>
          <w:sz w:val="28"/>
          <w:szCs w:val="28"/>
        </w:rPr>
        <w:t>为完成特定行政工作任务或事业发展目标而发生的支出，包括有关业务工作经费</w:t>
      </w:r>
      <w:r>
        <w:rPr>
          <w:rFonts w:hint="eastAsia" w:ascii="仿宋" w:hAnsi="仿宋" w:eastAsia="仿宋" w:cs="仿宋"/>
          <w:sz w:val="28"/>
          <w:szCs w:val="28"/>
          <w:lang w:eastAsia="zh-CN"/>
        </w:rPr>
        <w:t>、</w:t>
      </w:r>
      <w:r>
        <w:rPr>
          <w:rFonts w:hint="eastAsia" w:ascii="仿宋" w:hAnsi="仿宋" w:eastAsia="仿宋" w:cs="仿宋"/>
          <w:sz w:val="28"/>
          <w:szCs w:val="28"/>
        </w:rPr>
        <w:t>运行维护经费</w:t>
      </w:r>
      <w:r>
        <w:rPr>
          <w:rFonts w:hint="eastAsia" w:ascii="仿宋" w:hAnsi="仿宋" w:eastAsia="仿宋" w:cs="仿宋"/>
          <w:sz w:val="28"/>
          <w:szCs w:val="28"/>
          <w:lang w:val="en-US" w:eastAsia="zh-CN"/>
        </w:rPr>
        <w:t>等</w:t>
      </w:r>
      <w:r>
        <w:rPr>
          <w:rFonts w:hint="eastAsia" w:ascii="仿宋" w:hAnsi="仿宋" w:eastAsia="仿宋" w:cs="仿宋"/>
          <w:sz w:val="28"/>
          <w:szCs w:val="28"/>
        </w:rPr>
        <w:t>。其中：</w:t>
      </w:r>
      <w:r>
        <w:rPr>
          <w:rFonts w:hint="eastAsia" w:ascii="仿宋" w:hAnsi="仿宋" w:eastAsia="仿宋" w:cs="仿宋"/>
          <w:sz w:val="28"/>
          <w:szCs w:val="28"/>
          <w:lang w:eastAsia="zh-CN"/>
        </w:rPr>
        <w:t>特困人员救助供养</w:t>
      </w:r>
      <w:r>
        <w:rPr>
          <w:rFonts w:hint="eastAsia" w:ascii="仿宋" w:hAnsi="仿宋" w:eastAsia="仿宋" w:cs="仿宋"/>
          <w:sz w:val="28"/>
          <w:szCs w:val="28"/>
          <w:lang w:val="en-US" w:eastAsia="zh-CN"/>
        </w:rPr>
        <w:t>4850.01万元，最低生活保障7193.7万元，临时救助882.87万元，</w:t>
      </w:r>
      <w:r>
        <w:rPr>
          <w:rFonts w:hint="eastAsia" w:ascii="仿宋" w:hAnsi="仿宋" w:eastAsia="仿宋" w:cs="仿宋"/>
          <w:color w:val="333333"/>
          <w:kern w:val="0"/>
          <w:sz w:val="28"/>
          <w:szCs w:val="28"/>
          <w:lang w:val="en-US" w:eastAsia="zh-CN"/>
        </w:rPr>
        <w:t>困难群众生活救助3283.32万元，六十年代精减退职36万元，</w:t>
      </w:r>
      <w:r>
        <w:rPr>
          <w:rFonts w:hint="eastAsia" w:ascii="仿宋" w:hAnsi="仿宋" w:eastAsia="仿宋" w:cs="仿宋"/>
          <w:sz w:val="28"/>
          <w:szCs w:val="28"/>
          <w:lang w:val="en-US" w:eastAsia="zh-CN"/>
        </w:rPr>
        <w:t>养老服务补贴180</w:t>
      </w:r>
      <w:r>
        <w:rPr>
          <w:rFonts w:hint="eastAsia" w:ascii="仿宋" w:hAnsi="仿宋" w:eastAsia="仿宋" w:cs="仿宋"/>
          <w:color w:val="333333"/>
          <w:kern w:val="0"/>
          <w:sz w:val="28"/>
          <w:szCs w:val="28"/>
          <w:lang w:val="en-US" w:eastAsia="zh-CN"/>
        </w:rPr>
        <w:t>万元，乡镇敬老院全失能老人护理费200万元，特殊儿童群体基本生活保障175万元，殡葬服务90万元，政府性基金3702.77万元</w:t>
      </w:r>
      <w:r>
        <w:rPr>
          <w:rFonts w:hint="eastAsia" w:ascii="仿宋" w:hAnsi="仿宋" w:eastAsia="仿宋" w:cs="仿宋"/>
          <w:sz w:val="28"/>
          <w:szCs w:val="28"/>
        </w:rPr>
        <w:t>等方面</w:t>
      </w:r>
      <w:r>
        <w:rPr>
          <w:rFonts w:hint="eastAsia" w:ascii="仿宋" w:hAnsi="仿宋" w:eastAsia="仿宋" w:cs="仿宋"/>
          <w:sz w:val="28"/>
          <w:szCs w:val="28"/>
          <w:lang w:eastAsia="zh-CN"/>
        </w:rPr>
        <w:t>。</w:t>
      </w:r>
    </w:p>
    <w:p w14:paraId="6A153613">
      <w:pPr>
        <w:keepNext w:val="0"/>
        <w:keepLines w:val="0"/>
        <w:pageBreakBefore w:val="0"/>
        <w:numPr>
          <w:ilvl w:val="0"/>
          <w:numId w:val="0"/>
        </w:numPr>
        <w:wordWrap/>
        <w:overflowPunct/>
        <w:topLinePunct w:val="0"/>
        <w:autoSpaceDE w:val="0"/>
        <w:autoSpaceDN w:val="0"/>
        <w:bidi w:val="0"/>
        <w:spacing w:line="360" w:lineRule="auto"/>
        <w:ind w:left="0" w:leftChars="0"/>
        <w:jc w:val="both"/>
        <w:outlineLvl w:val="9"/>
        <w:rPr>
          <w:rFonts w:hint="eastAsia" w:ascii="方正黑体_GBK" w:eastAsia="方正黑体_GBK"/>
          <w:sz w:val="28"/>
          <w:szCs w:val="28"/>
          <w:lang w:eastAsia="zh-CN"/>
        </w:rPr>
      </w:pPr>
      <w:r>
        <w:rPr>
          <w:rFonts w:hint="eastAsia" w:ascii="方正黑体_GBK" w:eastAsia="方正黑体_GBK"/>
          <w:sz w:val="28"/>
          <w:szCs w:val="28"/>
          <w:lang w:eastAsia="zh-CN"/>
        </w:rPr>
        <w:t>三、政府性基金预算支出情况</w:t>
      </w:r>
    </w:p>
    <w:p w14:paraId="73E4D7A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60" w:firstLineChars="200"/>
        <w:jc w:val="both"/>
        <w:textAlignment w:val="baseline"/>
        <w:outlineLvl w:val="9"/>
        <w:rPr>
          <w:rFonts w:hint="eastAsia" w:ascii="仿宋" w:hAnsi="仿宋" w:eastAsia="仿宋" w:cs="仿宋"/>
          <w:sz w:val="28"/>
          <w:szCs w:val="28"/>
          <w:lang w:eastAsia="zh-CN"/>
        </w:rPr>
      </w:pPr>
      <w:r>
        <w:rPr>
          <w:rFonts w:hint="eastAsia" w:ascii="仿宋" w:hAnsi="仿宋" w:eastAsia="仿宋" w:cs="仿宋"/>
          <w:color w:val="auto"/>
          <w:kern w:val="0"/>
          <w:sz w:val="28"/>
          <w:szCs w:val="28"/>
          <w:lang w:eastAsia="zh-CN"/>
        </w:rPr>
        <w:t>政府性基金预算支出</w:t>
      </w:r>
      <w:r>
        <w:rPr>
          <w:rFonts w:hint="eastAsia" w:ascii="仿宋" w:hAnsi="仿宋" w:eastAsia="仿宋" w:cs="仿宋"/>
          <w:color w:val="333333"/>
          <w:kern w:val="0"/>
          <w:sz w:val="28"/>
          <w:szCs w:val="28"/>
          <w:lang w:val="en-US" w:eastAsia="zh-CN"/>
        </w:rPr>
        <w:t>3702.77</w:t>
      </w:r>
      <w:r>
        <w:rPr>
          <w:rFonts w:hint="eastAsia" w:ascii="仿宋" w:hAnsi="仿宋" w:eastAsia="仿宋" w:cs="仿宋"/>
          <w:color w:val="auto"/>
          <w:kern w:val="0"/>
          <w:sz w:val="28"/>
          <w:szCs w:val="28"/>
          <w:lang w:eastAsia="zh-CN"/>
        </w:rPr>
        <w:t>万元，其中：</w:t>
      </w:r>
      <w:r>
        <w:rPr>
          <w:rFonts w:hint="eastAsia" w:ascii="仿宋" w:hAnsi="仿宋" w:eastAsia="仿宋" w:cs="仿宋"/>
          <w:color w:val="auto"/>
          <w:kern w:val="0"/>
          <w:sz w:val="28"/>
          <w:szCs w:val="28"/>
        </w:rPr>
        <w:t>用于社会福利的彩票公益金支出</w:t>
      </w:r>
      <w:r>
        <w:rPr>
          <w:rFonts w:hint="eastAsia" w:ascii="仿宋" w:hAnsi="仿宋" w:eastAsia="仿宋" w:cs="仿宋"/>
          <w:color w:val="auto"/>
          <w:kern w:val="0"/>
          <w:sz w:val="28"/>
          <w:szCs w:val="28"/>
          <w:lang w:val="en-US" w:eastAsia="zh-CN"/>
        </w:rPr>
        <w:t>702.77万元，专项债券3000万元</w:t>
      </w:r>
      <w:r>
        <w:rPr>
          <w:rFonts w:hint="eastAsia" w:ascii="仿宋" w:hAnsi="仿宋" w:eastAsia="仿宋" w:cs="仿宋"/>
          <w:color w:val="auto"/>
          <w:kern w:val="0"/>
          <w:sz w:val="28"/>
          <w:szCs w:val="28"/>
          <w:lang w:eastAsia="zh-CN"/>
        </w:rPr>
        <w:t>。</w:t>
      </w:r>
    </w:p>
    <w:p w14:paraId="40ED0058">
      <w:pPr>
        <w:keepNext w:val="0"/>
        <w:keepLines w:val="0"/>
        <w:pageBreakBefore w:val="0"/>
        <w:numPr>
          <w:ilvl w:val="0"/>
          <w:numId w:val="0"/>
        </w:numPr>
        <w:wordWrap/>
        <w:overflowPunct/>
        <w:topLinePunct w:val="0"/>
        <w:autoSpaceDE w:val="0"/>
        <w:autoSpaceDN w:val="0"/>
        <w:bidi w:val="0"/>
        <w:spacing w:line="360" w:lineRule="auto"/>
        <w:ind w:left="0" w:leftChars="0"/>
        <w:jc w:val="both"/>
        <w:outlineLvl w:val="9"/>
        <w:rPr>
          <w:rFonts w:hint="eastAsia" w:ascii="方正黑体_GBK" w:eastAsia="方正黑体_GBK"/>
          <w:sz w:val="28"/>
          <w:szCs w:val="28"/>
          <w:lang w:eastAsia="zh-CN"/>
        </w:rPr>
      </w:pPr>
      <w:r>
        <w:rPr>
          <w:rFonts w:hint="eastAsia" w:ascii="方正黑体_GBK" w:eastAsia="方正黑体_GBK"/>
          <w:sz w:val="28"/>
          <w:szCs w:val="28"/>
          <w:lang w:eastAsia="zh-CN"/>
        </w:rPr>
        <w:t>四、国有资本经营预算支出情况</w:t>
      </w:r>
    </w:p>
    <w:p w14:paraId="0F0FFAFC">
      <w:pPr>
        <w:keepNext w:val="0"/>
        <w:keepLines w:val="0"/>
        <w:pageBreakBefore w:val="0"/>
        <w:numPr>
          <w:ilvl w:val="0"/>
          <w:numId w:val="0"/>
        </w:numPr>
        <w:wordWrap/>
        <w:overflowPunct/>
        <w:topLinePunct w:val="0"/>
        <w:autoSpaceDE w:val="0"/>
        <w:autoSpaceDN w:val="0"/>
        <w:bidi w:val="0"/>
        <w:spacing w:line="360" w:lineRule="auto"/>
        <w:ind w:left="0" w:leftChars="0" w:firstLine="560" w:firstLineChars="200"/>
        <w:jc w:val="both"/>
        <w:outlineLvl w:val="9"/>
        <w:rPr>
          <w:rFonts w:hint="eastAsia" w:ascii="方正黑体_GBK" w:eastAsia="方正黑体_GBK"/>
          <w:sz w:val="28"/>
          <w:szCs w:val="28"/>
          <w:lang w:eastAsia="zh-CN"/>
        </w:rPr>
      </w:pPr>
      <w:r>
        <w:rPr>
          <w:rFonts w:hint="eastAsia" w:ascii="仿宋" w:hAnsi="仿宋" w:eastAsia="仿宋" w:cs="仿宋"/>
          <w:sz w:val="28"/>
          <w:szCs w:val="28"/>
          <w:lang w:val="en-US" w:eastAsia="zh-CN"/>
        </w:rPr>
        <w:t>本单位无</w:t>
      </w:r>
      <w:r>
        <w:rPr>
          <w:rFonts w:hint="eastAsia" w:ascii="仿宋" w:hAnsi="仿宋" w:eastAsia="仿宋" w:cs="仿宋"/>
          <w:sz w:val="28"/>
          <w:szCs w:val="28"/>
          <w:lang w:eastAsia="zh-CN"/>
        </w:rPr>
        <w:t>国有资本经营预算支出</w:t>
      </w:r>
      <w:r>
        <w:rPr>
          <w:rFonts w:hint="eastAsia" w:ascii="仿宋" w:hAnsi="仿宋" w:eastAsia="仿宋" w:cs="仿宋"/>
          <w:sz w:val="28"/>
          <w:szCs w:val="28"/>
          <w:lang w:val="en-US" w:eastAsia="zh-CN"/>
        </w:rPr>
        <w:t>。</w:t>
      </w:r>
    </w:p>
    <w:p w14:paraId="4E25522A">
      <w:pPr>
        <w:keepNext w:val="0"/>
        <w:keepLines w:val="0"/>
        <w:pageBreakBefore w:val="0"/>
        <w:numPr>
          <w:ilvl w:val="0"/>
          <w:numId w:val="0"/>
        </w:numPr>
        <w:wordWrap/>
        <w:overflowPunct/>
        <w:topLinePunct w:val="0"/>
        <w:autoSpaceDE w:val="0"/>
        <w:autoSpaceDN w:val="0"/>
        <w:bidi w:val="0"/>
        <w:spacing w:line="360" w:lineRule="auto"/>
        <w:ind w:left="0" w:leftChars="0"/>
        <w:jc w:val="both"/>
        <w:outlineLvl w:val="9"/>
        <w:rPr>
          <w:rFonts w:hint="eastAsia" w:ascii="方正黑体_GBK" w:eastAsia="方正黑体_GBK"/>
          <w:sz w:val="28"/>
          <w:szCs w:val="28"/>
          <w:lang w:eastAsia="zh-CN"/>
        </w:rPr>
      </w:pPr>
      <w:r>
        <w:rPr>
          <w:rFonts w:hint="eastAsia" w:ascii="方正黑体_GBK" w:eastAsia="方正黑体_GBK"/>
          <w:sz w:val="28"/>
          <w:szCs w:val="28"/>
          <w:lang w:eastAsia="zh-CN"/>
        </w:rPr>
        <w:t>五、社会保险基金预算支出情况</w:t>
      </w:r>
    </w:p>
    <w:p w14:paraId="452C9D75">
      <w:pPr>
        <w:keepNext w:val="0"/>
        <w:keepLines w:val="0"/>
        <w:pageBreakBefore w:val="0"/>
        <w:numPr>
          <w:ilvl w:val="0"/>
          <w:numId w:val="0"/>
        </w:numPr>
        <w:wordWrap/>
        <w:overflowPunct/>
        <w:topLinePunct w:val="0"/>
        <w:autoSpaceDE w:val="0"/>
        <w:autoSpaceDN w:val="0"/>
        <w:bidi w:val="0"/>
        <w:spacing w:line="360" w:lineRule="auto"/>
        <w:ind w:left="0" w:leftChars="0" w:firstLine="560" w:firstLineChars="200"/>
        <w:jc w:val="both"/>
        <w:outlineLvl w:val="9"/>
        <w:rPr>
          <w:rFonts w:hint="eastAsia" w:ascii="方正黑体_GBK" w:eastAsia="方正黑体_GBK"/>
          <w:sz w:val="28"/>
          <w:szCs w:val="28"/>
          <w:lang w:eastAsia="zh-CN"/>
        </w:rPr>
      </w:pPr>
      <w:r>
        <w:rPr>
          <w:rFonts w:hint="eastAsia" w:ascii="仿宋" w:hAnsi="仿宋" w:eastAsia="仿宋" w:cs="仿宋"/>
          <w:sz w:val="28"/>
          <w:szCs w:val="28"/>
          <w:lang w:val="en-US" w:eastAsia="zh-CN"/>
        </w:rPr>
        <w:t>本单位无</w:t>
      </w:r>
      <w:r>
        <w:rPr>
          <w:rFonts w:hint="eastAsia" w:ascii="仿宋" w:hAnsi="仿宋" w:eastAsia="仿宋" w:cs="仿宋"/>
          <w:sz w:val="28"/>
          <w:szCs w:val="28"/>
          <w:lang w:eastAsia="zh-CN"/>
        </w:rPr>
        <w:t>社会保险基金预算支出</w:t>
      </w:r>
      <w:r>
        <w:rPr>
          <w:rFonts w:hint="eastAsia" w:ascii="仿宋" w:hAnsi="仿宋" w:eastAsia="仿宋" w:cs="仿宋"/>
          <w:sz w:val="28"/>
          <w:szCs w:val="28"/>
          <w:lang w:val="en-US" w:eastAsia="zh-CN"/>
        </w:rPr>
        <w:t>。</w:t>
      </w:r>
    </w:p>
    <w:p w14:paraId="3220F912">
      <w:pPr>
        <w:keepNext w:val="0"/>
        <w:keepLines w:val="0"/>
        <w:pageBreakBefore w:val="0"/>
        <w:numPr>
          <w:ilvl w:val="0"/>
          <w:numId w:val="3"/>
        </w:numPr>
        <w:wordWrap/>
        <w:overflowPunct/>
        <w:topLinePunct w:val="0"/>
        <w:autoSpaceDE w:val="0"/>
        <w:autoSpaceDN w:val="0"/>
        <w:bidi w:val="0"/>
        <w:spacing w:line="360" w:lineRule="auto"/>
        <w:jc w:val="both"/>
        <w:outlineLvl w:val="9"/>
        <w:rPr>
          <w:rFonts w:hint="eastAsia" w:ascii="方正黑体_GBK" w:eastAsia="方正黑体_GBK"/>
          <w:sz w:val="28"/>
          <w:szCs w:val="28"/>
          <w:lang w:eastAsia="zh-CN"/>
        </w:rPr>
      </w:pPr>
      <w:r>
        <w:rPr>
          <w:rFonts w:hint="eastAsia" w:ascii="方正黑体_GBK" w:eastAsia="方正黑体_GBK"/>
          <w:sz w:val="28"/>
          <w:szCs w:val="28"/>
          <w:lang w:eastAsia="zh-CN"/>
        </w:rPr>
        <w:t>部门整体支出绩效情况</w:t>
      </w:r>
    </w:p>
    <w:p w14:paraId="43C8E817">
      <w:pPr>
        <w:keepNext w:val="0"/>
        <w:keepLines w:val="0"/>
        <w:pageBreakBefore w:val="0"/>
        <w:wordWrap/>
        <w:overflowPunct/>
        <w:topLinePunct w:val="0"/>
        <w:bidi w:val="0"/>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rPr>
        <w:t>一</w:t>
      </w:r>
      <w:r>
        <w:rPr>
          <w:rFonts w:hint="eastAsia" w:ascii="仿宋" w:hAnsi="仿宋" w:eastAsia="仿宋" w:cs="仿宋"/>
          <w:b/>
          <w:bCs/>
          <w:sz w:val="28"/>
          <w:szCs w:val="28"/>
          <w:lang w:eastAsia="zh-CN"/>
        </w:rPr>
        <w:t>）</w:t>
      </w:r>
      <w:r>
        <w:rPr>
          <w:rFonts w:hint="eastAsia" w:ascii="仿宋" w:hAnsi="仿宋" w:eastAsia="仿宋" w:cs="仿宋"/>
          <w:b/>
          <w:bCs/>
          <w:sz w:val="28"/>
          <w:szCs w:val="28"/>
        </w:rPr>
        <w:t>绩效目标完成情况</w:t>
      </w:r>
      <w:r>
        <w:rPr>
          <w:rFonts w:hint="eastAsia" w:ascii="仿宋" w:hAnsi="仿宋" w:eastAsia="仿宋" w:cs="仿宋"/>
          <w:b/>
          <w:bCs/>
          <w:sz w:val="28"/>
          <w:szCs w:val="28"/>
          <w:lang w:val="en-US" w:eastAsia="zh-CN"/>
        </w:rPr>
        <w:t xml:space="preserve"> </w:t>
      </w:r>
    </w:p>
    <w:p w14:paraId="692B1BEE">
      <w:pPr>
        <w:keepNext w:val="0"/>
        <w:keepLines w:val="0"/>
        <w:pageBreakBefore w:val="0"/>
        <w:wordWrap/>
        <w:overflowPunct/>
        <w:topLinePunct w:val="0"/>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 xml:space="preserve">1. 预算执行情况  </w:t>
      </w:r>
    </w:p>
    <w:p w14:paraId="5F7CA7A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一般公共预算：</w:t>
      </w:r>
      <w:r>
        <w:rPr>
          <w:rFonts w:hint="eastAsia" w:ascii="仿宋" w:hAnsi="仿宋" w:eastAsia="仿宋" w:cs="仿宋"/>
          <w:sz w:val="28"/>
          <w:szCs w:val="28"/>
          <w:lang w:val="en-US" w:eastAsia="zh-CN"/>
        </w:rPr>
        <w:t>为</w:t>
      </w:r>
      <w:r>
        <w:rPr>
          <w:rFonts w:hint="eastAsia" w:ascii="仿宋" w:hAnsi="仿宋" w:eastAsia="仿宋" w:cs="仿宋"/>
          <w:sz w:val="28"/>
          <w:szCs w:val="28"/>
        </w:rPr>
        <w:t>重点保障基本民生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2024年度累计发放</w:t>
      </w:r>
      <w:r>
        <w:rPr>
          <w:rFonts w:hint="eastAsia" w:ascii="仿宋" w:hAnsi="仿宋" w:eastAsia="仿宋" w:cs="仿宋"/>
          <w:sz w:val="28"/>
          <w:szCs w:val="28"/>
          <w:lang w:eastAsia="zh-CN"/>
        </w:rPr>
        <w:t>特困人员救助供养</w:t>
      </w:r>
      <w:r>
        <w:rPr>
          <w:rFonts w:hint="eastAsia" w:ascii="仿宋" w:hAnsi="仿宋" w:eastAsia="仿宋" w:cs="仿宋"/>
          <w:sz w:val="28"/>
          <w:szCs w:val="28"/>
          <w:lang w:val="en-US" w:eastAsia="zh-CN"/>
        </w:rPr>
        <w:t>金4850.01万元，惠及4934人；累计发放最低生活保障7193.7万元，惠及4934人；累计发放临时救助882.87万元，惠及11770人次；累计发放</w:t>
      </w:r>
      <w:r>
        <w:rPr>
          <w:rFonts w:hint="eastAsia" w:ascii="仿宋" w:hAnsi="仿宋" w:eastAsia="仿宋" w:cs="仿宋"/>
          <w:color w:val="333333"/>
          <w:kern w:val="0"/>
          <w:sz w:val="28"/>
          <w:szCs w:val="28"/>
          <w:lang w:val="en-US" w:eastAsia="zh-CN"/>
        </w:rPr>
        <w:t>困难群众生活救助3283.32万元，</w:t>
      </w:r>
      <w:r>
        <w:rPr>
          <w:rFonts w:hint="eastAsia" w:ascii="仿宋" w:hAnsi="仿宋" w:eastAsia="仿宋" w:cs="仿宋"/>
          <w:sz w:val="28"/>
          <w:szCs w:val="28"/>
          <w:lang w:val="en-US" w:eastAsia="zh-CN"/>
        </w:rPr>
        <w:t>惠及486312人次；累计发放</w:t>
      </w:r>
      <w:r>
        <w:rPr>
          <w:rFonts w:hint="eastAsia" w:ascii="仿宋" w:hAnsi="仿宋" w:eastAsia="仿宋" w:cs="仿宋"/>
          <w:color w:val="333333"/>
          <w:kern w:val="0"/>
          <w:sz w:val="28"/>
          <w:szCs w:val="28"/>
          <w:lang w:val="en-US" w:eastAsia="zh-CN"/>
        </w:rPr>
        <w:t>六十年代精减退职36万元，</w:t>
      </w:r>
      <w:r>
        <w:rPr>
          <w:rFonts w:hint="eastAsia" w:ascii="仿宋" w:hAnsi="仿宋" w:eastAsia="仿宋" w:cs="仿宋"/>
          <w:sz w:val="28"/>
          <w:szCs w:val="28"/>
          <w:lang w:val="en-US" w:eastAsia="zh-CN"/>
        </w:rPr>
        <w:t>惠及362人；累计发放养老服务补贴180</w:t>
      </w:r>
      <w:r>
        <w:rPr>
          <w:rFonts w:hint="eastAsia" w:ascii="仿宋" w:hAnsi="仿宋" w:eastAsia="仿宋" w:cs="仿宋"/>
          <w:color w:val="333333"/>
          <w:kern w:val="0"/>
          <w:sz w:val="28"/>
          <w:szCs w:val="28"/>
          <w:lang w:val="en-US" w:eastAsia="zh-CN"/>
        </w:rPr>
        <w:t>万元，</w:t>
      </w:r>
      <w:r>
        <w:rPr>
          <w:rFonts w:hint="eastAsia" w:ascii="仿宋" w:hAnsi="仿宋" w:eastAsia="仿宋" w:cs="仿宋"/>
          <w:sz w:val="28"/>
          <w:szCs w:val="28"/>
          <w:lang w:val="en-US" w:eastAsia="zh-CN"/>
        </w:rPr>
        <w:t>惠及3000人；累计发放</w:t>
      </w:r>
      <w:r>
        <w:rPr>
          <w:rFonts w:hint="eastAsia" w:ascii="仿宋" w:hAnsi="仿宋" w:eastAsia="仿宋" w:cs="仿宋"/>
          <w:color w:val="333333"/>
          <w:kern w:val="0"/>
          <w:sz w:val="28"/>
          <w:szCs w:val="28"/>
          <w:lang w:val="en-US" w:eastAsia="zh-CN"/>
        </w:rPr>
        <w:t>乡镇敬老院全失能老人护理费200万元，</w:t>
      </w:r>
      <w:r>
        <w:rPr>
          <w:rFonts w:hint="eastAsia" w:ascii="仿宋" w:hAnsi="仿宋" w:eastAsia="仿宋" w:cs="仿宋"/>
          <w:sz w:val="28"/>
          <w:szCs w:val="28"/>
          <w:lang w:val="en-US" w:eastAsia="zh-CN"/>
        </w:rPr>
        <w:t>惠及480人；累计发放</w:t>
      </w:r>
      <w:r>
        <w:rPr>
          <w:rFonts w:hint="eastAsia" w:ascii="仿宋" w:hAnsi="仿宋" w:eastAsia="仿宋" w:cs="仿宋"/>
          <w:color w:val="333333"/>
          <w:kern w:val="0"/>
          <w:sz w:val="28"/>
          <w:szCs w:val="28"/>
          <w:lang w:val="en-US" w:eastAsia="zh-CN"/>
        </w:rPr>
        <w:t>特殊儿童群体基本生活保障175万元，</w:t>
      </w:r>
      <w:r>
        <w:rPr>
          <w:rFonts w:hint="eastAsia" w:ascii="仿宋" w:hAnsi="仿宋" w:eastAsia="仿宋" w:cs="仿宋"/>
          <w:sz w:val="28"/>
          <w:szCs w:val="28"/>
          <w:lang w:val="en-US" w:eastAsia="zh-CN"/>
        </w:rPr>
        <w:t>惠及292人</w:t>
      </w:r>
      <w:r>
        <w:rPr>
          <w:rFonts w:hint="eastAsia" w:ascii="仿宋" w:hAnsi="仿宋" w:eastAsia="仿宋" w:cs="仿宋"/>
          <w:sz w:val="28"/>
          <w:szCs w:val="28"/>
        </w:rPr>
        <w:t xml:space="preserve">。  </w:t>
      </w:r>
    </w:p>
    <w:p w14:paraId="2A38DB5A">
      <w:pPr>
        <w:keepNext w:val="0"/>
        <w:keepLines w:val="0"/>
        <w:pageBreakBefore w:val="0"/>
        <w:wordWrap/>
        <w:overflowPunct/>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政府性基金预算：主要用于</w:t>
      </w:r>
      <w:r>
        <w:rPr>
          <w:rFonts w:hint="eastAsia" w:ascii="仿宋" w:hAnsi="仿宋" w:eastAsia="仿宋" w:cs="仿宋"/>
          <w:sz w:val="28"/>
          <w:szCs w:val="28"/>
          <w:lang w:val="en-US" w:eastAsia="zh-CN"/>
        </w:rPr>
        <w:t>岳阳县养老中心建设工程</w:t>
      </w:r>
      <w:r>
        <w:rPr>
          <w:rFonts w:hint="eastAsia" w:ascii="仿宋" w:hAnsi="仿宋" w:eastAsia="仿宋" w:cs="仿宋"/>
          <w:sz w:val="28"/>
          <w:szCs w:val="28"/>
        </w:rPr>
        <w:t>项目，项目开工</w:t>
      </w:r>
      <w:r>
        <w:rPr>
          <w:rFonts w:hint="eastAsia" w:ascii="仿宋" w:hAnsi="仿宋" w:eastAsia="仿宋" w:cs="仿宋"/>
          <w:sz w:val="28"/>
          <w:szCs w:val="28"/>
          <w:lang w:val="en-US" w:eastAsia="zh-CN"/>
        </w:rPr>
        <w:t>投入3000万元</w:t>
      </w:r>
      <w:r>
        <w:rPr>
          <w:rFonts w:hint="eastAsia" w:ascii="仿宋" w:hAnsi="仿宋" w:eastAsia="仿宋" w:cs="仿宋"/>
          <w:sz w:val="28"/>
          <w:szCs w:val="28"/>
        </w:rPr>
        <w:t xml:space="preserve">。  </w:t>
      </w:r>
    </w:p>
    <w:p w14:paraId="518E5C9F">
      <w:pPr>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2、预算管理</w:t>
      </w:r>
    </w:p>
    <w:p w14:paraId="01569C22">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（1）管理制度健全性</w:t>
      </w:r>
    </w:p>
    <w:p w14:paraId="5714940B">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单位制定了《财务管理制度》、《专项资金管理制度》等相关管理制度，管理制度制订合法、合规、完整。</w:t>
      </w:r>
    </w:p>
    <w:p w14:paraId="6B0A233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（2）资金使用合规性</w:t>
      </w:r>
    </w:p>
    <w:p w14:paraId="1EB4AD0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rPr>
        <w:t>中央直达资金、专项转移支的无截留、无挪用</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使用合规。</w:t>
      </w:r>
    </w:p>
    <w:p w14:paraId="31B174D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（3）预决算信息公开性</w:t>
      </w:r>
    </w:p>
    <w:p w14:paraId="42BDCBB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单位按照政府信息公开有关规定在岳阳县人民政府门户网上按规定内容、时限公开了2024年度预算信息。2024年决算信息，截止报告出具时尚未明确安排公开时间。</w:t>
      </w:r>
    </w:p>
    <w:p w14:paraId="73AA8DA2">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val="0"/>
          <w:bCs w:val="0"/>
          <w:color w:val="auto"/>
          <w:sz w:val="28"/>
          <w:szCs w:val="28"/>
          <w:lang w:val="en-US" w:eastAsia="zh-CN"/>
        </w:rPr>
        <w:t>（4）基础信息完善性</w:t>
      </w:r>
    </w:p>
    <w:p w14:paraId="34A324DC">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sz w:val="28"/>
          <w:szCs w:val="28"/>
        </w:rPr>
      </w:pPr>
      <w:r>
        <w:rPr>
          <w:rFonts w:hint="eastAsia" w:ascii="仿宋" w:hAnsi="仿宋" w:eastAsia="仿宋" w:cs="仿宋"/>
          <w:color w:val="auto"/>
          <w:sz w:val="28"/>
          <w:szCs w:val="28"/>
          <w:lang w:val="en-US" w:eastAsia="zh-CN"/>
        </w:rPr>
        <w:t>经过现场查看相关基础信息资料，账目以及凭证，</w:t>
      </w:r>
      <w:r>
        <w:rPr>
          <w:rFonts w:hint="eastAsia" w:ascii="仿宋" w:hAnsi="仿宋" w:eastAsia="仿宋" w:cs="仿宋"/>
          <w:b w:val="0"/>
          <w:bCs w:val="0"/>
          <w:color w:val="auto"/>
          <w:sz w:val="28"/>
          <w:szCs w:val="28"/>
          <w:lang w:val="en-US" w:eastAsia="zh-CN"/>
        </w:rPr>
        <w:t>单位基础信息和会计信息资料真实、完整、准确。</w:t>
      </w:r>
    </w:p>
    <w:p w14:paraId="5417FEE9">
      <w:pPr>
        <w:keepNext w:val="0"/>
        <w:keepLines w:val="0"/>
        <w:pageBreakBefore w:val="0"/>
        <w:wordWrap/>
        <w:overflowPunct/>
        <w:topLinePunct w:val="0"/>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rPr>
        <w:t>二</w:t>
      </w:r>
      <w:r>
        <w:rPr>
          <w:rFonts w:hint="eastAsia" w:ascii="仿宋" w:hAnsi="仿宋" w:eastAsia="仿宋" w:cs="仿宋"/>
          <w:b/>
          <w:bCs/>
          <w:sz w:val="28"/>
          <w:szCs w:val="28"/>
          <w:lang w:eastAsia="zh-CN"/>
        </w:rPr>
        <w:t>）</w:t>
      </w:r>
      <w:r>
        <w:rPr>
          <w:rFonts w:hint="eastAsia" w:ascii="仿宋" w:hAnsi="仿宋" w:eastAsia="仿宋" w:cs="仿宋"/>
          <w:b/>
          <w:bCs/>
          <w:sz w:val="28"/>
          <w:szCs w:val="28"/>
        </w:rPr>
        <w:t>产出与效益实现情况</w:t>
      </w:r>
    </w:p>
    <w:p w14:paraId="00DA2F3F">
      <w:pPr>
        <w:keepNext w:val="0"/>
        <w:keepLines w:val="0"/>
        <w:pageBreakBefore w:val="0"/>
        <w:wordWrap/>
        <w:overflowPunct/>
        <w:topLinePunct w:val="0"/>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 xml:space="preserve">运行成本与管理效率  </w:t>
      </w:r>
    </w:p>
    <w:p w14:paraId="7873BAC4">
      <w:pPr>
        <w:keepNext w:val="0"/>
        <w:keepLines w:val="0"/>
        <w:pageBreakBefore w:val="0"/>
        <w:kinsoku/>
        <w:wordWrap/>
        <w:overflowPunct/>
        <w:topLinePunct w:val="0"/>
        <w:autoSpaceDE/>
        <w:autoSpaceDN/>
        <w:bidi w:val="0"/>
        <w:adjustRightInd/>
        <w:snapToGrid/>
        <w:spacing w:line="360" w:lineRule="auto"/>
        <w:ind w:firstLine="280" w:firstLineChars="100"/>
        <w:textAlignment w:val="auto"/>
        <w:rPr>
          <w:rFonts w:hint="default" w:ascii="仿宋" w:hAnsi="仿宋" w:eastAsia="仿宋" w:cs="仿宋"/>
          <w:b/>
          <w:bCs/>
          <w:color w:val="auto"/>
          <w:sz w:val="28"/>
          <w:szCs w:val="28"/>
          <w:lang w:val="en-US" w:eastAsia="zh-CN"/>
        </w:rPr>
      </w:pPr>
      <w:r>
        <w:rPr>
          <w:rFonts w:hint="eastAsia" w:ascii="仿宋" w:hAnsi="仿宋" w:eastAsia="仿宋" w:cs="仿宋"/>
          <w:b w:val="0"/>
          <w:bCs w:val="0"/>
          <w:color w:val="auto"/>
          <w:sz w:val="28"/>
          <w:szCs w:val="28"/>
          <w:lang w:val="en-US" w:eastAsia="zh-CN"/>
        </w:rPr>
        <w:t>（1）</w:t>
      </w:r>
      <w:r>
        <w:rPr>
          <w:rFonts w:hint="eastAsia" w:ascii="仿宋" w:hAnsi="仿宋" w:eastAsia="仿宋" w:cs="仿宋"/>
          <w:sz w:val="28"/>
          <w:szCs w:val="28"/>
        </w:rPr>
        <w:t>预算执行进度</w:t>
      </w:r>
    </w:p>
    <w:p w14:paraId="75D954D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color w:val="auto"/>
          <w:sz w:val="28"/>
          <w:szCs w:val="28"/>
          <w:lang w:val="en-US" w:eastAsia="zh-CN"/>
        </w:rPr>
        <w:t>根据部门2024年度决算报表和财政下达指标数，本年度实际支出数为22576.56万元，财政指标下达数22576.56万元，实际支付执行为100%。</w:t>
      </w:r>
    </w:p>
    <w:p w14:paraId="4E659B8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（2）政府采购执行率</w:t>
      </w:r>
    </w:p>
    <w:p w14:paraId="094771AA">
      <w:pPr>
        <w:keepNext w:val="0"/>
        <w:keepLines w:val="0"/>
        <w:pageBreakBefore w:val="0"/>
        <w:kinsoku/>
        <w:wordWrap/>
        <w:overflowPunct/>
        <w:topLinePunct w:val="0"/>
        <w:autoSpaceDE/>
        <w:autoSpaceDN/>
        <w:bidi w:val="0"/>
        <w:adjustRightInd/>
        <w:snapToGrid/>
        <w:spacing w:line="360" w:lineRule="auto"/>
        <w:ind w:left="279" w:leftChars="133"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根据部门2024年度政府采购成交情况统计表，政府采购金额为 256.03万元，均为货物类支出采购，根据现场评价核查情况，发现评价单位货物类的采购都通过了电子卖场。</w:t>
      </w:r>
    </w:p>
    <w:p w14:paraId="595E4D2F">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（3）“三公经费”控制率</w:t>
      </w:r>
    </w:p>
    <w:p w14:paraId="23F43B3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根据部门2024年度预算报表和年终决算报表，本年度“三公经费”年初预算数为 8 万元，实际支出数为6.72元，“三公经费”控制率100%。</w:t>
      </w:r>
    </w:p>
    <w:p w14:paraId="0897053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（4）公用经费控制率</w:t>
      </w:r>
    </w:p>
    <w:p w14:paraId="4F0AD3D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根据部门2024年度预算报表和年终决算报表，本年度公用经费年初预算数为367.8559.1412万元，实际支出数为367.85万元，公用经费控制率为100%。</w:t>
      </w:r>
    </w:p>
    <w:p w14:paraId="45B2CF7B">
      <w:pPr>
        <w:keepNext w:val="0"/>
        <w:keepLines w:val="0"/>
        <w:pageBreakBefore w:val="0"/>
        <w:wordWrap/>
        <w:overflowPunct/>
        <w:topLinePunct w:val="0"/>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 xml:space="preserve">履职效能与社会效应  </w:t>
      </w:r>
    </w:p>
    <w:p w14:paraId="11C8105E">
      <w:pPr>
        <w:keepNext w:val="0"/>
        <w:keepLines w:val="0"/>
        <w:pageBreakBefore w:val="0"/>
        <w:widowControl w:val="0"/>
        <w:kinsoku/>
        <w:wordWrap/>
        <w:overflowPunct/>
        <w:topLinePunct w:val="0"/>
        <w:autoSpaceDE/>
        <w:autoSpaceDN/>
        <w:bidi w:val="0"/>
        <w:adjustRightInd/>
        <w:snapToGrid/>
        <w:spacing w:line="360" w:lineRule="auto"/>
        <w:ind w:right="92"/>
        <w:jc w:val="both"/>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val="0"/>
          <w:bCs w:val="0"/>
          <w:kern w:val="2"/>
          <w:sz w:val="28"/>
          <w:szCs w:val="28"/>
          <w:lang w:val="en-US" w:eastAsia="zh-CN" w:bidi="ar-SA"/>
        </w:rPr>
        <w:t>（1）经济效能</w:t>
      </w:r>
    </w:p>
    <w:p w14:paraId="575AF35C">
      <w:pPr>
        <w:keepNext w:val="0"/>
        <w:keepLines w:val="0"/>
        <w:pageBreakBefore w:val="0"/>
        <w:wordWrap/>
        <w:overflowPunct/>
        <w:topLinePunct w:val="0"/>
        <w:bidi w:val="0"/>
        <w:spacing w:line="360" w:lineRule="auto"/>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根据年度工作总结报告，通过项目实施，</w:t>
      </w:r>
      <w:r>
        <w:rPr>
          <w:rFonts w:hint="eastAsia" w:ascii="仿宋" w:hAnsi="仿宋" w:eastAsia="仿宋" w:cs="仿宋"/>
          <w:sz w:val="28"/>
          <w:szCs w:val="28"/>
        </w:rPr>
        <w:t>低保、特困人员救助标准动态调整并按时发放</w:t>
      </w:r>
      <w:r>
        <w:rPr>
          <w:rFonts w:hint="eastAsia" w:ascii="仿宋" w:hAnsi="仿宋" w:eastAsia="仿宋" w:cs="仿宋"/>
          <w:sz w:val="28"/>
          <w:szCs w:val="28"/>
          <w:lang w:eastAsia="zh-CN"/>
        </w:rPr>
        <w:t>，</w:t>
      </w:r>
      <w:r>
        <w:rPr>
          <w:rFonts w:hint="eastAsia" w:ascii="仿宋" w:hAnsi="仿宋" w:eastAsia="仿宋" w:cs="仿宋"/>
          <w:sz w:val="28"/>
          <w:szCs w:val="28"/>
        </w:rPr>
        <w:t>养老床位新增、残疾人补贴按时发放</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救助对象</w:t>
      </w:r>
      <w:r>
        <w:rPr>
          <w:rFonts w:hint="eastAsia" w:ascii="仿宋" w:hAnsi="仿宋" w:eastAsia="仿宋" w:cs="仿宋"/>
          <w:color w:val="auto"/>
          <w:kern w:val="2"/>
          <w:sz w:val="28"/>
          <w:szCs w:val="28"/>
          <w:lang w:val="en-US" w:eastAsia="zh-CN" w:bidi="ar-SA"/>
        </w:rPr>
        <w:t>家庭经济状况得到改善合法权益得到维护，生活不断得到改善。部门履职经济效能显著。</w:t>
      </w:r>
    </w:p>
    <w:p w14:paraId="1B2FADD6">
      <w:pPr>
        <w:keepNext w:val="0"/>
        <w:keepLines w:val="0"/>
        <w:pageBreakBefore w:val="0"/>
        <w:widowControl w:val="0"/>
        <w:kinsoku/>
        <w:wordWrap/>
        <w:overflowPunct/>
        <w:topLinePunct w:val="0"/>
        <w:autoSpaceDE/>
        <w:autoSpaceDN/>
        <w:bidi w:val="0"/>
        <w:adjustRightInd/>
        <w:snapToGrid/>
        <w:spacing w:line="360" w:lineRule="auto"/>
        <w:ind w:right="92"/>
        <w:jc w:val="both"/>
        <w:textAlignment w:val="auto"/>
        <w:rPr>
          <w:rFonts w:hint="default" w:ascii="仿宋" w:hAnsi="仿宋" w:eastAsia="仿宋" w:cs="仿宋"/>
          <w:b/>
          <w:bCs/>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（2）社会效能</w:t>
      </w:r>
    </w:p>
    <w:p w14:paraId="47FF8DB9">
      <w:pPr>
        <w:keepNext w:val="0"/>
        <w:keepLines w:val="0"/>
        <w:pageBreakBefore w:val="0"/>
        <w:widowControl w:val="0"/>
        <w:kinsoku/>
        <w:wordWrap/>
        <w:overflowPunct/>
        <w:topLinePunct w:val="0"/>
        <w:autoSpaceDE/>
        <w:autoSpaceDN/>
        <w:bidi w:val="0"/>
        <w:adjustRightInd w:val="0"/>
        <w:snapToGrid/>
        <w:spacing w:line="360" w:lineRule="auto"/>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根据年度工作总结报告，该单位充分发挥桥梁纽带作用，保障平等权利，增进民生福祉，增强自我发展能力，努力推动事业全面发展。部门履职社会效能显著。</w:t>
      </w:r>
    </w:p>
    <w:p w14:paraId="01F919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bCs/>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（3）行政效能</w:t>
      </w:r>
    </w:p>
    <w:p w14:paraId="5D14535B">
      <w:pPr>
        <w:keepNext w:val="0"/>
        <w:keepLines w:val="0"/>
        <w:pageBreakBefore w:val="0"/>
        <w:widowControl w:val="0"/>
        <w:kinsoku/>
        <w:wordWrap/>
        <w:overflowPunct/>
        <w:topLinePunct w:val="0"/>
        <w:autoSpaceDE/>
        <w:autoSpaceDN/>
        <w:bidi w:val="0"/>
        <w:adjustRightInd/>
        <w:snapToGrid/>
        <w:spacing w:line="360" w:lineRule="auto"/>
        <w:ind w:left="11" w:firstLine="509"/>
        <w:jc w:val="both"/>
        <w:textAlignment w:val="auto"/>
        <w:rPr>
          <w:rFonts w:hint="eastAsia" w:ascii="仿宋" w:hAnsi="仿宋" w:eastAsia="仿宋" w:cs="仿宋"/>
          <w:sz w:val="28"/>
          <w:szCs w:val="28"/>
        </w:rPr>
      </w:pPr>
      <w:r>
        <w:rPr>
          <w:rFonts w:hint="eastAsia" w:ascii="仿宋" w:hAnsi="仿宋" w:eastAsia="仿宋" w:cs="仿宋"/>
          <w:b w:val="0"/>
          <w:bCs w:val="0"/>
          <w:color w:val="auto"/>
          <w:kern w:val="2"/>
          <w:sz w:val="28"/>
          <w:szCs w:val="28"/>
          <w:lang w:val="en-US" w:eastAsia="zh-CN" w:bidi="ar-SA"/>
        </w:rPr>
        <w:t>2025年2月，中共岳阳县委文件（岳县发【2025】1号），2024年度县管领导班子考核等次被评为良好等次。</w:t>
      </w:r>
      <w:r>
        <w:rPr>
          <w:rFonts w:hint="eastAsia" w:ascii="仿宋" w:hAnsi="仿宋" w:eastAsia="仿宋" w:cs="仿宋"/>
          <w:color w:val="auto"/>
          <w:kern w:val="2"/>
          <w:sz w:val="28"/>
          <w:szCs w:val="28"/>
          <w:lang w:val="en-US" w:eastAsia="zh-CN" w:bidi="ar-SA"/>
        </w:rPr>
        <w:t>部门履职行政效能较显著。</w:t>
      </w:r>
      <w:r>
        <w:rPr>
          <w:rFonts w:hint="eastAsia" w:ascii="仿宋" w:hAnsi="仿宋" w:eastAsia="仿宋" w:cs="仿宋"/>
          <w:sz w:val="28"/>
          <w:szCs w:val="28"/>
        </w:rPr>
        <w:t xml:space="preserve">  </w:t>
      </w:r>
    </w:p>
    <w:p w14:paraId="2C99F044">
      <w:pPr>
        <w:keepNext w:val="0"/>
        <w:keepLines w:val="0"/>
        <w:pageBreakBefore w:val="0"/>
        <w:wordWrap/>
        <w:overflowPunct/>
        <w:topLinePunct w:val="0"/>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 xml:space="preserve">服务对象满意度  </w:t>
      </w:r>
    </w:p>
    <w:p w14:paraId="15A6C0BC">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auto"/>
          <w:sz w:val="28"/>
          <w:szCs w:val="28"/>
        </w:rPr>
        <w:t>评价小组</w:t>
      </w:r>
      <w:r>
        <w:rPr>
          <w:rFonts w:hint="eastAsia" w:ascii="仿宋" w:hAnsi="仿宋" w:eastAsia="仿宋" w:cs="仿宋"/>
          <w:color w:val="auto"/>
          <w:sz w:val="28"/>
          <w:szCs w:val="28"/>
          <w:lang w:val="en-US" w:eastAsia="zh-CN"/>
        </w:rPr>
        <w:t>分别</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该单位的工作人员和</w:t>
      </w:r>
      <w:r>
        <w:rPr>
          <w:rFonts w:hint="eastAsia" w:ascii="仿宋" w:hAnsi="仿宋" w:eastAsia="仿宋" w:cs="仿宋"/>
          <w:sz w:val="28"/>
          <w:szCs w:val="28"/>
        </w:rPr>
        <w:t>低保对象、老年人、社会组织等</w:t>
      </w:r>
      <w:r>
        <w:rPr>
          <w:rFonts w:hint="eastAsia" w:ascii="仿宋" w:hAnsi="仿宋" w:eastAsia="仿宋" w:cs="仿宋"/>
          <w:color w:val="auto"/>
          <w:sz w:val="28"/>
          <w:szCs w:val="28"/>
        </w:rPr>
        <w:t>的满意度进行了问卷调查（见附件），调查问卷</w:t>
      </w:r>
      <w:r>
        <w:rPr>
          <w:rFonts w:hint="eastAsia" w:ascii="仿宋" w:hAnsi="仿宋" w:eastAsia="仿宋" w:cs="仿宋"/>
          <w:color w:val="auto"/>
          <w:sz w:val="28"/>
          <w:szCs w:val="28"/>
          <w:lang w:val="en-US" w:eastAsia="zh-CN"/>
        </w:rPr>
        <w:t>分两部分</w:t>
      </w:r>
      <w:r>
        <w:rPr>
          <w:rFonts w:hint="eastAsia" w:ascii="仿宋" w:hAnsi="仿宋" w:eastAsia="仿宋" w:cs="仿宋"/>
          <w:color w:val="auto"/>
          <w:sz w:val="28"/>
          <w:szCs w:val="28"/>
        </w:rPr>
        <w:t>，共计发放问卷</w:t>
      </w:r>
      <w:r>
        <w:rPr>
          <w:rFonts w:hint="eastAsia" w:ascii="仿宋" w:hAnsi="仿宋" w:eastAsia="仿宋" w:cs="仿宋"/>
          <w:color w:val="auto"/>
          <w:sz w:val="28"/>
          <w:szCs w:val="28"/>
          <w:lang w:val="en-US" w:eastAsia="zh-CN"/>
        </w:rPr>
        <w:t>40</w:t>
      </w:r>
      <w:r>
        <w:rPr>
          <w:rFonts w:hint="eastAsia" w:ascii="仿宋" w:hAnsi="仿宋" w:eastAsia="仿宋" w:cs="仿宋"/>
          <w:color w:val="auto"/>
          <w:sz w:val="28"/>
          <w:szCs w:val="28"/>
        </w:rPr>
        <w:t>份，收</w:t>
      </w:r>
      <w:r>
        <w:rPr>
          <w:rFonts w:hint="eastAsia" w:ascii="仿宋" w:hAnsi="仿宋" w:eastAsia="仿宋" w:cs="仿宋"/>
          <w:color w:val="auto"/>
          <w:sz w:val="28"/>
          <w:szCs w:val="28"/>
          <w:lang w:val="en-US" w:eastAsia="zh-CN"/>
        </w:rPr>
        <w:t>回</w:t>
      </w:r>
      <w:r>
        <w:rPr>
          <w:rFonts w:hint="eastAsia" w:ascii="仿宋" w:hAnsi="仿宋" w:eastAsia="仿宋" w:cs="仿宋"/>
          <w:color w:val="auto"/>
          <w:sz w:val="28"/>
          <w:szCs w:val="28"/>
        </w:rPr>
        <w:t>问卷</w:t>
      </w:r>
      <w:r>
        <w:rPr>
          <w:rFonts w:hint="eastAsia" w:ascii="仿宋" w:hAnsi="仿宋" w:eastAsia="仿宋" w:cs="仿宋"/>
          <w:color w:val="auto"/>
          <w:sz w:val="28"/>
          <w:szCs w:val="28"/>
          <w:lang w:val="en-US" w:eastAsia="zh-CN"/>
        </w:rPr>
        <w:t>40</w:t>
      </w:r>
      <w:r>
        <w:rPr>
          <w:rFonts w:hint="eastAsia" w:ascii="仿宋" w:hAnsi="仿宋" w:eastAsia="仿宋" w:cs="仿宋"/>
          <w:color w:val="auto"/>
          <w:sz w:val="28"/>
          <w:szCs w:val="28"/>
        </w:rPr>
        <w:t>份。</w:t>
      </w:r>
      <w:r>
        <w:rPr>
          <w:rFonts w:hint="eastAsia" w:ascii="仿宋" w:hAnsi="仿宋" w:eastAsia="仿宋" w:cs="仿宋"/>
          <w:color w:val="auto"/>
          <w:sz w:val="28"/>
          <w:szCs w:val="28"/>
          <w:lang w:val="en-US" w:eastAsia="zh-CN"/>
        </w:rPr>
        <w:t>根据调查结果，采用加权平均计分，问卷调查1（工作人员）得分为100分，问卷调查2（</w:t>
      </w:r>
      <w:r>
        <w:rPr>
          <w:rFonts w:hint="eastAsia" w:ascii="仿宋" w:hAnsi="仿宋" w:eastAsia="仿宋" w:cs="仿宋"/>
          <w:sz w:val="28"/>
          <w:szCs w:val="28"/>
        </w:rPr>
        <w:t>低保对象、老年人、社会组织等</w:t>
      </w:r>
      <w:r>
        <w:rPr>
          <w:rFonts w:hint="eastAsia" w:ascii="仿宋" w:hAnsi="仿宋" w:eastAsia="仿宋" w:cs="仿宋"/>
          <w:color w:val="auto"/>
          <w:sz w:val="28"/>
          <w:szCs w:val="28"/>
          <w:lang w:val="en-US" w:eastAsia="zh-CN"/>
        </w:rPr>
        <w:t>）得分为98分，两份问卷加权平均后得分为99分。</w:t>
      </w:r>
    </w:p>
    <w:p w14:paraId="0D435144">
      <w:pPr>
        <w:keepNext w:val="0"/>
        <w:keepLines w:val="0"/>
        <w:pageBreakBefore w:val="0"/>
        <w:wordWrap/>
        <w:overflowPunct/>
        <w:topLinePunct w:val="0"/>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rPr>
        <w:t>三</w:t>
      </w:r>
      <w:r>
        <w:rPr>
          <w:rFonts w:hint="eastAsia" w:ascii="仿宋" w:hAnsi="仿宋" w:eastAsia="仿宋" w:cs="仿宋"/>
          <w:b/>
          <w:bCs/>
          <w:sz w:val="28"/>
          <w:szCs w:val="28"/>
          <w:lang w:eastAsia="zh-CN"/>
        </w:rPr>
        <w:t>）</w:t>
      </w:r>
      <w:r>
        <w:rPr>
          <w:rFonts w:hint="eastAsia" w:ascii="仿宋" w:hAnsi="仿宋" w:eastAsia="仿宋" w:cs="仿宋"/>
          <w:b/>
          <w:bCs/>
          <w:sz w:val="28"/>
          <w:szCs w:val="28"/>
        </w:rPr>
        <w:t>资产管理</w:t>
      </w:r>
    </w:p>
    <w:p w14:paraId="06E25E0A">
      <w:pPr>
        <w:keepNext w:val="0"/>
        <w:keepLines w:val="0"/>
        <w:pageBreakBefore w:val="0"/>
        <w:wordWrap/>
        <w:overflowPunct/>
        <w:topLinePunct w:val="0"/>
        <w:bidi w:val="0"/>
        <w:spacing w:line="360" w:lineRule="auto"/>
        <w:rPr>
          <w:rFonts w:hint="default" w:ascii="仿宋" w:hAnsi="仿宋" w:eastAsia="仿宋" w:cs="仿宋"/>
          <w:b/>
          <w:bCs/>
          <w:color w:val="auto"/>
          <w:sz w:val="28"/>
          <w:szCs w:val="28"/>
          <w:lang w:val="en-US" w:eastAsia="zh-CN"/>
        </w:rPr>
      </w:pPr>
      <w:r>
        <w:rPr>
          <w:rFonts w:hint="eastAsia" w:ascii="仿宋" w:hAnsi="仿宋" w:eastAsia="仿宋" w:cs="仿宋"/>
          <w:b/>
          <w:bCs/>
          <w:sz w:val="28"/>
          <w:szCs w:val="28"/>
        </w:rPr>
        <w:t xml:space="preserve">1. </w:t>
      </w:r>
      <w:r>
        <w:rPr>
          <w:rFonts w:hint="eastAsia" w:ascii="仿宋" w:hAnsi="仿宋" w:eastAsia="仿宋" w:cs="仿宋"/>
          <w:b/>
          <w:bCs/>
          <w:color w:val="auto"/>
          <w:sz w:val="28"/>
          <w:szCs w:val="28"/>
          <w:lang w:val="en-US" w:eastAsia="zh-CN"/>
        </w:rPr>
        <w:t>管理制度健全性</w:t>
      </w:r>
    </w:p>
    <w:p w14:paraId="484B1F3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为加强资产管理、规范资产管理行为而制定了固定资产管理制度和相关资金管理制度，相关资产管理制度得到有效执行。</w:t>
      </w:r>
    </w:p>
    <w:p w14:paraId="6B84D27E">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资产管理安全性</w:t>
      </w:r>
    </w:p>
    <w:p w14:paraId="75C4B3CC">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资产保存完整、配置合理、不存在有偿使用及处置收入未及时足额上缴行为、资产处置欠规范，资产账务管理不合规。</w:t>
      </w:r>
    </w:p>
    <w:p w14:paraId="6D3866D7">
      <w:pPr>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固定资产利用率</w:t>
      </w:r>
    </w:p>
    <w:p w14:paraId="6CD18A14">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lang w:val="en-US" w:eastAsia="zh-CN"/>
        </w:rPr>
      </w:pPr>
      <w:r>
        <w:rPr>
          <w:rFonts w:hint="eastAsia" w:ascii="仿宋" w:hAnsi="仿宋" w:eastAsia="仿宋" w:cs="仿宋"/>
          <w:color w:val="auto"/>
          <w:sz w:val="28"/>
          <w:szCs w:val="28"/>
          <w:lang w:val="en-US" w:eastAsia="zh-CN"/>
        </w:rPr>
        <w:t>根据部门2024年度固定资产存量明细账，本年度实际在用的固定资产总额（净值）为280万元，所有固定资产总额（净值）为289.9555万元，资产利用率为96.57%。</w:t>
      </w:r>
    </w:p>
    <w:p w14:paraId="2C6952C7">
      <w:pPr>
        <w:keepNext w:val="0"/>
        <w:keepLines w:val="0"/>
        <w:pageBreakBefore w:val="0"/>
        <w:wordWrap/>
        <w:overflowPunct/>
        <w:topLinePunct w:val="0"/>
        <w:autoSpaceDE w:val="0"/>
        <w:autoSpaceDN w:val="0"/>
        <w:bidi w:val="0"/>
        <w:spacing w:line="360" w:lineRule="auto"/>
        <w:jc w:val="both"/>
        <w:outlineLvl w:val="9"/>
        <w:rPr>
          <w:rFonts w:ascii="方正黑体_GBK" w:eastAsia="方正黑体_GBK"/>
          <w:sz w:val="28"/>
          <w:szCs w:val="28"/>
          <w:lang w:eastAsia="zh-CN"/>
        </w:rPr>
      </w:pPr>
      <w:r>
        <w:rPr>
          <w:rFonts w:hint="eastAsia" w:ascii="方正黑体_GBK" w:eastAsia="方正黑体_GBK"/>
          <w:sz w:val="28"/>
          <w:szCs w:val="28"/>
          <w:lang w:eastAsia="zh-CN"/>
        </w:rPr>
        <w:t>七、存在的问题及原因分析</w:t>
      </w:r>
    </w:p>
    <w:p w14:paraId="2B57B5B1">
      <w:pPr>
        <w:keepNext w:val="0"/>
        <w:keepLines w:val="0"/>
        <w:pageBreakBefore w:val="0"/>
        <w:widowControl w:val="0"/>
        <w:kinsoku/>
        <w:wordWrap/>
        <w:overflowPunct/>
        <w:topLinePunct w:val="0"/>
        <w:autoSpaceDE/>
        <w:autoSpaceDN/>
        <w:bidi w:val="0"/>
        <w:adjustRightInd w:val="0"/>
        <w:snapToGrid/>
        <w:spacing w:line="360" w:lineRule="auto"/>
        <w:ind w:firstLine="48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1、资产管理工作存在不足</w:t>
      </w:r>
    </w:p>
    <w:p w14:paraId="45F8B27E">
      <w:pPr>
        <w:keepNext w:val="0"/>
        <w:keepLines w:val="0"/>
        <w:pageBreakBefore w:val="0"/>
        <w:widowControl w:val="0"/>
        <w:kinsoku/>
        <w:wordWrap/>
        <w:overflowPunct/>
        <w:topLinePunct w:val="0"/>
        <w:autoSpaceDE/>
        <w:autoSpaceDN/>
        <w:bidi w:val="0"/>
        <w:adjustRightInd w:val="0"/>
        <w:snapToGrid/>
        <w:spacing w:line="360" w:lineRule="auto"/>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是该单位在2024年未按规定对本单位的固定资产进行盘点与清查，二是未配置专职管理人员对固定资产进行管理，三是固定资产清单中的部分资产缺少品牌型号、存放地点等关键信息，导致账面资产与实物无法进行匹配，四是是存在着资产账与资产实体不相符的情况。</w:t>
      </w:r>
    </w:p>
    <w:p w14:paraId="31E3537F">
      <w:pPr>
        <w:keepNext w:val="0"/>
        <w:keepLines w:val="0"/>
        <w:pageBreakBefore w:val="0"/>
        <w:widowControl w:val="0"/>
        <w:kinsoku/>
        <w:wordWrap/>
        <w:overflowPunct/>
        <w:topLinePunct w:val="0"/>
        <w:autoSpaceDE/>
        <w:autoSpaceDN/>
        <w:bidi w:val="0"/>
        <w:adjustRightInd w:val="0"/>
        <w:snapToGrid/>
        <w:spacing w:line="360" w:lineRule="auto"/>
        <w:ind w:firstLine="48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2、资金支付管理不严</w:t>
      </w:r>
    </w:p>
    <w:p w14:paraId="544B5ACD">
      <w:pPr>
        <w:keepNext w:val="0"/>
        <w:keepLines w:val="0"/>
        <w:pageBreakBefore w:val="0"/>
        <w:widowControl w:val="0"/>
        <w:kinsoku/>
        <w:wordWrap/>
        <w:overflowPunct/>
        <w:topLinePunct w:val="0"/>
        <w:autoSpaceDE/>
        <w:autoSpaceDN/>
        <w:bidi w:val="0"/>
        <w:adjustRightInd w:val="0"/>
        <w:snapToGrid/>
        <w:spacing w:line="360" w:lineRule="auto"/>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经现场评价核查，该单位在资金支付管理上存在资金支付报销附件不齐等问题。</w:t>
      </w:r>
    </w:p>
    <w:p w14:paraId="041E1E3C">
      <w:pPr>
        <w:keepNext w:val="0"/>
        <w:keepLines w:val="0"/>
        <w:pageBreakBefore w:val="0"/>
        <w:numPr>
          <w:ilvl w:val="0"/>
          <w:numId w:val="0"/>
        </w:numPr>
        <w:wordWrap/>
        <w:overflowPunct/>
        <w:topLinePunct w:val="0"/>
        <w:autoSpaceDE w:val="0"/>
        <w:autoSpaceDN w:val="0"/>
        <w:bidi w:val="0"/>
        <w:spacing w:line="360" w:lineRule="auto"/>
        <w:jc w:val="both"/>
        <w:outlineLvl w:val="9"/>
        <w:rPr>
          <w:rFonts w:hint="eastAsia" w:ascii="方正黑体_GBK" w:eastAsia="方正黑体_GBK"/>
          <w:sz w:val="28"/>
          <w:szCs w:val="28"/>
          <w:lang w:eastAsia="zh-CN"/>
        </w:rPr>
      </w:pPr>
      <w:r>
        <w:rPr>
          <w:rFonts w:hint="eastAsia" w:ascii="方正黑体_GBK" w:eastAsia="方正黑体_GBK"/>
          <w:sz w:val="28"/>
          <w:szCs w:val="28"/>
          <w:lang w:eastAsia="zh-CN"/>
        </w:rPr>
        <w:t>八、下一步改进措施</w:t>
      </w:r>
    </w:p>
    <w:p w14:paraId="633C930D">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1、完善财务管理制度，进一步加强资产管理</w:t>
      </w:r>
    </w:p>
    <w:p w14:paraId="701E9F7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建议根据固定资产管理制度，按年度对部门固定资产进行清查，查清部门固定资产管理中存在的问题并及时整改，对长期积压的待处置资产，按“三重一大”事项履行集体决策程序，在规定权限内予以处置，切实解决“销账难”的问题。强化各科室固定资产管理意识，加强固定资产管理制度执行有效性，确保固定资产管理负责人负责制有效落实，提高固定资产管理安全性，确保固定资产账实相符、账卡相符、账证相符、账账相符。</w:t>
      </w:r>
    </w:p>
    <w:p w14:paraId="1C57C2B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2、加强财务审核，严格资金支付</w:t>
      </w:r>
    </w:p>
    <w:p w14:paraId="1943C9B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color w:val="auto"/>
          <w:sz w:val="28"/>
          <w:szCs w:val="28"/>
          <w:lang w:val="en-US" w:eastAsia="zh-CN"/>
        </w:rPr>
      </w:pPr>
      <w:r>
        <w:rPr>
          <w:rFonts w:hint="default" w:ascii="仿宋" w:hAnsi="仿宋" w:eastAsia="仿宋" w:cs="仿宋"/>
          <w:b w:val="0"/>
          <w:bCs/>
          <w:color w:val="auto"/>
          <w:sz w:val="28"/>
          <w:szCs w:val="28"/>
          <w:lang w:val="en-US" w:eastAsia="zh-CN"/>
        </w:rPr>
        <w:t>应</w:t>
      </w:r>
      <w:r>
        <w:rPr>
          <w:rFonts w:hint="eastAsia" w:ascii="仿宋" w:hAnsi="仿宋" w:eastAsia="仿宋" w:cs="仿宋"/>
          <w:b w:val="0"/>
          <w:bCs/>
          <w:color w:val="auto"/>
          <w:sz w:val="28"/>
          <w:szCs w:val="28"/>
          <w:lang w:val="en-US" w:eastAsia="zh-CN"/>
        </w:rPr>
        <w:t>加强资金的管理，严格执行《中华人民共和国会计法》、《行政单位会计制度》、《会计基础工作规范》等规定，加强原始凭证制度化、规范化管理，同时要加强财务审核工作，根据审核无误的原始凭证及时做好会计凭证及账簿记录，保障账务处理及时规范，单据完整，要素齐全。</w:t>
      </w:r>
    </w:p>
    <w:p w14:paraId="75F3DCD7">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3、主管部门应完善监管方式，加大项目资金监督力度</w:t>
      </w:r>
    </w:p>
    <w:p w14:paraId="1A297AE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color w:val="auto"/>
          <w:sz w:val="28"/>
          <w:szCs w:val="28"/>
          <w:lang w:val="en-US" w:eastAsia="zh-CN"/>
        </w:rPr>
        <w:t>可从内外部两方面强化对项目资金的监督管理。在外部监</w:t>
      </w:r>
      <w:r>
        <w:rPr>
          <w:rFonts w:hint="eastAsia" w:ascii="仿宋" w:hAnsi="仿宋" w:eastAsia="仿宋" w:cs="仿宋"/>
          <w:b w:val="0"/>
          <w:bCs/>
          <w:sz w:val="28"/>
          <w:szCs w:val="28"/>
          <w:lang w:val="en-US" w:eastAsia="zh-CN"/>
        </w:rPr>
        <w:t>管体系上，首先，可从资金审批环节严格把关，在保证政策导向和财政扶持的总体目标下，提高项目资金使用效率，同时定期巡查抽查，及时发现错误并更正；其次，通过政府政务公开信息平台引进公众监督，及时公开对项目资金的评价情况和监管过程，提高项目资金使用的透明度。在内部监管体系上，应定期召开专项会议，对项目资金使用及投资建设情况进行跟踪报告，结合目标管理、动态监测、年度考核三位一体的工作机制，全面掌握项目资金的使用和项目的进展。</w:t>
      </w:r>
    </w:p>
    <w:p w14:paraId="7B3C618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jc w:val="both"/>
        <w:textAlignment w:val="baseline"/>
        <w:outlineLvl w:val="9"/>
        <w:rPr>
          <w:rFonts w:hint="eastAsia" w:ascii="方正黑体_GBK" w:eastAsia="方正黑体_GBK"/>
          <w:sz w:val="28"/>
          <w:szCs w:val="28"/>
          <w:lang w:eastAsia="zh-CN"/>
        </w:rPr>
      </w:pPr>
      <w:r>
        <w:rPr>
          <w:rFonts w:hint="eastAsia" w:ascii="方正黑体_GBK" w:eastAsia="方正黑体_GBK"/>
          <w:sz w:val="28"/>
          <w:szCs w:val="28"/>
          <w:lang w:eastAsia="zh-CN"/>
        </w:rPr>
        <w:t>九、部门整体支出绩效自评结果拟应用和公开情况</w:t>
      </w:r>
    </w:p>
    <w:p w14:paraId="37340E66">
      <w:pPr>
        <w:keepNext w:val="0"/>
        <w:keepLines w:val="0"/>
        <w:pageBreakBefore w:val="0"/>
        <w:wordWrap/>
        <w:overflowPunct/>
        <w:topLinePunct w:val="0"/>
        <w:autoSpaceDE w:val="0"/>
        <w:autoSpaceDN w:val="0"/>
        <w:bidi w:val="0"/>
        <w:adjustRightInd w:val="0"/>
        <w:spacing w:line="360" w:lineRule="auto"/>
        <w:ind w:left="0" w:leftChars="0" w:firstLine="560" w:firstLineChars="200"/>
        <w:jc w:val="left"/>
        <w:outlineLvl w:val="9"/>
        <w:rPr>
          <w:sz w:val="28"/>
          <w:szCs w:val="28"/>
          <w:lang w:eastAsia="zh-CN"/>
        </w:rPr>
      </w:pPr>
      <w:r>
        <w:rPr>
          <w:rFonts w:hint="eastAsia" w:ascii="仿宋" w:hAnsi="仿宋" w:eastAsia="仿宋" w:cs="仿宋"/>
          <w:color w:val="000000"/>
          <w:kern w:val="0"/>
          <w:sz w:val="28"/>
          <w:szCs w:val="28"/>
        </w:rPr>
        <w:t>评价报告</w:t>
      </w:r>
      <w:r>
        <w:rPr>
          <w:rFonts w:hint="eastAsia" w:ascii="仿宋" w:hAnsi="仿宋" w:eastAsia="仿宋" w:cs="仿宋"/>
          <w:sz w:val="28"/>
          <w:szCs w:val="28"/>
        </w:rPr>
        <w:t>已按</w:t>
      </w:r>
      <w:r>
        <w:rPr>
          <w:rFonts w:hint="eastAsia" w:ascii="仿宋" w:hAnsi="仿宋" w:eastAsia="仿宋" w:cs="仿宋"/>
          <w:sz w:val="28"/>
          <w:szCs w:val="28"/>
          <w:highlight w:val="none"/>
          <w:lang w:val="en-US" w:eastAsia="zh-Hans"/>
        </w:rPr>
        <w:t>县</w:t>
      </w:r>
      <w:r>
        <w:rPr>
          <w:rFonts w:hint="eastAsia" w:ascii="仿宋" w:hAnsi="仿宋" w:eastAsia="仿宋" w:cs="仿宋"/>
          <w:sz w:val="28"/>
          <w:szCs w:val="28"/>
          <w:highlight w:val="none"/>
        </w:rPr>
        <w:t>财政局</w:t>
      </w:r>
      <w:r>
        <w:rPr>
          <w:rFonts w:hint="eastAsia" w:ascii="仿宋" w:hAnsi="仿宋" w:eastAsia="仿宋" w:cs="仿宋"/>
          <w:sz w:val="28"/>
          <w:szCs w:val="28"/>
        </w:rPr>
        <w:t>统一要求随同部门决算作为附件公开。</w:t>
      </w:r>
    </w:p>
    <w:p w14:paraId="02BB996A">
      <w:pPr>
        <w:keepNext w:val="0"/>
        <w:keepLines w:val="0"/>
        <w:pageBreakBefore w:val="0"/>
        <w:wordWrap/>
        <w:overflowPunct/>
        <w:topLinePunct w:val="0"/>
        <w:autoSpaceDE w:val="0"/>
        <w:autoSpaceDN w:val="0"/>
        <w:bidi w:val="0"/>
        <w:spacing w:line="360" w:lineRule="auto"/>
        <w:jc w:val="both"/>
        <w:outlineLvl w:val="9"/>
        <w:rPr>
          <w:rFonts w:eastAsia="仿宋_GB2312"/>
          <w:sz w:val="28"/>
          <w:szCs w:val="28"/>
          <w:lang w:eastAsia="zh-CN"/>
        </w:rPr>
      </w:pPr>
      <w:r>
        <w:rPr>
          <w:rFonts w:hint="eastAsia" w:eastAsia="黑体"/>
          <w:sz w:val="28"/>
          <w:szCs w:val="28"/>
          <w:lang w:eastAsia="zh-CN"/>
        </w:rPr>
        <w:t>十、其他需要说明的情况</w:t>
      </w:r>
    </w:p>
    <w:p w14:paraId="0F341B0F">
      <w:pPr>
        <w:keepNext w:val="0"/>
        <w:keepLines w:val="0"/>
        <w:pageBreakBefore w:val="0"/>
        <w:widowControl w:val="0"/>
        <w:kinsoku/>
        <w:wordWrap/>
        <w:overflowPunct/>
        <w:topLinePunct w:val="0"/>
        <w:autoSpaceDE/>
        <w:autoSpaceDN/>
        <w:bidi w:val="0"/>
        <w:adjustRightInd/>
        <w:snapToGrid/>
        <w:spacing w:line="408" w:lineRule="auto"/>
        <w:ind w:firstLine="281" w:firstLineChars="100"/>
        <w:textAlignment w:val="auto"/>
        <w:outlineLvl w:val="1"/>
        <w:rPr>
          <w:rFonts w:hint="default" w:ascii="仿宋" w:hAnsi="仿宋" w:eastAsia="仿宋" w:cs="仿宋"/>
          <w:b/>
          <w:sz w:val="28"/>
          <w:szCs w:val="28"/>
          <w:lang w:val="en-US" w:eastAsia="zh-CN"/>
        </w:rPr>
      </w:pPr>
      <w:bookmarkStart w:id="0" w:name="_Toc13071"/>
      <w:bookmarkStart w:id="1" w:name="_Toc6025"/>
      <w:bookmarkStart w:id="2" w:name="_Toc30388"/>
      <w:bookmarkStart w:id="3" w:name="_Toc28785"/>
      <w:r>
        <w:rPr>
          <w:rFonts w:hint="eastAsia" w:ascii="仿宋" w:hAnsi="仿宋" w:eastAsia="仿宋" w:cs="仿宋"/>
          <w:b/>
          <w:sz w:val="28"/>
          <w:szCs w:val="28"/>
          <w:lang w:val="en-US" w:eastAsia="zh-CN"/>
        </w:rPr>
        <w:t>（一）评价工作情况说明</w:t>
      </w:r>
      <w:bookmarkEnd w:id="0"/>
      <w:bookmarkEnd w:id="1"/>
      <w:bookmarkEnd w:id="2"/>
    </w:p>
    <w:p w14:paraId="0FA78F71">
      <w:pPr>
        <w:keepNext w:val="0"/>
        <w:keepLines w:val="0"/>
        <w:pageBreakBefore w:val="0"/>
        <w:widowControl w:val="0"/>
        <w:kinsoku/>
        <w:wordWrap/>
        <w:overflowPunct/>
        <w:topLinePunct w:val="0"/>
        <w:autoSpaceDE/>
        <w:autoSpaceDN/>
        <w:bidi w:val="0"/>
        <w:adjustRightInd/>
        <w:snapToGrid/>
        <w:spacing w:line="408" w:lineRule="auto"/>
        <w:ind w:firstLine="560" w:firstLineChars="200"/>
        <w:textAlignment w:val="auto"/>
        <w:outlineLvl w:val="9"/>
        <w:rPr>
          <w:rFonts w:hint="default" w:ascii="仿宋" w:hAnsi="仿宋" w:eastAsia="仿宋" w:cs="仿宋"/>
          <w:b w:val="0"/>
          <w:bCs/>
          <w:color w:val="auto"/>
          <w:sz w:val="28"/>
          <w:szCs w:val="28"/>
          <w:lang w:val="en-US" w:eastAsia="zh-CN"/>
        </w:rPr>
      </w:pPr>
      <w:bookmarkStart w:id="4" w:name="_Toc19861"/>
      <w:bookmarkStart w:id="5" w:name="_Toc18982"/>
      <w:bookmarkStart w:id="6" w:name="_Toc19339"/>
      <w:r>
        <w:rPr>
          <w:rFonts w:hint="eastAsia" w:ascii="仿宋" w:hAnsi="仿宋" w:eastAsia="仿宋" w:cs="仿宋"/>
          <w:b w:val="0"/>
          <w:bCs/>
          <w:color w:val="auto"/>
          <w:sz w:val="28"/>
          <w:szCs w:val="28"/>
          <w:lang w:val="en-US" w:eastAsia="zh-CN"/>
        </w:rPr>
        <w:t>由于</w:t>
      </w:r>
      <w:r>
        <w:rPr>
          <w:rFonts w:hint="eastAsia" w:ascii="仿宋" w:hAnsi="仿宋" w:eastAsia="仿宋" w:cs="仿宋"/>
          <w:color w:val="auto"/>
          <w:sz w:val="28"/>
          <w:szCs w:val="28"/>
          <w:lang w:val="en-US" w:eastAsia="zh-CN"/>
        </w:rPr>
        <w:t>该单位</w:t>
      </w:r>
      <w:r>
        <w:rPr>
          <w:rFonts w:hint="eastAsia" w:ascii="仿宋" w:hAnsi="仿宋" w:eastAsia="仿宋" w:cs="仿宋"/>
          <w:b w:val="0"/>
          <w:bCs/>
          <w:color w:val="auto"/>
          <w:sz w:val="28"/>
          <w:szCs w:val="28"/>
          <w:lang w:val="en-US" w:eastAsia="zh-CN"/>
        </w:rPr>
        <w:t>项目资金较多，评价小组很难将每个项目支出进行逐笔对比分析，采用抽选方法对部分项目资金支出进行了检查。</w:t>
      </w:r>
      <w:bookmarkEnd w:id="4"/>
      <w:bookmarkEnd w:id="5"/>
      <w:bookmarkEnd w:id="6"/>
    </w:p>
    <w:p w14:paraId="7A6221E4">
      <w:pPr>
        <w:keepNext w:val="0"/>
        <w:keepLines w:val="0"/>
        <w:pageBreakBefore w:val="0"/>
        <w:widowControl w:val="0"/>
        <w:kinsoku/>
        <w:wordWrap/>
        <w:overflowPunct/>
        <w:topLinePunct w:val="0"/>
        <w:autoSpaceDE/>
        <w:autoSpaceDN/>
        <w:bidi w:val="0"/>
        <w:adjustRightInd/>
        <w:snapToGrid/>
        <w:spacing w:line="408" w:lineRule="auto"/>
        <w:ind w:firstLine="281" w:firstLineChars="100"/>
        <w:textAlignment w:val="auto"/>
        <w:outlineLvl w:val="1"/>
        <w:rPr>
          <w:rFonts w:ascii="仿宋" w:hAnsi="仿宋" w:eastAsia="仿宋" w:cs="仿宋"/>
          <w:b/>
          <w:sz w:val="28"/>
          <w:szCs w:val="28"/>
        </w:rPr>
      </w:pPr>
      <w:bookmarkStart w:id="7" w:name="_Toc1038"/>
      <w:bookmarkStart w:id="8" w:name="_Toc3822"/>
      <w:bookmarkStart w:id="9" w:name="_Toc18951"/>
      <w:r>
        <w:rPr>
          <w:rFonts w:hint="eastAsia" w:ascii="仿宋" w:hAnsi="仿宋" w:eastAsia="仿宋" w:cs="仿宋"/>
          <w:b/>
          <w:sz w:val="28"/>
          <w:szCs w:val="28"/>
          <w:lang w:val="en-US" w:eastAsia="zh-CN"/>
        </w:rPr>
        <w:t>（二）</w:t>
      </w:r>
      <w:r>
        <w:rPr>
          <w:rFonts w:hint="eastAsia" w:ascii="仿宋" w:hAnsi="仿宋" w:eastAsia="仿宋" w:cs="仿宋"/>
          <w:b/>
          <w:sz w:val="28"/>
          <w:szCs w:val="28"/>
        </w:rPr>
        <w:t>调查问卷说明</w:t>
      </w:r>
      <w:bookmarkEnd w:id="3"/>
      <w:bookmarkEnd w:id="7"/>
      <w:bookmarkEnd w:id="8"/>
      <w:bookmarkEnd w:id="9"/>
    </w:p>
    <w:p w14:paraId="20C80060">
      <w:pPr>
        <w:keepNext w:val="0"/>
        <w:keepLines w:val="0"/>
        <w:pageBreakBefore w:val="0"/>
        <w:widowControl w:val="0"/>
        <w:kinsoku/>
        <w:wordWrap/>
        <w:overflowPunct/>
        <w:topLinePunct w:val="0"/>
        <w:autoSpaceDE/>
        <w:autoSpaceDN/>
        <w:bidi w:val="0"/>
        <w:adjustRightInd/>
        <w:snapToGrid/>
        <w:spacing w:line="408" w:lineRule="auto"/>
        <w:ind w:firstLine="480"/>
        <w:textAlignment w:val="auto"/>
        <w:rPr>
          <w:rFonts w:ascii="仿宋" w:hAnsi="仿宋" w:eastAsia="仿宋" w:cs="仿宋"/>
          <w:sz w:val="28"/>
          <w:szCs w:val="28"/>
        </w:rPr>
      </w:pPr>
      <w:r>
        <w:rPr>
          <w:rFonts w:hint="eastAsia" w:ascii="仿宋" w:hAnsi="仿宋" w:eastAsia="仿宋" w:cs="仿宋"/>
          <w:sz w:val="28"/>
          <w:szCs w:val="28"/>
        </w:rPr>
        <w:t>调查问卷属于被调查者的主观反馈，问卷措辞可能影响被调查者的回应，问卷题目也无法给出项目全貌，有可能不能完全真实反映本项目的实际效果。</w:t>
      </w:r>
    </w:p>
    <w:p w14:paraId="7300F615">
      <w:pPr>
        <w:keepNext w:val="0"/>
        <w:keepLines w:val="0"/>
        <w:pageBreakBefore w:val="0"/>
        <w:widowControl w:val="0"/>
        <w:kinsoku/>
        <w:wordWrap/>
        <w:overflowPunct/>
        <w:topLinePunct w:val="0"/>
        <w:autoSpaceDE/>
        <w:autoSpaceDN/>
        <w:bidi w:val="0"/>
        <w:adjustRightInd/>
        <w:snapToGrid/>
        <w:spacing w:line="408" w:lineRule="auto"/>
        <w:ind w:firstLine="480"/>
        <w:textAlignment w:val="auto"/>
        <w:outlineLvl w:val="1"/>
        <w:rPr>
          <w:rFonts w:ascii="仿宋" w:hAnsi="仿宋" w:eastAsia="仿宋" w:cs="仿宋"/>
          <w:b/>
          <w:sz w:val="28"/>
          <w:szCs w:val="28"/>
        </w:rPr>
      </w:pPr>
      <w:bookmarkStart w:id="10" w:name="_Toc16043"/>
      <w:bookmarkStart w:id="11" w:name="_Toc3732"/>
      <w:bookmarkStart w:id="12" w:name="_Toc1183"/>
      <w:bookmarkStart w:id="13" w:name="_Toc16059"/>
      <w:r>
        <w:rPr>
          <w:rFonts w:hint="eastAsia" w:ascii="仿宋" w:hAnsi="仿宋" w:eastAsia="仿宋" w:cs="仿宋"/>
          <w:b/>
          <w:sz w:val="28"/>
          <w:szCs w:val="28"/>
          <w:lang w:val="en-US" w:eastAsia="zh-CN"/>
        </w:rPr>
        <w:t>（三）其他</w:t>
      </w:r>
      <w:r>
        <w:rPr>
          <w:rFonts w:hint="eastAsia" w:ascii="仿宋" w:hAnsi="仿宋" w:eastAsia="仿宋" w:cs="仿宋"/>
          <w:b/>
          <w:sz w:val="28"/>
          <w:szCs w:val="28"/>
        </w:rPr>
        <w:t>说明</w:t>
      </w:r>
      <w:bookmarkEnd w:id="10"/>
      <w:bookmarkEnd w:id="11"/>
      <w:bookmarkEnd w:id="12"/>
      <w:bookmarkEnd w:id="13"/>
    </w:p>
    <w:p w14:paraId="10EEE181">
      <w:pPr>
        <w:keepNext w:val="0"/>
        <w:keepLines w:val="0"/>
        <w:pageBreakBefore w:val="0"/>
        <w:widowControl w:val="0"/>
        <w:kinsoku/>
        <w:wordWrap/>
        <w:overflowPunct/>
        <w:topLinePunct w:val="0"/>
        <w:autoSpaceDE/>
        <w:autoSpaceDN/>
        <w:bidi w:val="0"/>
        <w:adjustRightInd/>
        <w:snapToGrid/>
        <w:spacing w:line="408" w:lineRule="auto"/>
        <w:ind w:firstLine="480"/>
        <w:textAlignment w:val="auto"/>
        <w:rPr>
          <w:rFonts w:ascii="仿宋" w:hAnsi="仿宋" w:eastAsia="仿宋" w:cs="仿宋"/>
          <w:sz w:val="28"/>
          <w:szCs w:val="28"/>
        </w:rPr>
      </w:pPr>
      <w:r>
        <w:rPr>
          <w:rFonts w:hint="eastAsia" w:ascii="仿宋" w:hAnsi="仿宋" w:eastAsia="仿宋" w:cs="仿宋"/>
          <w:sz w:val="28"/>
          <w:szCs w:val="28"/>
        </w:rPr>
        <w:t>本报告数据仅根据贵单位提供的项目文件、资料、原始单</w:t>
      </w:r>
      <w:r>
        <w:rPr>
          <w:rFonts w:hint="eastAsia" w:ascii="仿宋" w:hAnsi="仿宋" w:eastAsia="仿宋" w:cs="仿宋"/>
          <w:sz w:val="28"/>
          <w:szCs w:val="28"/>
          <w:lang w:val="en-US" w:eastAsia="zh-CN"/>
        </w:rPr>
        <w:t>据</w:t>
      </w:r>
      <w:r>
        <w:rPr>
          <w:rFonts w:hint="eastAsia" w:ascii="仿宋" w:hAnsi="仿宋" w:eastAsia="仿宋" w:cs="仿宋"/>
          <w:sz w:val="28"/>
          <w:szCs w:val="28"/>
        </w:rPr>
        <w:t>、</w:t>
      </w:r>
      <w:r>
        <w:rPr>
          <w:rFonts w:hint="eastAsia" w:ascii="仿宋" w:hAnsi="仿宋" w:eastAsia="仿宋" w:cs="仿宋"/>
          <w:sz w:val="28"/>
          <w:szCs w:val="28"/>
          <w:lang w:eastAsia="zh-CN"/>
        </w:rPr>
        <w:t>相关台账</w:t>
      </w:r>
      <w:r>
        <w:rPr>
          <w:rFonts w:hint="eastAsia" w:ascii="仿宋" w:hAnsi="仿宋" w:eastAsia="仿宋" w:cs="仿宋"/>
          <w:sz w:val="28"/>
          <w:szCs w:val="28"/>
        </w:rPr>
        <w:t>、报表数据及内容进行的</w:t>
      </w:r>
      <w:r>
        <w:rPr>
          <w:rFonts w:hint="eastAsia" w:ascii="仿宋" w:hAnsi="仿宋" w:eastAsia="仿宋" w:cs="仿宋"/>
          <w:sz w:val="28"/>
          <w:szCs w:val="28"/>
          <w:lang w:val="en-US" w:eastAsia="zh-CN"/>
        </w:rPr>
        <w:t>评价</w:t>
      </w:r>
      <w:r>
        <w:rPr>
          <w:rFonts w:hint="eastAsia" w:ascii="仿宋" w:hAnsi="仿宋" w:eastAsia="仿宋" w:cs="仿宋"/>
          <w:sz w:val="28"/>
          <w:szCs w:val="28"/>
        </w:rPr>
        <w:t>，不应视作包括绩效评价期间所有业务发生的保证。</w:t>
      </w:r>
    </w:p>
    <w:p w14:paraId="0EA85DF9">
      <w:pPr>
        <w:keepNext w:val="0"/>
        <w:keepLines w:val="0"/>
        <w:pageBreakBefore w:val="0"/>
        <w:wordWrap/>
        <w:overflowPunct/>
        <w:topLinePunct w:val="0"/>
        <w:autoSpaceDE w:val="0"/>
        <w:autoSpaceDN w:val="0"/>
        <w:bidi w:val="0"/>
        <w:spacing w:line="360" w:lineRule="auto"/>
        <w:ind w:left="0" w:leftChars="0"/>
        <w:outlineLvl w:val="9"/>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960B02-A60D-4D20-A503-E7A475CC08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21611C3-247E-414E-89D2-CAF1A3D31128}"/>
  </w:font>
  <w:font w:name="仿宋">
    <w:panose1 w:val="02010609060101010101"/>
    <w:charset w:val="86"/>
    <w:family w:val="modern"/>
    <w:pitch w:val="default"/>
    <w:sig w:usb0="800002BF" w:usb1="38CF7CFA" w:usb2="00000016" w:usb3="00000000" w:csb0="00040001" w:csb1="00000000"/>
    <w:embedRegular r:id="rId3" w:fontKey="{F675BC5E-6661-403B-B8E5-2CD9EC8C679C}"/>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4" w:fontKey="{86700DB0-E88F-4062-AA72-594FA033B41A}"/>
  </w:font>
  <w:font w:name="楷体">
    <w:panose1 w:val="02010609060101010101"/>
    <w:charset w:val="86"/>
    <w:family w:val="modern"/>
    <w:pitch w:val="default"/>
    <w:sig w:usb0="800002BF" w:usb1="38CF7CFA" w:usb2="00000016" w:usb3="00000000" w:csb0="00040001" w:csb1="00000000"/>
    <w:embedRegular r:id="rId5" w:fontKey="{0599D922-FE5E-42FF-93C5-7224ACEE9120}"/>
  </w:font>
  <w:font w:name="方正黑体_GBK">
    <w:altName w:val="微软雅黑"/>
    <w:panose1 w:val="03000509000000000000"/>
    <w:charset w:val="86"/>
    <w:family w:val="script"/>
    <w:pitch w:val="default"/>
    <w:sig w:usb0="00000000" w:usb1="00000000" w:usb2="00000000" w:usb3="00000000" w:csb0="00040000" w:csb1="00000000"/>
    <w:embedRegular r:id="rId6" w:fontKey="{6F5D2D57-4698-4825-91A8-48C7EA9668AA}"/>
  </w:font>
  <w:font w:name="仿宋_GB2312">
    <w:panose1 w:val="02010609030101010101"/>
    <w:charset w:val="86"/>
    <w:family w:val="modern"/>
    <w:pitch w:val="default"/>
    <w:sig w:usb0="00000001" w:usb1="080E0000" w:usb2="00000000" w:usb3="00000000" w:csb0="00040000" w:csb1="00000000"/>
    <w:embedRegular r:id="rId7" w:fontKey="{7A833CF7-33DD-4627-863D-784F8B3D4F0C}"/>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2DAE9"/>
    <w:multiLevelType w:val="singleLevel"/>
    <w:tmpl w:val="A452DAE9"/>
    <w:lvl w:ilvl="0" w:tentative="0">
      <w:start w:val="6"/>
      <w:numFmt w:val="chineseCounting"/>
      <w:suff w:val="nothing"/>
      <w:lvlText w:val="%1、"/>
      <w:lvlJc w:val="left"/>
      <w:rPr>
        <w:rFonts w:hint="eastAsia"/>
      </w:rPr>
    </w:lvl>
  </w:abstractNum>
  <w:abstractNum w:abstractNumId="1">
    <w:nsid w:val="B762E7F2"/>
    <w:multiLevelType w:val="singleLevel"/>
    <w:tmpl w:val="B762E7F2"/>
    <w:lvl w:ilvl="0" w:tentative="0">
      <w:start w:val="2"/>
      <w:numFmt w:val="decimal"/>
      <w:suff w:val="space"/>
      <w:lvlText w:val="%1."/>
      <w:lvlJc w:val="left"/>
    </w:lvl>
  </w:abstractNum>
  <w:abstractNum w:abstractNumId="2">
    <w:nsid w:val="D13F6421"/>
    <w:multiLevelType w:val="singleLevel"/>
    <w:tmpl w:val="D13F6421"/>
    <w:lvl w:ilvl="0" w:tentative="0">
      <w:start w:val="1"/>
      <w:numFmt w:val="chineseCounting"/>
      <w:suff w:val="nothing"/>
      <w:lvlText w:val="%1、"/>
      <w:lvlJc w:val="left"/>
      <w:rPr>
        <w:rFonts w:hint="eastAsia"/>
      </w:rPr>
    </w:lvl>
  </w:abstractNum>
  <w:abstractNum w:abstractNumId="3">
    <w:nsid w:val="0C24CB9E"/>
    <w:multiLevelType w:val="singleLevel"/>
    <w:tmpl w:val="0C24CB9E"/>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E72D05"/>
    <w:rsid w:val="002F7A34"/>
    <w:rsid w:val="023D14F6"/>
    <w:rsid w:val="05D77485"/>
    <w:rsid w:val="074F7665"/>
    <w:rsid w:val="103F67D3"/>
    <w:rsid w:val="181A69EF"/>
    <w:rsid w:val="1A2F2D5A"/>
    <w:rsid w:val="1D8C06A7"/>
    <w:rsid w:val="21A1365E"/>
    <w:rsid w:val="22883C67"/>
    <w:rsid w:val="25DF5B73"/>
    <w:rsid w:val="260A0C18"/>
    <w:rsid w:val="273216B7"/>
    <w:rsid w:val="29A917F3"/>
    <w:rsid w:val="2D937732"/>
    <w:rsid w:val="2ED37AD4"/>
    <w:rsid w:val="31851F20"/>
    <w:rsid w:val="3A085B5C"/>
    <w:rsid w:val="3D080047"/>
    <w:rsid w:val="470E7D22"/>
    <w:rsid w:val="48E72D05"/>
    <w:rsid w:val="4C6A30B2"/>
    <w:rsid w:val="4DE47710"/>
    <w:rsid w:val="4FB629B4"/>
    <w:rsid w:val="508B61EA"/>
    <w:rsid w:val="543B6127"/>
    <w:rsid w:val="6665513D"/>
    <w:rsid w:val="6EE449F0"/>
    <w:rsid w:val="70E35E7A"/>
    <w:rsid w:val="72B965D9"/>
    <w:rsid w:val="749E415D"/>
    <w:rsid w:val="7735179D"/>
    <w:rsid w:val="7A6254A1"/>
    <w:rsid w:val="7AFD1314"/>
    <w:rsid w:val="7C873D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semiHidden/>
    <w:qFormat/>
    <w:uiPriority w:val="0"/>
    <w:pPr>
      <w:spacing w:before="20" w:line="222" w:lineRule="auto"/>
    </w:pPr>
    <w:rPr>
      <w:rFonts w:ascii="仿宋" w:hAnsi="仿宋" w:eastAsia="仿宋" w:cs="仿宋"/>
      <w:sz w:val="35"/>
      <w:szCs w:val="35"/>
    </w:rPr>
  </w:style>
  <w:style w:type="paragraph" w:styleId="4">
    <w:name w:val="footer"/>
    <w:basedOn w:val="1"/>
    <w:next w:val="1"/>
    <w:qFormat/>
    <w:uiPriority w:val="99"/>
    <w:pPr>
      <w:tabs>
        <w:tab w:val="center" w:pos="4153"/>
        <w:tab w:val="right" w:pos="8306"/>
      </w:tabs>
      <w:spacing w:line="560" w:lineRule="exact"/>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8">
    <w:name w:val="List Paragraph"/>
    <w:basedOn w:val="1"/>
    <w:unhideWhenUsed/>
    <w:qFormat/>
    <w:uiPriority w:val="99"/>
    <w:pPr>
      <w:ind w:firstLine="420" w:firstLineChars="200"/>
    </w:pPr>
  </w:style>
  <w:style w:type="paragraph" w:customStyle="1" w:styleId="9">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4270</Words>
  <Characters>4531</Characters>
  <Lines>0</Lines>
  <Paragraphs>0</Paragraphs>
  <TotalTime>8</TotalTime>
  <ScaleCrop>false</ScaleCrop>
  <LinksUpToDate>false</LinksUpToDate>
  <CharactersWithSpaces>4563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2025-04-09T01:45:00Z</dcterms:created>
  <dc:creator>Administrator</dc:creator>
  <cp:lastModifiedBy>晃叁</cp:lastModifiedBy>
  <dcterms:modified xsi:type="dcterms:W3CDTF">2025-09-10T01:51:03Z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eyJoZGlkIjoiMDljYzUzMWQ4OWI0YzBkYjYzMDRhZTY5ZjZkYmFmYTgiLCJ1c2VySWQiOiIzNjU0MDYwMTcifQ==</vt:lpwstr>
  </property>
  <property fmtid="{D5CDD505-2E9C-101B-9397-08002B2CF9AE}" pid="4" name="ICV">
    <vt:lpwstr>411EC80BFABB41B9A8B19E69ED147A04_13</vt:lpwstr>
  </property>
</Properties>
</file>