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9976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6AA61587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63A3D1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B43E4A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0F186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2024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1F82586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岳阳县社会福利院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75AE3C46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8E4FE28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F27891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434F2F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CE7E7DC">
      <w:pPr>
        <w:bidi w:val="0"/>
        <w:rPr>
          <w:rFonts w:hint="eastAsia" w:ascii="微软雅黑" w:hAnsi="微软雅黑" w:eastAsia="微软雅黑" w:cs="微软雅黑"/>
        </w:rPr>
      </w:pPr>
    </w:p>
    <w:p w14:paraId="23A8E8C6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1AB9E1F8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157216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岳阳县社会福利院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240AF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46A6DD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78ED56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34CC4E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725EC0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04717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3A7FE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00946C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375E43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711A9B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437AF5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3E3B4F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699884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11DA7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337BFC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6F47155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3FB4FF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19CF11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17C6FE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687761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09B7EC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05ECA7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3E3486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400371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0F2A30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289456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59CBBF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2024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1103F9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69E08C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26A9DE3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11BF87E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B2202F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57614D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229656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222A7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5FE8B5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6629100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岳阳县社会福利院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173AE3A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4FAF5A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FD6A7F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9AD0A7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F84CF8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2E8C870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16C863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（一）提供收养服务，弘扬救助精神。</w:t>
      </w:r>
    </w:p>
    <w:p w14:paraId="41EBCC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（二）孤儿与弃婴收养，家庭无力照顾的残疾儿童收养。</w:t>
      </w:r>
    </w:p>
    <w:p w14:paraId="0B5186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（三）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收养对象的康复治疗。</w:t>
      </w:r>
    </w:p>
    <w:p w14:paraId="1675BDDD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0369D8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本单位系民政局属二级机构，内设5个股室，分别是：办公室、财务室、护理部、带养部、后勤部。年末实有在职人数6人。</w:t>
      </w:r>
    </w:p>
    <w:p w14:paraId="35C014D3">
      <w:pPr>
        <w:ind w:firstLine="640" w:firstLineChars="200"/>
        <w:jc w:val="left"/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决算单位构成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本单位没有所属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级机构，因此本年度部门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算仅为本级部门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算。</w:t>
      </w:r>
    </w:p>
    <w:p w14:paraId="3D2C195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756079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5A3E38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954AE1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3506974C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29224D5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0358D15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36C01BF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1E7AC822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3FB8F864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B052895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38A4B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9AF144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C08E3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7928C40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DD92FE3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422B5A8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7701B91A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7981D21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7FCB2AF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2CA93B7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AB426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69C37B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139.73</w:t>
      </w:r>
      <w:r>
        <w:rPr>
          <w:rFonts w:ascii="微软雅黑" w:hAnsi="微软雅黑" w:eastAsia="微软雅黑" w:cs="微软雅黑"/>
          <w:sz w:val="32"/>
        </w:rPr>
        <w:t>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62.88</w:t>
      </w:r>
      <w:r>
        <w:rPr>
          <w:rFonts w:ascii="微软雅黑" w:hAnsi="微软雅黑" w:eastAsia="微软雅黑" w:cs="微软雅黑"/>
          <w:sz w:val="32"/>
        </w:rPr>
        <w:t>万元，减少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31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ascii="微软雅黑" w:hAnsi="微软雅黑" w:eastAsia="微软雅黑" w:cs="微软雅黑"/>
          <w:sz w:val="32"/>
        </w:rPr>
        <w:t>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人员调动及退休所致。</w:t>
      </w:r>
    </w:p>
    <w:p w14:paraId="2E3574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5A062A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139.73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64.43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0万元，占0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0万元，占0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0万元，占0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49.71</w:t>
      </w:r>
      <w:r>
        <w:rPr>
          <w:rFonts w:ascii="微软雅黑" w:hAnsi="微软雅黑" w:eastAsia="微软雅黑" w:cs="微软雅黑"/>
          <w:sz w:val="32"/>
        </w:rPr>
        <w:t>万元，占35.57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41B031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32E0D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年度支出合计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132.08</w:t>
      </w:r>
      <w:r>
        <w:rPr>
          <w:rFonts w:ascii="微软雅黑" w:hAnsi="微软雅黑" w:eastAsia="微软雅黑" w:cs="微软雅黑"/>
          <w:sz w:val="32"/>
        </w:rPr>
        <w:t>万元，其中：基本支出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103.07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78</w:t>
      </w:r>
      <w:r>
        <w:rPr>
          <w:rFonts w:ascii="微软雅黑" w:hAnsi="微软雅黑" w:eastAsia="微软雅黑" w:cs="微软雅黑"/>
          <w:sz w:val="32"/>
        </w:rPr>
        <w:t>.0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ascii="微软雅黑" w:hAnsi="微软雅黑" w:eastAsia="微软雅黑" w:cs="微软雅黑"/>
          <w:sz w:val="32"/>
        </w:rPr>
        <w:t>%；项目支出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29.01</w:t>
      </w:r>
      <w:r>
        <w:rPr>
          <w:rFonts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21.96</w:t>
      </w:r>
      <w:r>
        <w:rPr>
          <w:rFonts w:ascii="微软雅黑" w:hAnsi="微软雅黑" w:eastAsia="微软雅黑" w:cs="微软雅黑"/>
          <w:sz w:val="32"/>
        </w:rPr>
        <w:t>%；上缴上级支出0万元，占0%；经营支出0万元，占0%；对附属单位补助支出0万元，占0%。</w:t>
      </w:r>
    </w:p>
    <w:p w14:paraId="440FCE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07470B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年度财政拨款收、支总计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.02</w:t>
      </w:r>
      <w:r>
        <w:rPr>
          <w:rFonts w:ascii="微软雅黑" w:hAnsi="微软雅黑" w:eastAsia="微软雅黑" w:cs="微软雅黑"/>
          <w:sz w:val="32"/>
        </w:rPr>
        <w:t>万元，与上年相比，减少19.9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</w:t>
      </w:r>
      <w:r>
        <w:rPr>
          <w:rFonts w:ascii="微软雅黑" w:hAnsi="微软雅黑" w:eastAsia="微软雅黑" w:cs="微软雅黑"/>
          <w:sz w:val="32"/>
        </w:rPr>
        <w:t>万元,减少1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16</w:t>
      </w:r>
      <w:r>
        <w:rPr>
          <w:rFonts w:ascii="微软雅黑" w:hAnsi="微软雅黑" w:eastAsia="微软雅黑" w:cs="微软雅黑"/>
          <w:sz w:val="32"/>
        </w:rPr>
        <w:t>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人员调动及退休所致。</w:t>
      </w:r>
    </w:p>
    <w:p w14:paraId="2DCAE4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202F9A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0AEDED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.02</w:t>
      </w:r>
      <w:r>
        <w:rPr>
          <w:rFonts w:ascii="微软雅黑" w:hAnsi="微软雅黑" w:eastAsia="微软雅黑" w:cs="微软雅黑"/>
          <w:sz w:val="32"/>
        </w:rPr>
        <w:t>万元，占本年支出合计的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68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</w:t>
      </w:r>
      <w:r>
        <w:rPr>
          <w:rFonts w:ascii="微软雅黑" w:hAnsi="微软雅黑" w:eastAsia="微软雅黑" w:cs="微软雅黑"/>
          <w:sz w:val="32"/>
        </w:rPr>
        <w:t>减少19.9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</w:t>
      </w:r>
      <w:r>
        <w:rPr>
          <w:rFonts w:ascii="微软雅黑" w:hAnsi="微软雅黑" w:eastAsia="微软雅黑" w:cs="微软雅黑"/>
          <w:sz w:val="32"/>
        </w:rPr>
        <w:t>万元,减少1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16</w:t>
      </w:r>
      <w:r>
        <w:rPr>
          <w:rFonts w:ascii="微软雅黑" w:hAnsi="微软雅黑" w:eastAsia="微软雅黑" w:cs="微软雅黑"/>
          <w:sz w:val="32"/>
        </w:rPr>
        <w:t>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人员调动及退休所致。</w:t>
      </w:r>
    </w:p>
    <w:p w14:paraId="64556F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6D760BD6">
      <w:pPr>
        <w:pStyle w:val="13"/>
        <w:ind w:firstLine="640" w:firstLineChars="200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.02</w:t>
      </w:r>
      <w:r>
        <w:rPr>
          <w:rFonts w:ascii="微软雅黑" w:hAnsi="微软雅黑" w:eastAsia="微软雅黑" w:cs="微软雅黑"/>
          <w:sz w:val="32"/>
        </w:rPr>
        <w:t>万元，主要用于以下方面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81.03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90.01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4.61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4.34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4.84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5.38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40FE35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6632AC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88</w:t>
      </w:r>
      <w:r>
        <w:rPr>
          <w:rFonts w:ascii="微软雅黑" w:hAnsi="微软雅黑" w:eastAsia="微软雅黑" w:cs="微软雅黑"/>
          <w:sz w:val="32"/>
        </w:rPr>
        <w:t>.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46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.02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101.76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2B5207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1、社会保障和就业支出（类）民政管理事务（款）其他民政管理事务支出（项）。</w:t>
      </w:r>
    </w:p>
    <w:p w14:paraId="4D2190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年初预算为6.70万元，支出决算为6.70万元，完成年初预算的100%，决算数与年初预算数持平。</w:t>
      </w:r>
    </w:p>
    <w:p w14:paraId="368517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2、社会保障和就业支出（类）行政事业单位养老支出（款） 机关事业单位基本养老保险缴费支出（项）。</w:t>
      </w:r>
    </w:p>
    <w:p w14:paraId="700CB5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年初预算为6.64万元，支出决算为6.64万元，完成年初预算的100%，决算数与年初预算数持平。</w:t>
      </w:r>
    </w:p>
    <w:p w14:paraId="787125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3、社会保障和就业支出（类）社会福利（款）行政运行（项）。</w:t>
      </w:r>
    </w:p>
    <w:p w14:paraId="4324F01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年初预算为65.92万元，支出决算为67.48万元，完成年初预算的102.37%，决算数大于年初预算数的原因是人员增资所致。</w:t>
      </w:r>
    </w:p>
    <w:p w14:paraId="5B2E80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4、社会保障和就业支出（类）其他社会保障和就业支出（款）其他社会保障和就业支出（项）。</w:t>
      </w:r>
    </w:p>
    <w:p w14:paraId="0A4165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年初预算为0.19万元，支出决算为0.19万元，完成年初预算的100%，决算数与年初预算数持平。</w:t>
      </w:r>
    </w:p>
    <w:p w14:paraId="6CA28A2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5、卫生健康支出（类）事业单位医疗（款）事业单位医疗（项）。</w:t>
      </w:r>
    </w:p>
    <w:p w14:paraId="08F0CE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年初预算为3.72万元，支出决算为3.72万元，完成年初预算的100%，决算数与年初预算数持平。</w:t>
      </w:r>
    </w:p>
    <w:p w14:paraId="0C40EC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6、卫生健康支出（类）事业单位医疗（款）公务员医疗补助（项）。</w:t>
      </w:r>
    </w:p>
    <w:p w14:paraId="170992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年初预算为0.44万元，支出决算为0.44万元，完成年初预算的100%，决算数与年初预算数持平。</w:t>
      </w:r>
    </w:p>
    <w:p w14:paraId="5C2D95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7、住房保障支出（类）住房改革支出（款）住房公积金（项）。</w:t>
      </w:r>
    </w:p>
    <w:p w14:paraId="1F7A15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年初预算为4.84万元，支出决算为4.84万元，完成年初预算的100%，决算数与年初预算数持平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5C5C91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5B379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ascii="微软雅黑" w:hAnsi="微软雅黑" w:eastAsia="微软雅黑" w:cs="微软雅黑"/>
          <w:sz w:val="32"/>
        </w:rPr>
        <w:t>年度财政拨款基本支出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83.32</w:t>
      </w:r>
      <w:r>
        <w:rPr>
          <w:rFonts w:ascii="微软雅黑" w:hAnsi="微软雅黑" w:eastAsia="微软雅黑" w:cs="微软雅黑"/>
          <w:sz w:val="32"/>
        </w:rPr>
        <w:t>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79.44</w:t>
      </w:r>
      <w:r>
        <w:rPr>
          <w:rFonts w:ascii="微软雅黑" w:hAnsi="微软雅黑" w:eastAsia="微软雅黑" w:cs="微软雅黑"/>
          <w:sz w:val="32"/>
        </w:rPr>
        <w:t>万元，占基本支出的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95.34</w:t>
      </w:r>
      <w:r>
        <w:rPr>
          <w:rFonts w:ascii="微软雅黑" w:hAnsi="微软雅黑" w:eastAsia="微软雅黑" w:cs="微软雅黑"/>
          <w:sz w:val="32"/>
        </w:rPr>
        <w:t>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2B8E5F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3.86</w:t>
      </w:r>
      <w:r>
        <w:rPr>
          <w:rFonts w:ascii="微软雅黑" w:hAnsi="微软雅黑" w:eastAsia="微软雅黑" w:cs="微软雅黑"/>
          <w:sz w:val="32"/>
        </w:rPr>
        <w:t>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4.66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186AF0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66931FE8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798CB9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140433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03EF82A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222AAB5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513765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1CFA01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0C4267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，与上年相比</w:t>
      </w:r>
      <w:r>
        <w:rPr>
          <w:rFonts w:ascii="微软雅黑" w:hAnsi="微软雅黑" w:eastAsia="微软雅黑" w:cs="微软雅黑"/>
          <w:sz w:val="32"/>
        </w:rPr>
        <w:t>减少0.14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减少100.00</w:t>
      </w:r>
      <w:r>
        <w:rPr>
          <w:rFonts w:hint="eastAsia" w:ascii="微软雅黑" w:hAnsi="微软雅黑" w:eastAsia="微软雅黑" w:cs="微软雅黑"/>
          <w:sz w:val="32"/>
          <w:szCs w:val="32"/>
        </w:rPr>
        <w:t>%,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</w:rPr>
        <w:t>的主要原因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是严控公务接待费用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0AA2663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40A616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7130F2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286EFD3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0308F9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人次。</w:t>
      </w:r>
    </w:p>
    <w:p w14:paraId="56D6A2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人次。</w:t>
      </w:r>
    </w:p>
    <w:p w14:paraId="28E32E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 w:val="0"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岳阳县社会福利院（单位本级或某二级机构）更新公务用车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1B4472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5718F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</w:t>
      </w:r>
      <w:r>
        <w:rPr>
          <w:rFonts w:ascii="微软雅黑" w:hAnsi="微软雅黑" w:eastAsia="微软雅黑" w:cs="微软雅黑"/>
          <w:sz w:val="32"/>
        </w:rPr>
        <w:t>。</w:t>
      </w:r>
    </w:p>
    <w:p w14:paraId="5835FD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5626DA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0.00万元；举办节庆、晚会、论坛、赛事活动，开支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万元。</w:t>
      </w:r>
    </w:p>
    <w:p w14:paraId="72C3B2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1.70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75.33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24.67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2E5EAD4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2191D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109794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95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164D92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14622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54CA2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D7EA9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4ADAA9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3B810295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D6C4062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401081C5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269CB1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2B10CA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7D5722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FA8EFEC">
      <w:pPr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sz w:val="72"/>
          <w:szCs w:val="72"/>
        </w:rPr>
        <w:br w:type="page"/>
      </w:r>
    </w:p>
    <w:p w14:paraId="4A429A3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4F01676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00B72341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457B14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7A04FEAB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589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2024年部门决算公开表格</w:t>
      </w:r>
    </w:p>
    <w:p w14:paraId="1DF5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750E8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21AA8"/>
    <w:rsid w:val="00F74360"/>
    <w:rsid w:val="00FB462F"/>
    <w:rsid w:val="00FE16FA"/>
    <w:rsid w:val="00FE328A"/>
    <w:rsid w:val="00FE6269"/>
    <w:rsid w:val="00FF5CD6"/>
    <w:rsid w:val="05482261"/>
    <w:rsid w:val="05DB6E4A"/>
    <w:rsid w:val="074309F6"/>
    <w:rsid w:val="07966D78"/>
    <w:rsid w:val="07E04F3D"/>
    <w:rsid w:val="096227F5"/>
    <w:rsid w:val="0AC57974"/>
    <w:rsid w:val="0E1A7745"/>
    <w:rsid w:val="0E835B7C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1F8C06D4"/>
    <w:rsid w:val="21680401"/>
    <w:rsid w:val="27B766F6"/>
    <w:rsid w:val="29701875"/>
    <w:rsid w:val="2AA70752"/>
    <w:rsid w:val="2F026361"/>
    <w:rsid w:val="2F5729E1"/>
    <w:rsid w:val="306F0E15"/>
    <w:rsid w:val="31535D17"/>
    <w:rsid w:val="31784761"/>
    <w:rsid w:val="31B77767"/>
    <w:rsid w:val="33E12879"/>
    <w:rsid w:val="34095384"/>
    <w:rsid w:val="34E24AFB"/>
    <w:rsid w:val="36E96615"/>
    <w:rsid w:val="3B0A4329"/>
    <w:rsid w:val="3BC62A80"/>
    <w:rsid w:val="3DB935DB"/>
    <w:rsid w:val="3FD348C7"/>
    <w:rsid w:val="40C80669"/>
    <w:rsid w:val="41940D6D"/>
    <w:rsid w:val="41DD249B"/>
    <w:rsid w:val="42415557"/>
    <w:rsid w:val="42FC322C"/>
    <w:rsid w:val="44AC435F"/>
    <w:rsid w:val="46306F97"/>
    <w:rsid w:val="487D493C"/>
    <w:rsid w:val="493A4AAE"/>
    <w:rsid w:val="4C76404F"/>
    <w:rsid w:val="4D542DAB"/>
    <w:rsid w:val="4EC70B92"/>
    <w:rsid w:val="512C2F2E"/>
    <w:rsid w:val="52E579D6"/>
    <w:rsid w:val="55393929"/>
    <w:rsid w:val="55C63EE6"/>
    <w:rsid w:val="570F5142"/>
    <w:rsid w:val="5777D4F5"/>
    <w:rsid w:val="57D94F90"/>
    <w:rsid w:val="59743537"/>
    <w:rsid w:val="5A8C4A10"/>
    <w:rsid w:val="5B4F3FC2"/>
    <w:rsid w:val="5D2E44D2"/>
    <w:rsid w:val="5DA84284"/>
    <w:rsid w:val="5DB1138B"/>
    <w:rsid w:val="5E026FEC"/>
    <w:rsid w:val="5FC6BB1E"/>
    <w:rsid w:val="5FF720F1"/>
    <w:rsid w:val="62865D5A"/>
    <w:rsid w:val="62B62727"/>
    <w:rsid w:val="63930AB7"/>
    <w:rsid w:val="643C1282"/>
    <w:rsid w:val="645753D4"/>
    <w:rsid w:val="65B05FE0"/>
    <w:rsid w:val="660109D5"/>
    <w:rsid w:val="6720463D"/>
    <w:rsid w:val="67B76127"/>
    <w:rsid w:val="6BD30F4C"/>
    <w:rsid w:val="6CF50B68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594007B"/>
    <w:rsid w:val="772C33D8"/>
    <w:rsid w:val="776B5ABC"/>
    <w:rsid w:val="776D2CE2"/>
    <w:rsid w:val="77C37683"/>
    <w:rsid w:val="79FF515B"/>
    <w:rsid w:val="7C4D3A17"/>
    <w:rsid w:val="7E195D3B"/>
    <w:rsid w:val="7E9F11B4"/>
    <w:rsid w:val="7F2B3DEF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5043</Words>
  <Characters>5516</Characters>
  <Lines>63</Lines>
  <Paragraphs>18</Paragraphs>
  <TotalTime>1</TotalTime>
  <ScaleCrop>false</ScaleCrop>
  <LinksUpToDate>false</LinksUpToDate>
  <CharactersWithSpaces>5563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黄成刚</cp:lastModifiedBy>
  <cp:lastPrinted>2023-08-15T09:28:00Z</cp:lastPrinted>
  <dcterms:modified xsi:type="dcterms:W3CDTF">2025-09-11T08:40:05Z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661ABA64067A42B98A18CBAF8FC9F9FC_13</vt:lpwstr>
  </property>
</Properties>
</file>