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F030">
      <w:pPr>
        <w:ind w:firstLine="720"/>
        <w:jc w:val="center"/>
        <w:rPr>
          <w:rFonts w:hint="eastAsia" w:ascii="标准粗黑" w:hAnsi="标准粗黑" w:eastAsia="标准粗黑" w:cs="标准粗黑"/>
          <w:sz w:val="44"/>
          <w:szCs w:val="44"/>
        </w:rPr>
      </w:pPr>
    </w:p>
    <w:p w14:paraId="17E0542D">
      <w:pPr>
        <w:ind w:firstLine="720"/>
        <w:jc w:val="center"/>
        <w:rPr>
          <w:rFonts w:hint="eastAsia" w:ascii="标准粗黑" w:hAnsi="标准粗黑" w:eastAsia="标准粗黑" w:cs="标准粗黑"/>
          <w:sz w:val="44"/>
          <w:szCs w:val="44"/>
        </w:rPr>
      </w:pPr>
    </w:p>
    <w:p w14:paraId="6EB0023C">
      <w:pPr>
        <w:ind w:firstLine="720"/>
        <w:jc w:val="center"/>
        <w:rPr>
          <w:rFonts w:hint="eastAsia" w:ascii="标准粗黑" w:hAnsi="标准粗黑" w:eastAsia="标准粗黑" w:cs="标准粗黑"/>
          <w:sz w:val="44"/>
          <w:szCs w:val="44"/>
        </w:rPr>
      </w:pPr>
    </w:p>
    <w:p w14:paraId="1F1A121A">
      <w:pPr>
        <w:ind w:firstLine="720"/>
        <w:jc w:val="center"/>
        <w:rPr>
          <w:rFonts w:hint="eastAsia" w:ascii="标准粗黑" w:hAnsi="标准粗黑" w:eastAsia="标准粗黑" w:cs="标准粗黑"/>
          <w:sz w:val="44"/>
          <w:szCs w:val="44"/>
        </w:rPr>
      </w:pPr>
      <w:r>
        <w:rPr>
          <w:rFonts w:hint="eastAsia" w:ascii="标准粗黑" w:hAnsi="标准粗黑" w:eastAsia="标准粗黑" w:cs="标准粗黑"/>
          <w:sz w:val="44"/>
          <w:szCs w:val="44"/>
        </w:rPr>
        <w:t>202</w:t>
      </w:r>
      <w:r>
        <w:rPr>
          <w:rFonts w:hint="eastAsia" w:ascii="标准粗黑" w:hAnsi="标准粗黑" w:eastAsia="标准粗黑" w:cs="标准粗黑"/>
          <w:sz w:val="44"/>
          <w:szCs w:val="44"/>
          <w:lang w:val="en-US" w:eastAsia="zh-CN"/>
        </w:rPr>
        <w:t>4</w:t>
      </w:r>
      <w:r>
        <w:rPr>
          <w:rFonts w:hint="eastAsia" w:ascii="标准粗黑" w:hAnsi="标准粗黑" w:eastAsia="标准粗黑" w:cs="标准粗黑"/>
          <w:sz w:val="44"/>
          <w:szCs w:val="44"/>
        </w:rPr>
        <w:t>年度</w:t>
      </w:r>
      <w:r>
        <w:rPr>
          <w:rFonts w:hint="eastAsia" w:ascii="标准粗黑" w:hAnsi="标准粗黑" w:eastAsia="标准粗黑" w:cs="标准粗黑"/>
          <w:sz w:val="44"/>
          <w:szCs w:val="44"/>
        </w:rPr>
        <w:t>岳阳县委政法委</w:t>
      </w:r>
      <w:r>
        <w:rPr>
          <w:rFonts w:hint="eastAsia" w:ascii="标准粗黑" w:hAnsi="标准粗黑" w:eastAsia="标准粗黑" w:cs="标准粗黑"/>
          <w:sz w:val="44"/>
          <w:szCs w:val="44"/>
        </w:rPr>
        <w:t>整体支出</w:t>
      </w:r>
    </w:p>
    <w:p w14:paraId="50C747E4">
      <w:pPr>
        <w:pStyle w:val="15"/>
        <w:ind w:firstLine="720"/>
        <w:jc w:val="center"/>
        <w:rPr>
          <w:rFonts w:hint="eastAsia" w:ascii="标准粗黑" w:hAnsi="标准粗黑" w:eastAsia="标准粗黑" w:cs="标准粗黑"/>
          <w:sz w:val="44"/>
          <w:szCs w:val="44"/>
        </w:rPr>
      </w:pPr>
    </w:p>
    <w:p w14:paraId="733B3FDF">
      <w:pPr>
        <w:ind w:firstLine="720"/>
        <w:jc w:val="center"/>
        <w:rPr>
          <w:rFonts w:hint="eastAsia" w:ascii="标准粗黑" w:hAnsi="标准粗黑" w:eastAsia="标准粗黑" w:cs="标准粗黑"/>
          <w:sz w:val="44"/>
          <w:szCs w:val="44"/>
        </w:rPr>
      </w:pPr>
      <w:r>
        <w:rPr>
          <w:rFonts w:hint="eastAsia" w:ascii="标准粗黑" w:hAnsi="标准粗黑" w:eastAsia="标准粗黑" w:cs="标准粗黑"/>
          <w:sz w:val="44"/>
          <w:szCs w:val="44"/>
        </w:rPr>
        <w:t>绩效自评报告</w:t>
      </w:r>
    </w:p>
    <w:p w14:paraId="19B923F4">
      <w:pPr>
        <w:pStyle w:val="3"/>
        <w:ind w:firstLine="720"/>
        <w:jc w:val="center"/>
        <w:rPr>
          <w:rFonts w:hint="eastAsia" w:ascii="标准粗黑" w:hAnsi="标准粗黑" w:eastAsia="标准粗黑" w:cs="标准粗黑"/>
          <w:sz w:val="44"/>
          <w:szCs w:val="44"/>
        </w:rPr>
      </w:pPr>
    </w:p>
    <w:p w14:paraId="35AC95D5">
      <w:pPr>
        <w:pStyle w:val="3"/>
        <w:ind w:firstLine="700"/>
        <w:jc w:val="center"/>
      </w:pPr>
    </w:p>
    <w:p w14:paraId="552C6802">
      <w:pPr>
        <w:pStyle w:val="3"/>
        <w:ind w:firstLine="700"/>
      </w:pPr>
    </w:p>
    <w:p w14:paraId="40E0B757">
      <w:pPr>
        <w:pStyle w:val="3"/>
        <w:ind w:left="0" w:leftChars="0" w:firstLine="0" w:firstLineChars="0"/>
      </w:pPr>
    </w:p>
    <w:p w14:paraId="6D3FFE08">
      <w:pPr>
        <w:pStyle w:val="3"/>
        <w:ind w:firstLine="700"/>
      </w:pPr>
    </w:p>
    <w:p w14:paraId="167E92A8">
      <w:pPr>
        <w:pStyle w:val="3"/>
        <w:ind w:firstLine="700"/>
      </w:pPr>
    </w:p>
    <w:p w14:paraId="1C75E36D">
      <w:pPr>
        <w:pStyle w:val="3"/>
        <w:ind w:firstLine="700"/>
      </w:pPr>
    </w:p>
    <w:p w14:paraId="1110854D">
      <w:pPr>
        <w:pStyle w:val="3"/>
        <w:ind w:firstLine="700"/>
        <w:jc w:val="right"/>
      </w:pPr>
      <w:r>
        <w:rPr>
          <w:rFonts w:hint="eastAsia"/>
        </w:rPr>
        <w:t>部门(单位)名称：</w:t>
      </w:r>
      <w:r>
        <w:rPr>
          <w:rFonts w:hint="eastAsia"/>
          <w:u w:val="single"/>
        </w:rPr>
        <w:t>(盖章)</w:t>
      </w:r>
    </w:p>
    <w:p w14:paraId="4F5F9380">
      <w:pPr>
        <w:pStyle w:val="15"/>
        <w:ind w:firstLine="60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b/>
        </w:rPr>
        <w:t>年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22</w:t>
      </w:r>
      <w:r>
        <w:rPr>
          <w:rFonts w:hint="eastAsia"/>
          <w:b/>
        </w:rPr>
        <w:t>日</w:t>
      </w:r>
    </w:p>
    <w:p w14:paraId="663FE85F">
      <w:pPr>
        <w:pStyle w:val="3"/>
        <w:ind w:firstLine="700"/>
        <w:jc w:val="right"/>
      </w:pPr>
      <w:r>
        <w:rPr>
          <w:rFonts w:hint="eastAsia"/>
        </w:rPr>
        <w:t>（</w:t>
      </w:r>
      <w:r>
        <w:t>此页为封面)</w:t>
      </w:r>
    </w:p>
    <w:p w14:paraId="2AEB4D32">
      <w:pPr>
        <w:pStyle w:val="3"/>
        <w:ind w:firstLine="700"/>
        <w:jc w:val="right"/>
      </w:pPr>
    </w:p>
    <w:p w14:paraId="1BAB5BC0">
      <w:pPr>
        <w:pStyle w:val="3"/>
        <w:ind w:firstLine="700"/>
        <w:jc w:val="right"/>
      </w:pPr>
    </w:p>
    <w:p w14:paraId="14B91BF2">
      <w:pPr>
        <w:pStyle w:val="3"/>
        <w:ind w:firstLine="700"/>
      </w:pPr>
    </w:p>
    <w:p w14:paraId="6EDEDB26">
      <w:pPr>
        <w:pStyle w:val="3"/>
        <w:ind w:left="0" w:leftChars="0" w:firstLine="0" w:firstLineChars="0"/>
        <w:rPr>
          <w:b/>
          <w:bCs w:val="0"/>
        </w:rPr>
      </w:pPr>
      <w:r>
        <w:rPr>
          <w:rFonts w:hint="eastAsia"/>
          <w:b/>
          <w:bCs w:val="0"/>
        </w:rPr>
        <w:t>一、部门</w:t>
      </w:r>
      <w:r>
        <w:rPr>
          <w:b/>
          <w:bCs w:val="0"/>
        </w:rPr>
        <w:t>(</w:t>
      </w:r>
      <w:r>
        <w:rPr>
          <w:rFonts w:hint="eastAsia"/>
          <w:b/>
          <w:bCs w:val="0"/>
        </w:rPr>
        <w:t>单位</w:t>
      </w:r>
      <w:r>
        <w:rPr>
          <w:b/>
          <w:bCs w:val="0"/>
        </w:rPr>
        <w:t>)</w:t>
      </w:r>
      <w:r>
        <w:rPr>
          <w:rFonts w:hint="eastAsia"/>
          <w:b/>
          <w:bCs w:val="0"/>
        </w:rPr>
        <w:t>基本情况</w:t>
      </w:r>
    </w:p>
    <w:p w14:paraId="1387C05D">
      <w:r>
        <w:rPr>
          <w:rFonts w:hint="eastAsia"/>
          <w:kern w:val="2"/>
        </w:rPr>
        <w:t>（一）基本情况</w:t>
      </w:r>
    </w:p>
    <w:p w14:paraId="3A3EB941">
      <w:pPr>
        <w:rPr>
          <w:rFonts w:cs="宋体"/>
        </w:rPr>
      </w:pPr>
      <w:r>
        <w:rPr>
          <w:rFonts w:hint="eastAsia"/>
        </w:rPr>
        <w:t>政法委的职责职能是深入贯彻习近平新时代中国特色社会主义思想，深入贯彻党的路线方针政策和决策部署，统一政法各部门思想和行动，坚持党对政法工作的绝对领导，坚决维护党中央权威和集中统一领导。深入贯彻党中央决定和省委、市委、县委决策，对全县政法工作研究提出全局性部署，推进平安岳阳县、法治岳阳县建设，加强过硬队伍建设，深化智能化建设，坚决维护国家政治安全、确保社会大局稳定、促进社会公平正义、保障人民安居乐业。</w:t>
      </w:r>
      <w:r>
        <w:rPr>
          <w:rFonts w:hint="eastAsia" w:cs="宋体"/>
        </w:rPr>
        <w:t>了解掌握和分析研判政法工作情况动态，分析社会稳定形势，创新完善多部门参与的综治维稳工作机制，协调推动预防、化解影响稳定的社会矛盾和风险，协调应对和处置重大突发事件。加强对政法工作的督查，统筹协调社会治安综合治理、维护社会稳定、反邪教有关法律法规政策的实施工作。组织开展政法领域的调查研究，研究拟订政法工作的重要措施，及时向县委提出建议。掌握分析政法舆情动态，指导协调政法部门媒体网络宣传工作，指导政法部门做好涉及政法工作的重大宣传工作。监督和支持政法各部门依法行使职权，指导和协调政法各部门密切配合，研究和协调重大、疑难案件，推进严格执法、公正司法。组织研究政法改革中带有方向性、倾向性和普遍性的重大问题，深化政法改革。指导推动政法系统党的建设和政法队伍建设。完成县委交办的其他任务。</w:t>
      </w:r>
    </w:p>
    <w:p w14:paraId="32EFC6C5">
      <w:pPr>
        <w:pStyle w:val="7"/>
        <w:shd w:val="clear" w:color="auto" w:fill="FFFFFF"/>
        <w:spacing w:before="0" w:beforeAutospacing="0" w:after="0" w:afterAutospacing="0"/>
        <w:ind w:firstLine="480"/>
        <w:jc w:val="both"/>
        <w:rPr>
          <w:rFonts w:ascii="仿宋" w:hAnsi="仿宋" w:eastAsia="仿宋" w:cs="仿宋_GB2312"/>
          <w:b/>
          <w:color w:val="555555"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555555"/>
          <w:sz w:val="36"/>
          <w:szCs w:val="36"/>
        </w:rPr>
        <w:t>（二）机构设置</w:t>
      </w:r>
    </w:p>
    <w:p w14:paraId="2D6FBB3B">
      <w:r>
        <w:rPr>
          <w:rFonts w:hint="eastAsia"/>
        </w:rPr>
        <w:t>内设办公室、政工室、维稳指导室、综治督导室、执法监督室。编制数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人，</w:t>
      </w:r>
      <w:r>
        <w:rPr>
          <w:rFonts w:hint="eastAsia"/>
          <w:kern w:val="2"/>
          <w:shd w:val="clear" w:color="auto" w:fill="FFFFFF"/>
        </w:rPr>
        <w:t>实有人员</w:t>
      </w:r>
      <w:r>
        <w:rPr>
          <w:rFonts w:hint="eastAsia"/>
          <w:shd w:val="clear" w:color="auto" w:fill="FFFFFF"/>
          <w:lang w:val="en-US" w:eastAsia="zh-CN"/>
        </w:rPr>
        <w:t>19</w:t>
      </w:r>
      <w:r>
        <w:rPr>
          <w:rFonts w:hint="eastAsia"/>
          <w:kern w:val="2"/>
          <w:shd w:val="clear" w:color="auto" w:fill="FFFFFF"/>
          <w:lang w:eastAsia="zh-CN"/>
        </w:rPr>
        <w:t>人</w:t>
      </w:r>
      <w:r>
        <w:rPr>
          <w:rFonts w:hint="eastAsia"/>
          <w:kern w:val="2"/>
          <w:shd w:val="clear" w:color="auto" w:fill="FFFFFF"/>
        </w:rPr>
        <w:t>。</w:t>
      </w:r>
    </w:p>
    <w:p w14:paraId="2BDAF08A">
      <w:pPr>
        <w:ind w:left="0" w:leftChars="0" w:firstLine="0" w:firstLineChars="0"/>
        <w:rPr>
          <w:b/>
          <w:bCs w:val="0"/>
        </w:rPr>
      </w:pPr>
      <w:r>
        <w:rPr>
          <w:rFonts w:hint="eastAsia"/>
          <w:b/>
          <w:bCs w:val="0"/>
        </w:rPr>
        <w:t>二、一般公共预算支出情况</w:t>
      </w:r>
    </w:p>
    <w:p w14:paraId="20C5EAD1">
      <w:pPr>
        <w:ind w:firstLine="602"/>
        <w:rPr>
          <w:kern w:val="2"/>
        </w:rPr>
      </w:pPr>
      <w:r>
        <w:rPr>
          <w:rFonts w:hint="eastAsia"/>
          <w:b/>
        </w:rPr>
        <w:t>（一）</w:t>
      </w:r>
      <w:r>
        <w:rPr>
          <w:rFonts w:hint="eastAsia"/>
        </w:rPr>
        <w:t>基本支出情况</w:t>
      </w:r>
    </w:p>
    <w:p w14:paraId="2D7A983A">
      <w:r>
        <w:rPr>
          <w:rFonts w:hint="eastAsia"/>
          <w:lang w:eastAsia="zh-CN"/>
        </w:rPr>
        <w:t>2024</w:t>
      </w:r>
      <w:r>
        <w:rPr>
          <w:rFonts w:hint="eastAsia"/>
        </w:rPr>
        <w:t>年政法委基本支出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283.63</w:t>
      </w:r>
      <w:r>
        <w:rPr>
          <w:rFonts w:hint="eastAsia"/>
        </w:rPr>
        <w:t>万元，主要用于人员经费支出和日常公用经费支出；</w:t>
      </w:r>
      <w:r>
        <w:t xml:space="preserve"> </w:t>
      </w:r>
      <w:r>
        <w:rPr>
          <w:rFonts w:hint="eastAsia"/>
        </w:rPr>
        <w:t>包括人员支出</w:t>
      </w:r>
      <w:r>
        <w:rPr>
          <w:rFonts w:hint="eastAsia"/>
          <w:lang w:val="en-US" w:eastAsia="zh-CN"/>
        </w:rPr>
        <w:t>260.68</w:t>
      </w:r>
      <w:r>
        <w:rPr>
          <w:rFonts w:hint="eastAsia"/>
        </w:rPr>
        <w:t>万元，公用支出</w:t>
      </w:r>
      <w:r>
        <w:rPr>
          <w:rFonts w:hint="eastAsia"/>
          <w:lang w:val="en-US" w:eastAsia="zh-CN"/>
        </w:rPr>
        <w:t>22.95</w:t>
      </w:r>
      <w:r>
        <w:rPr>
          <w:rFonts w:hint="eastAsia"/>
        </w:rPr>
        <w:t>万元。其中“三公”经费合计</w:t>
      </w:r>
      <w:r>
        <w:rPr>
          <w:rFonts w:hint="eastAsia"/>
          <w:lang w:val="en-US" w:eastAsia="zh-CN"/>
        </w:rPr>
        <w:t>2.77</w:t>
      </w:r>
      <w:r>
        <w:rPr>
          <w:rFonts w:hint="eastAsia"/>
        </w:rPr>
        <w:t>万元，包括公务接待费</w:t>
      </w:r>
      <w:r>
        <w:rPr>
          <w:rFonts w:hint="eastAsia"/>
          <w:lang w:val="en-US" w:eastAsia="zh-CN"/>
        </w:rPr>
        <w:t>2.77</w:t>
      </w:r>
      <w:r>
        <w:rPr>
          <w:rFonts w:hint="eastAsia"/>
        </w:rPr>
        <w:t>万元。</w:t>
      </w:r>
    </w:p>
    <w:p w14:paraId="2D3C8848">
      <w:pPr>
        <w:ind w:firstLine="602"/>
      </w:pPr>
      <w:r>
        <w:rPr>
          <w:rFonts w:hint="eastAsia"/>
          <w:b/>
        </w:rPr>
        <w:t>（二）</w:t>
      </w:r>
      <w:r>
        <w:rPr>
          <w:rFonts w:hint="eastAsia"/>
        </w:rPr>
        <w:t>项目支出情况</w:t>
      </w:r>
    </w:p>
    <w:p w14:paraId="34A616D4">
      <w:r>
        <w:rPr>
          <w:rFonts w:hint="eastAsia"/>
          <w:lang w:eastAsia="zh-CN"/>
        </w:rPr>
        <w:t>2024</w:t>
      </w:r>
      <w:r>
        <w:rPr>
          <w:rFonts w:hint="eastAsia"/>
        </w:rPr>
        <w:t>年项目支出保平安经费</w:t>
      </w:r>
      <w:r>
        <w:rPr>
          <w:rFonts w:hint="eastAsia"/>
          <w:lang w:val="en-US" w:eastAsia="zh-CN"/>
        </w:rPr>
        <w:t>896.94</w:t>
      </w:r>
      <w:r>
        <w:rPr>
          <w:rFonts w:hint="eastAsia"/>
        </w:rPr>
        <w:t>万元，主要用于平安建设、扫黑除恶、网格化建设、综治民调、肇事肇祸精神病患者管控、涉法涉诉信访积案化解、重症艾滋病收治等。</w:t>
      </w:r>
    </w:p>
    <w:p w14:paraId="4C9A3BB8">
      <w:pPr>
        <w:ind w:left="0" w:leftChars="0" w:firstLine="0" w:firstLineChars="0"/>
        <w:rPr>
          <w:b/>
        </w:rPr>
      </w:pPr>
      <w:r>
        <w:rPr>
          <w:rFonts w:hint="eastAsia"/>
        </w:rPr>
        <w:t>三、</w:t>
      </w:r>
      <w:r>
        <w:rPr>
          <w:rFonts w:hint="eastAsia"/>
          <w:b/>
        </w:rPr>
        <w:t>政府性基金预算支出情况</w:t>
      </w:r>
    </w:p>
    <w:p w14:paraId="5EF34988">
      <w:pPr>
        <w:ind w:firstLine="750" w:firstLineChars="250"/>
        <w:rPr>
          <w:b/>
        </w:rPr>
      </w:pPr>
      <w:r>
        <w:rPr>
          <w:rFonts w:hint="eastAsia"/>
          <w:lang w:eastAsia="zh-CN"/>
        </w:rPr>
        <w:t>2024</w:t>
      </w:r>
      <w:r>
        <w:rPr>
          <w:rFonts w:hint="eastAsia"/>
        </w:rPr>
        <w:t>年无政府性基金预算。</w:t>
      </w:r>
    </w:p>
    <w:p w14:paraId="52FB6432">
      <w:pPr>
        <w:ind w:left="0" w:leftChars="0" w:firstLine="0" w:firstLineChars="0"/>
        <w:rPr>
          <w:b/>
          <w:bCs w:val="0"/>
        </w:rPr>
      </w:pPr>
      <w:r>
        <w:rPr>
          <w:rFonts w:hint="eastAsia"/>
          <w:b/>
          <w:bCs w:val="0"/>
        </w:rPr>
        <w:t>四、国有资本经营预算支出情况</w:t>
      </w:r>
    </w:p>
    <w:p w14:paraId="20D37006">
      <w:pPr>
        <w:rPr>
          <w:b/>
        </w:rPr>
      </w:pPr>
      <w:r>
        <w:rPr>
          <w:rFonts w:hint="eastAsia"/>
          <w:lang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eastAsia="zh-CN"/>
        </w:rPr>
        <w:t>无</w:t>
      </w:r>
      <w:r>
        <w:rPr>
          <w:rFonts w:hint="eastAsia"/>
        </w:rPr>
        <w:t>国有资本经营预算支出。</w:t>
      </w:r>
    </w:p>
    <w:p w14:paraId="1119155B">
      <w:pPr>
        <w:ind w:left="0" w:leftChars="0" w:firstLine="0" w:firstLineChars="0"/>
        <w:rPr>
          <w:b/>
          <w:bCs w:val="0"/>
        </w:rPr>
      </w:pPr>
      <w:r>
        <w:rPr>
          <w:rFonts w:hint="eastAsia"/>
          <w:b/>
          <w:bCs w:val="0"/>
        </w:rPr>
        <w:t>五、社会保险基金预算支出情况</w:t>
      </w:r>
    </w:p>
    <w:p w14:paraId="09853D10">
      <w:pPr>
        <w:pStyle w:val="2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2024</w:t>
      </w:r>
      <w:r>
        <w:rPr>
          <w:rFonts w:hint="eastAsia" w:ascii="仿宋" w:hAnsi="仿宋" w:eastAsia="仿宋"/>
          <w:b w:val="0"/>
          <w:sz w:val="30"/>
          <w:szCs w:val="30"/>
        </w:rPr>
        <w:t>年无社会保险基金预算。</w:t>
      </w:r>
    </w:p>
    <w:p w14:paraId="317EBAE8">
      <w:pPr>
        <w:ind w:left="0" w:leftChars="0" w:firstLine="0" w:firstLineChars="0"/>
        <w:rPr>
          <w:b/>
          <w:bCs w:val="0"/>
        </w:rPr>
      </w:pPr>
      <w:r>
        <w:rPr>
          <w:rFonts w:hint="eastAsia"/>
          <w:b/>
          <w:bCs w:val="0"/>
        </w:rPr>
        <w:t>六、部门整体支出绩效情况</w:t>
      </w:r>
    </w:p>
    <w:p w14:paraId="3BB3847B">
      <w:pPr>
        <w:spacing w:line="580" w:lineRule="exact"/>
        <w:rPr>
          <w:rFonts w:hint="eastAsia"/>
          <w:bCs w:val="0"/>
        </w:rPr>
      </w:pPr>
      <w:r>
        <w:rPr>
          <w:rFonts w:hint="eastAsia"/>
          <w:bCs w:val="0"/>
        </w:rPr>
        <w:t>我委严格按照有关财政资金管理要求，严格执行会计制度和财务制度，依法依规管理财政资金，结合我委的工作实际，对项目开支进行规范化、工作制度化，对经费使用范围的各类支出，按照经费使用审批的程序办理，财务人员做到依法理财，保障账目真实、完整、规范，项目总体执行情况较好，预期的绩效目标基本实现。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年，</w:t>
      </w:r>
      <w:r>
        <w:rPr>
          <w:rFonts w:hint="eastAsia"/>
          <w:lang w:eastAsia="zh-CN"/>
        </w:rPr>
        <w:t>我县</w:t>
      </w:r>
      <w:r>
        <w:rPr>
          <w:rFonts w:hint="eastAsia"/>
          <w:bCs w:val="0"/>
        </w:rPr>
        <w:t>获</w:t>
      </w:r>
      <w:r>
        <w:rPr>
          <w:rFonts w:hint="eastAsia"/>
          <w:bCs w:val="0"/>
          <w:lang w:eastAsia="zh-CN"/>
        </w:rPr>
        <w:t>得</w:t>
      </w:r>
      <w:r>
        <w:rPr>
          <w:rFonts w:hint="eastAsia"/>
          <w:bCs w:val="0"/>
        </w:rPr>
        <w:t>全省平安建设先进县</w:t>
      </w:r>
      <w:r>
        <w:rPr>
          <w:rFonts w:hint="eastAsia"/>
          <w:bCs w:val="0"/>
          <w:lang w:eastAsia="zh-CN"/>
        </w:rPr>
        <w:t>，</w:t>
      </w:r>
      <w:r>
        <w:rPr>
          <w:rFonts w:hint="eastAsia"/>
        </w:rPr>
        <w:t>政法机关认真履行四大职责任务，切实维护社会安全稳定，纵深推进扫黑除恶斗争，着力提升基层社会治理水平，人民群众获得感、幸福感、安全感得到进一步提升。</w:t>
      </w:r>
    </w:p>
    <w:p w14:paraId="7FB2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pacing w:val="0"/>
          <w:kern w:val="2"/>
          <w:sz w:val="32"/>
          <w:szCs w:val="32"/>
          <w:lang w:val="en-US" w:eastAsia="zh-CN"/>
        </w:rPr>
        <w:t>1.坚持主动创稳，社会大局安全稳定。</w:t>
      </w:r>
      <w:r>
        <w:rPr>
          <w:rFonts w:hint="eastAsia" w:ascii="仿宋_GB2312" w:hAnsi="仿宋_GB2312" w:eastAsia="仿宋_GB2312" w:cs="仿宋_GB2312"/>
          <w:b/>
          <w:bCs w:val="0"/>
          <w:spacing w:val="0"/>
          <w:kern w:val="2"/>
          <w:sz w:val="32"/>
          <w:szCs w:val="32"/>
          <w:lang w:val="en-US" w:eastAsia="zh-CN"/>
        </w:rPr>
        <w:t>一是压实维稳责任链条。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《维护社会稳定责任制规定》，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积极发挥维稳工作专班统筹协调、督办落实机制作用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县委常委会议、县政府常务会议研究社会稳定工作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2次，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县委书记肖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湘晖带头公开接访“丹枫家园”业主代表，专题研究华冠农业信访事项，17名县级领导下沉接访134名信访群众，高位推动信访问题有序化解。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eastAsia="zh-CN"/>
        </w:rPr>
        <w:t>二是推进风险矛盾化解。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深入推进</w:t>
      </w:r>
      <w:bookmarkStart w:id="0" w:name="OLE_LINK1"/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“化解矛盾风险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 xml:space="preserve"> 维护社会稳定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”专项治理行动</w:t>
      </w:r>
      <w:bookmarkEnd w:id="0"/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，着力开展风险隐患大排查、矛盾纠纷大化解、重点人群大管控、社会治安大防控，确保了社会安定有序。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特别是高效解决“丹枫家园”非法集资事件难题，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追赃挽损超过2000万元，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资产成功竞拍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实现政治效果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法律效果、社会效果相统一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，得到省市领导高度认可。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10月15日，我县在全市公安工作暨平安建设工作会议上，就维护稳定工作作典型发言。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eastAsia="zh-CN"/>
        </w:rPr>
        <w:t>三是推进信访秩序好转。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积极推进信访工作法治化，积极引导群众依法合理解决诉求，对于以访谋利、闹访缠访、寻衅滋事等违法信访行为的，依法打击处理。今年来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，全县进京赴省到市信访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总量同比下降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全国“两会”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特护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</w:rPr>
        <w:t>期间“零进京”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。</w:t>
      </w:r>
    </w:p>
    <w:p w14:paraId="5902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pacing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 w:val="0"/>
          <w:spacing w:val="0"/>
          <w:kern w:val="2"/>
          <w:sz w:val="32"/>
          <w:szCs w:val="32"/>
          <w:lang w:eastAsia="zh-CN"/>
        </w:rPr>
        <w:t>坚持打防并举，治安防控成效明显。</w:t>
      </w:r>
      <w:r>
        <w:rPr>
          <w:rFonts w:hint="eastAsia" w:ascii="仿宋_GB2312" w:hAnsi="仿宋_GB2312" w:eastAsia="仿宋_GB2312" w:cs="仿宋_GB2312"/>
          <w:b/>
          <w:bCs w:val="0"/>
          <w:spacing w:val="0"/>
          <w:kern w:val="2"/>
          <w:sz w:val="32"/>
          <w:szCs w:val="32"/>
          <w:lang w:eastAsia="zh-CN"/>
        </w:rPr>
        <w:t>一是治安整治成果突出。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持续推进“夏季行动”“净风系列行动”，严厉打击各类违法犯罪活动，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eastAsia="zh-CN"/>
        </w:rPr>
        <w:t>受理行政案件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/>
        </w:rPr>
        <w:t>1189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eastAsia="zh-CN"/>
        </w:rPr>
        <w:t>起，刑事立案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/>
        </w:rPr>
        <w:t>764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eastAsia="zh-CN"/>
        </w:rPr>
        <w:t>起，行政处罚906人，刑事拘留526人。</w:t>
      </w:r>
      <w:r>
        <w:rPr>
          <w:rFonts w:hint="eastAsia" w:ascii="仿宋_GB2312" w:hAnsi="仿宋_GB2312" w:eastAsia="仿宋_GB2312" w:cs="仿宋_GB2312"/>
          <w:b/>
          <w:bCs w:val="0"/>
          <w:spacing w:val="0"/>
          <w:kern w:val="2"/>
          <w:sz w:val="32"/>
          <w:szCs w:val="32"/>
          <w:lang w:val="en-US" w:eastAsia="zh-CN"/>
        </w:rPr>
        <w:t>二是“利剑护蕾”推进有力。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今年来，发出“三书一函”27份，开展联合执法行动6次，制发《督促监护令》6份，督促相关责任单位全部整改到位。</w:t>
      </w:r>
      <w:r>
        <w:rPr>
          <w:rFonts w:hint="eastAsia" w:ascii="仿宋_GB2312" w:hAnsi="仿宋_GB2312" w:eastAsia="仿宋_GB2312" w:cs="仿宋_GB2312"/>
          <w:b/>
          <w:bCs w:val="0"/>
          <w:spacing w:val="0"/>
          <w:kern w:val="2"/>
          <w:sz w:val="32"/>
          <w:szCs w:val="32"/>
          <w:lang w:val="en-US" w:eastAsia="zh-CN"/>
        </w:rPr>
        <w:t>三是电诈打击效能提升。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持续整治电信诈骗，</w:t>
      </w:r>
      <w:r>
        <w:rPr>
          <w:rFonts w:hint="eastAsia" w:ascii="仿宋_GB2312" w:hAnsi="仿宋_GB2312" w:eastAsia="仿宋_GB2312" w:cs="仿宋_GB2312"/>
          <w:bCs w:val="0"/>
          <w:color w:val="000000"/>
          <w:spacing w:val="0"/>
          <w:kern w:val="2"/>
          <w:sz w:val="32"/>
          <w:szCs w:val="32"/>
          <w:lang w:val="en-US" w:eastAsia="zh-CN"/>
        </w:rPr>
        <w:t>对相关乡镇“一把手”约谈2次，对4个乡镇、5个派出所进行挂牌督办。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今年来，我县发案同比下降32.4%，被骗金额同比下降44.6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2"/>
          <w:sz w:val="32"/>
          <w:szCs w:val="32"/>
          <w:lang w:val="en-US" w:eastAsia="zh-CN"/>
        </w:rPr>
        <w:t>%，涉诈高危人员劝返率82.6%。</w:t>
      </w:r>
      <w:r>
        <w:rPr>
          <w:rFonts w:hint="eastAsia" w:ascii="仿宋_GB2312" w:hAnsi="仿宋_GB2312" w:eastAsia="仿宋_GB2312" w:cs="仿宋_GB2312"/>
          <w:b/>
          <w:bCs w:val="0"/>
          <w:spacing w:val="0"/>
          <w:kern w:val="2"/>
          <w:sz w:val="32"/>
          <w:szCs w:val="32"/>
          <w:lang w:val="en-US" w:eastAsia="zh-CN"/>
        </w:rPr>
        <w:t>四是扫黑除恶常态推进。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2"/>
          <w:sz w:val="32"/>
          <w:szCs w:val="32"/>
          <w:lang w:val="en-US" w:eastAsia="zh-CN"/>
        </w:rPr>
        <w:t>扫黑除恶斗争推进有力，办理的颜某某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2"/>
          <w:sz w:val="32"/>
          <w:szCs w:val="32"/>
          <w:lang w:eastAsia="zh-CN"/>
        </w:rPr>
        <w:t>案成为全市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2"/>
          <w:sz w:val="32"/>
          <w:szCs w:val="32"/>
          <w:lang w:val="en-US" w:eastAsia="zh-CN"/>
        </w:rPr>
        <w:t>3个之一、县市区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唯一的挖出“网”“伞”成果的涉黑涉恶案件，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eastAsia="zh-CN"/>
        </w:rPr>
        <w:t>顺利接受中央、</w:t>
      </w:r>
      <w:r>
        <w:rPr>
          <w:rFonts w:hint="eastAsia" w:ascii="仿宋_GB2312" w:hAnsi="仿宋_GB2312" w:eastAsia="仿宋_GB2312" w:cs="仿宋_GB2312"/>
          <w:bCs w:val="0"/>
          <w:spacing w:val="0"/>
          <w:kern w:val="2"/>
          <w:sz w:val="32"/>
          <w:szCs w:val="32"/>
          <w:lang w:val="en-US" w:eastAsia="zh-CN"/>
        </w:rPr>
        <w:t>省常态化扫黑除恶督导，并得到督导组充分肯定。</w:t>
      </w:r>
    </w:p>
    <w:p w14:paraId="05A4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bCs w:val="0"/>
        </w:rPr>
      </w:pPr>
      <w:r>
        <w:rPr>
          <w:rFonts w:hint="eastAsia" w:ascii="楷体_GB2312" w:hAnsi="楷体_GB2312" w:eastAsia="楷体_GB2312" w:cs="楷体_GB2312"/>
          <w:b/>
          <w:bCs w:val="0"/>
          <w:spacing w:val="0"/>
          <w:kern w:val="2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 w:val="0"/>
          <w:spacing w:val="0"/>
          <w:kern w:val="2"/>
          <w:sz w:val="32"/>
          <w:szCs w:val="32"/>
          <w:lang w:eastAsia="zh-CN"/>
        </w:rPr>
        <w:t>坚持公平正义，发展环境持续优化。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一是加强违法行为整治。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lang w:val="en-US" w:eastAsia="zh-CN"/>
        </w:rPr>
        <w:t>持续推进法治护航行动，重点打击“三堵三强”、非法经营、合同诈骗等违法犯罪行为，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查办“三堵三强”案件8起，行政处罚8人。以“昆仑2024”专项行动为契机，成功破获一起横跨21省的系列侵犯著作权案件，摧毁技术团队6个、运营团队20余个、结算团队5个，涉案金额1亿余元，共抓获犯罪嫌疑人74人，冻结、暂扣资金3500余万元，查获涉案电子产品千余台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二是提升执法司法质效。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lang w:val="en-US" w:eastAsia="zh-CN"/>
        </w:rPr>
        <w:t>联合岳阳楼区、云溪区开展案件交叉评查工作，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法院、检察、公安机关各抽选10件案件参与评查，推动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lang w:val="en-US" w:eastAsia="zh-CN"/>
        </w:rPr>
        <w:t>执法司法质效不断提升。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政法各单位对2023年以来的涉企案件进行评查，对评查发现的问题案件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列出问题清单，限期整改，取得一定成效。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三是优化园区政法服务。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开展“政企面对面”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“服务实体经济、律企携手同行”“万所联万会”等</w:t>
      </w:r>
      <w:r>
        <w:rPr>
          <w:rFonts w:hint="eastAsia" w:ascii="仿宋_GB2312" w:hAnsi="仿宋_GB2312" w:eastAsia="仿宋_GB2312" w:cs="仿宋_GB2312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活动，</w:t>
      </w:r>
      <w:r>
        <w:rPr>
          <w:rFonts w:hint="eastAsia" w:ascii="仿宋_GB2312" w:hAnsi="仿宋" w:eastAsia="仿宋_GB2312" w:cs="仿宋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加强与企业沟通联系，深入了解企业需求，着力为企业提供法律咨询和服务，帮助企业解决实际问题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。督促各相关执法单位建立完善不罚免罚轻罚事项清单体系，推动制定行业主管部门不予处罚、从轻或减轻处罚事项“三项清单”。</w:t>
      </w:r>
      <w:r>
        <w:rPr>
          <w:rFonts w:hint="eastAsia" w:ascii="仿宋_GB2312" w:hAnsi="仿宋" w:eastAsia="仿宋_GB2312" w:cs="仿宋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公安机关创新推出“园区义警”，实行“园区主导、派出所主责、保安及保卫专干主力”组织模式，“民辅警+保安+志愿者”结合“车巡+步巡+视频巡”的巡逻模式，打造“警旅融合”联动共管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。</w:t>
      </w:r>
    </w:p>
    <w:p w14:paraId="2F8C1D3B">
      <w:pPr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七、存在的问题及原因分析</w:t>
      </w:r>
    </w:p>
    <w:p w14:paraId="6C05BDC8">
      <w:r>
        <w:rPr>
          <w:rFonts w:hint="eastAsia"/>
          <w:lang w:eastAsia="zh-CN"/>
        </w:rPr>
        <w:t>2024</w:t>
      </w:r>
      <w:r>
        <w:rPr>
          <w:rFonts w:hint="eastAsia"/>
        </w:rPr>
        <w:t>年度本委整体支出绩效目标监控任务完成，不存在未完成原因分析。</w:t>
      </w:r>
    </w:p>
    <w:p w14:paraId="6B66BA67">
      <w:pPr>
        <w:ind w:left="0" w:leftChars="0" w:firstLine="0" w:firstLineChars="0"/>
        <w:rPr>
          <w:b/>
          <w:bCs w:val="0"/>
        </w:rPr>
      </w:pPr>
      <w:r>
        <w:rPr>
          <w:rFonts w:hint="eastAsia"/>
          <w:b/>
          <w:bCs w:val="0"/>
        </w:rPr>
        <w:t>八、下一步改进措施</w:t>
      </w:r>
    </w:p>
    <w:p w14:paraId="3C84D7E7">
      <w:pPr>
        <w:rPr>
          <w:b/>
        </w:rPr>
      </w:pPr>
      <w:r>
        <w:rPr>
          <w:rFonts w:hint="eastAsia"/>
        </w:rPr>
        <w:t>1、建立健全财政绩效评价指标体系，加</w:t>
      </w:r>
      <w:bookmarkStart w:id="1" w:name="_GoBack"/>
      <w:bookmarkEnd w:id="1"/>
      <w:r>
        <w:rPr>
          <w:rFonts w:hint="eastAsia"/>
        </w:rPr>
        <w:t>强工作人员的业务培训和财政绩效管理信息化建设，加大绩效评价结果的运用。</w:t>
      </w:r>
    </w:p>
    <w:p w14:paraId="017A8111">
      <w:pPr>
        <w:ind w:firstLine="450" w:firstLineChars="150"/>
      </w:pPr>
      <w:r>
        <w:rPr>
          <w:rFonts w:hint="eastAsia"/>
        </w:rPr>
        <w:t>2、加强监管，做到监管机制环环相扣，不出现断层。</w:t>
      </w:r>
    </w:p>
    <w:p w14:paraId="702E74C1">
      <w:pPr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九、部门整体支出绩效自评结果拟应用和公开情况</w:t>
      </w:r>
    </w:p>
    <w:p w14:paraId="02A1A819">
      <w:pPr>
        <w:pStyle w:val="2"/>
        <w:ind w:firstLine="150" w:firstLineChars="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绩效自评结果已在各项工作中运用且在政府门户网站公示。</w:t>
      </w:r>
    </w:p>
    <w:p w14:paraId="5AFBDC71">
      <w:pPr>
        <w:ind w:left="0" w:leftChars="0" w:firstLine="0" w:firstLineChars="0"/>
        <w:rPr>
          <w:b/>
          <w:bCs w:val="0"/>
        </w:rPr>
      </w:pPr>
      <w:r>
        <w:rPr>
          <w:rFonts w:hint="eastAsia"/>
          <w:b/>
          <w:bCs w:val="0"/>
        </w:rPr>
        <w:t>十、其他需要说明的情况</w:t>
      </w:r>
    </w:p>
    <w:p w14:paraId="441F8118">
      <w:pPr>
        <w:ind w:firstLine="1050" w:firstLineChars="350"/>
      </w:pPr>
      <w:r>
        <w:rPr>
          <w:rFonts w:hint="eastAsia"/>
        </w:rPr>
        <w:t>无</w:t>
      </w:r>
    </w:p>
    <w:p w14:paraId="7C07461F">
      <w:pPr>
        <w:pStyle w:val="2"/>
      </w:pPr>
    </w:p>
    <w:p w14:paraId="6665CE3B"/>
    <w:p w14:paraId="6C8516EE"/>
    <w:p w14:paraId="48A7B8B3">
      <w:r>
        <w:br w:type="page"/>
      </w:r>
    </w:p>
    <w:p w14:paraId="24768033">
      <w:r>
        <w:rPr>
          <w:rFonts w:hint="eastAsia"/>
        </w:rPr>
        <w:t>附件5</w:t>
      </w:r>
    </w:p>
    <w:p w14:paraId="151DEEA2">
      <w:pPr>
        <w:ind w:firstLine="602"/>
        <w:jc w:val="center"/>
        <w:rPr>
          <w:b/>
        </w:rPr>
      </w:pPr>
      <w:r>
        <w:rPr>
          <w:b/>
        </w:rPr>
        <w:t>部门整体支出绩效自评工作考核评分表</w:t>
      </w:r>
    </w:p>
    <w:tbl>
      <w:tblPr>
        <w:tblStyle w:val="14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 w14:paraId="050B6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46" w:type="dxa"/>
            <w:vAlign w:val="center"/>
          </w:tcPr>
          <w:p w14:paraId="50E06411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</w:t>
            </w:r>
          </w:p>
          <w:p w14:paraId="3DC146E1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157" w:type="dxa"/>
            <w:vAlign w:val="center"/>
          </w:tcPr>
          <w:p w14:paraId="5DA95FD2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4957" w:type="dxa"/>
            <w:vAlign w:val="center"/>
          </w:tcPr>
          <w:p w14:paraId="27859299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评分标准</w:t>
            </w:r>
          </w:p>
        </w:tc>
        <w:tc>
          <w:tcPr>
            <w:tcW w:w="2982" w:type="dxa"/>
            <w:vAlign w:val="center"/>
          </w:tcPr>
          <w:p w14:paraId="67F7EED4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所需佐证材料</w:t>
            </w:r>
          </w:p>
        </w:tc>
      </w:tr>
      <w:tr w14:paraId="4071A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2C58BF73">
            <w:pPr>
              <w:ind w:firstLine="360"/>
              <w:rPr>
                <w:sz w:val="18"/>
                <w:szCs w:val="18"/>
              </w:rPr>
            </w:pPr>
          </w:p>
          <w:p w14:paraId="7DAA5B0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布置</w:t>
            </w:r>
          </w:p>
          <w:p w14:paraId="4B19DB8D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</w:p>
          <w:p w14:paraId="6144638A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 w:cs="宋体"/>
                <w:sz w:val="18"/>
                <w:szCs w:val="18"/>
              </w:rPr>
              <w:t>分</w:t>
            </w:r>
          </w:p>
        </w:tc>
        <w:tc>
          <w:tcPr>
            <w:tcW w:w="1157" w:type="dxa"/>
            <w:vAlign w:val="center"/>
          </w:tcPr>
          <w:p w14:paraId="314DA2BE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自评通知(8分)</w:t>
            </w:r>
          </w:p>
        </w:tc>
        <w:tc>
          <w:tcPr>
            <w:tcW w:w="4957" w:type="dxa"/>
            <w:vAlign w:val="center"/>
          </w:tcPr>
          <w:p w14:paraId="1E1B4808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1.印发绩效自评通知的得2分，否则不得分</w:t>
            </w:r>
          </w:p>
          <w:p w14:paraId="6DDCE52A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2982" w:type="dxa"/>
            <w:vAlign w:val="center"/>
          </w:tcPr>
          <w:p w14:paraId="4B6E0524">
            <w:pPr>
              <w:ind w:firstLine="360"/>
              <w:rPr>
                <w:sz w:val="18"/>
                <w:szCs w:val="18"/>
              </w:rPr>
            </w:pPr>
          </w:p>
          <w:p w14:paraId="41821E23">
            <w:pPr>
              <w:ind w:firstLine="360"/>
              <w:rPr>
                <w:sz w:val="18"/>
                <w:szCs w:val="18"/>
              </w:rPr>
            </w:pPr>
          </w:p>
          <w:p w14:paraId="31A8EC19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绩效自评通知盖章的电子版</w:t>
            </w:r>
          </w:p>
        </w:tc>
      </w:tr>
      <w:tr w14:paraId="60736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5F35F367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815C99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工作小组(2分)</w:t>
            </w:r>
          </w:p>
        </w:tc>
        <w:tc>
          <w:tcPr>
            <w:tcW w:w="4957" w:type="dxa"/>
            <w:vAlign w:val="center"/>
          </w:tcPr>
          <w:p w14:paraId="25E29C58">
            <w:pPr>
              <w:ind w:firstLine="360"/>
              <w:rPr>
                <w:sz w:val="18"/>
                <w:szCs w:val="18"/>
              </w:rPr>
            </w:pPr>
          </w:p>
          <w:p w14:paraId="74533A56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成立绩效自评工作小组的得2分，否则不得分</w:t>
            </w:r>
          </w:p>
        </w:tc>
        <w:tc>
          <w:tcPr>
            <w:tcW w:w="2982" w:type="dxa"/>
            <w:vAlign w:val="center"/>
          </w:tcPr>
          <w:p w14:paraId="436951A5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本部门、本单位预算绩效管理领导小组/绩效评价工作小组有关文件盖章的电子版</w:t>
            </w:r>
          </w:p>
        </w:tc>
      </w:tr>
      <w:tr w14:paraId="3D1B0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3EEAB890">
            <w:pPr>
              <w:ind w:firstLine="360"/>
              <w:rPr>
                <w:sz w:val="18"/>
                <w:szCs w:val="18"/>
              </w:rPr>
            </w:pPr>
          </w:p>
          <w:p w14:paraId="45D4BB9E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</w:t>
            </w:r>
          </w:p>
          <w:p w14:paraId="64185CF3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评价</w:t>
            </w:r>
          </w:p>
          <w:p w14:paraId="626432EC">
            <w:pPr>
              <w:ind w:firstLine="360"/>
              <w:rPr>
                <w:sz w:val="18"/>
                <w:szCs w:val="18"/>
              </w:rPr>
            </w:pPr>
          </w:p>
          <w:p w14:paraId="440EA342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分</w:t>
            </w:r>
          </w:p>
        </w:tc>
        <w:tc>
          <w:tcPr>
            <w:tcW w:w="1157" w:type="dxa"/>
            <w:vAlign w:val="center"/>
          </w:tcPr>
          <w:p w14:paraId="45F2148C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单位自查</w:t>
            </w:r>
          </w:p>
          <w:p w14:paraId="258B143F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</w:t>
            </w:r>
            <w:r>
              <w:rPr>
                <w:rFonts w:hint="eastAsia" w:cs="宋体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957" w:type="dxa"/>
            <w:vAlign w:val="center"/>
          </w:tcPr>
          <w:p w14:paraId="1D5737A8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县级预算部门本级和所属单位都要开展绩效自查，转移支付项目单位都要开展绩效自查，各乡镇及办事处都要汇总本区域转移支付情况；以上各项每发现一个单位没有做相应工作的，扣1分，最多扣10分。</w:t>
            </w:r>
          </w:p>
        </w:tc>
        <w:tc>
          <w:tcPr>
            <w:tcW w:w="2982" w:type="dxa"/>
            <w:vAlign w:val="center"/>
          </w:tcPr>
          <w:p w14:paraId="3DB4C492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1、转移支付项目单位名称和资金情况清单</w:t>
            </w:r>
          </w:p>
          <w:p w14:paraId="7C3F3A4D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2、有转移支付资金的部门汇总情况的盖章PDF版</w:t>
            </w:r>
          </w:p>
        </w:tc>
      </w:tr>
      <w:tr w14:paraId="03338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1CE62F2E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2B84A746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提交报告</w:t>
            </w:r>
          </w:p>
          <w:p w14:paraId="372F2EA6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</w:t>
            </w:r>
            <w:r>
              <w:rPr>
                <w:rFonts w:hint="eastAsia" w:cs="宋体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102B1B95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按时向县财政局报送报告的得10分；每推迟一个工作日报送报告的扣1分，最多扣10分。</w:t>
            </w:r>
          </w:p>
        </w:tc>
      </w:tr>
      <w:tr w14:paraId="120D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22BC5B99">
            <w:pPr>
              <w:ind w:firstLine="360"/>
              <w:rPr>
                <w:sz w:val="18"/>
                <w:szCs w:val="18"/>
              </w:rPr>
            </w:pPr>
          </w:p>
          <w:p w14:paraId="6145937D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自评</w:t>
            </w:r>
          </w:p>
          <w:p w14:paraId="66AF198A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</w:t>
            </w:r>
          </w:p>
          <w:p w14:paraId="1251D988">
            <w:pPr>
              <w:ind w:firstLine="360"/>
              <w:rPr>
                <w:sz w:val="18"/>
                <w:szCs w:val="18"/>
              </w:rPr>
            </w:pPr>
          </w:p>
          <w:p w14:paraId="3C7CF024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rFonts w:hint="eastAsia" w:cs="宋体"/>
                <w:sz w:val="18"/>
                <w:szCs w:val="18"/>
              </w:rPr>
              <w:t>分</w:t>
            </w:r>
          </w:p>
        </w:tc>
        <w:tc>
          <w:tcPr>
            <w:tcW w:w="1157" w:type="dxa"/>
            <w:vAlign w:val="center"/>
          </w:tcPr>
          <w:p w14:paraId="1663B898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完整性</w:t>
            </w:r>
          </w:p>
          <w:p w14:paraId="3DB24369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(15</w:t>
            </w:r>
            <w:r>
              <w:rPr>
                <w:rFonts w:hint="eastAsia" w:cs="宋体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5EA96ABF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1.绩效自评报告正文部分内容齐全的，得8分；否则每少一个部分扣2分，最多扣8分 2.绩效自评报告附件部分内容齐全的，得7分；否则每少一个部分扣2分，最多扣7分</w:t>
            </w:r>
          </w:p>
        </w:tc>
      </w:tr>
      <w:tr w14:paraId="599B6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0EC13496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A0BCAD9">
            <w:pPr>
              <w:ind w:firstLine="360"/>
              <w:rPr>
                <w:sz w:val="18"/>
                <w:szCs w:val="18"/>
              </w:rPr>
            </w:pPr>
          </w:p>
          <w:p w14:paraId="6B1B02D1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绩效自评表(20分)</w:t>
            </w:r>
          </w:p>
        </w:tc>
        <w:tc>
          <w:tcPr>
            <w:tcW w:w="7939" w:type="dxa"/>
            <w:gridSpan w:val="2"/>
            <w:vAlign w:val="center"/>
          </w:tcPr>
          <w:p w14:paraId="39B89AB7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1、部门整体支出和项目支出绩效指标反映产出、效益、服务对象满意度方面的指标和预算执行率的权重符合《岳阳县县级预算部门绩效自评操作规程》要求的，得5分，否则按比例扣除相应的分数。</w:t>
            </w:r>
          </w:p>
          <w:p w14:paraId="61E6C7A6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2.部门整体支出和项目支出绩效指标全部细化到三级指标的，得5分；部分细化的，酌情扣分；没有细化的，不得分。</w:t>
            </w:r>
          </w:p>
          <w:p w14:paraId="1C452427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2398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50EF0A76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181B43E">
            <w:pPr>
              <w:ind w:firstLine="360"/>
              <w:rPr>
                <w:sz w:val="18"/>
                <w:szCs w:val="18"/>
              </w:rPr>
            </w:pPr>
          </w:p>
          <w:p w14:paraId="72D1CB5A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反映问题情况(20分)</w:t>
            </w:r>
          </w:p>
        </w:tc>
        <w:tc>
          <w:tcPr>
            <w:tcW w:w="7939" w:type="dxa"/>
            <w:gridSpan w:val="2"/>
            <w:vAlign w:val="center"/>
          </w:tcPr>
          <w:p w14:paraId="5C28607A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 分；反映问题、分析原因不全面的，得13—15分；问题未归纳且过于简单的，得10-12分；只提出资金不足问题的不得分；其他情况酌情扣分。</w:t>
            </w:r>
          </w:p>
        </w:tc>
      </w:tr>
      <w:tr w14:paraId="48725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65E206BF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6F1AB67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建议情况</w:t>
            </w:r>
          </w:p>
          <w:p w14:paraId="22009EB7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(15</w:t>
            </w:r>
            <w:r>
              <w:rPr>
                <w:rFonts w:hint="eastAsia" w:cs="宋体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23547E25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建议与问题对应且全面的得15分，建议比较全面的得12—14分，建议不全面的得9—11  分，建议过于简单的得6—8分，只提出加大资金投入建议的不得分；其他情况酌情扣分。</w:t>
            </w:r>
          </w:p>
        </w:tc>
      </w:tr>
      <w:tr w14:paraId="0D394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6" w:type="dxa"/>
            <w:vAlign w:val="center"/>
          </w:tcPr>
          <w:p w14:paraId="25411EA6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157" w:type="dxa"/>
            <w:vAlign w:val="center"/>
          </w:tcPr>
          <w:p w14:paraId="2ED5ADA4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 w:cs="宋体"/>
                <w:sz w:val="18"/>
                <w:szCs w:val="18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 w14:paraId="401A1B7D">
            <w:pPr>
              <w:ind w:firstLine="360"/>
              <w:rPr>
                <w:rFonts w:hint="default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</w:tr>
    </w:tbl>
    <w:p w14:paraId="3CFBA01F">
      <w:pPr>
        <w:ind w:firstLine="0" w:firstLineChars="0"/>
      </w:pPr>
    </w:p>
    <w:p w14:paraId="2E5033B7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E51A6E5E-172A-4EA9-8664-FB8A5EC39E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12EF7D-F8A1-4FAA-AB25-5D3A3D9312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A940A4-2C55-4B1C-8F33-0829EAF402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DFAA18-99F2-4FA6-8759-3C30315C85F5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5" w:fontKey="{EF25259D-57B0-404B-81BE-07F96254A4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85DE3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90E4C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A3BDC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266CD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C4DF6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CC874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jg3ZDFjOTE1OGNmNGQ5ZDk4YzFhMWFhOWQ3MTEifQ=="/>
  </w:docVars>
  <w:rsids>
    <w:rsidRoot w:val="00414758"/>
    <w:rsid w:val="0014418A"/>
    <w:rsid w:val="00160FF3"/>
    <w:rsid w:val="00351F62"/>
    <w:rsid w:val="003B3085"/>
    <w:rsid w:val="003E3A22"/>
    <w:rsid w:val="00414758"/>
    <w:rsid w:val="004B146B"/>
    <w:rsid w:val="00657C84"/>
    <w:rsid w:val="00697376"/>
    <w:rsid w:val="007869A8"/>
    <w:rsid w:val="007E48F3"/>
    <w:rsid w:val="00872BD5"/>
    <w:rsid w:val="008B061E"/>
    <w:rsid w:val="00924C54"/>
    <w:rsid w:val="00A85EA8"/>
    <w:rsid w:val="00B24903"/>
    <w:rsid w:val="00C100E2"/>
    <w:rsid w:val="00C1457E"/>
    <w:rsid w:val="00C4223B"/>
    <w:rsid w:val="00C42971"/>
    <w:rsid w:val="00CF2B50"/>
    <w:rsid w:val="00E12EC7"/>
    <w:rsid w:val="00E71124"/>
    <w:rsid w:val="00E74E94"/>
    <w:rsid w:val="00E97DAF"/>
    <w:rsid w:val="00F33D46"/>
    <w:rsid w:val="04455AD9"/>
    <w:rsid w:val="1C4E6B42"/>
    <w:rsid w:val="22974472"/>
    <w:rsid w:val="2B3776AD"/>
    <w:rsid w:val="4C92564D"/>
    <w:rsid w:val="6EFC18C0"/>
    <w:rsid w:val="7422337D"/>
    <w:rsid w:val="7DA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600" w:firstLineChars="200"/>
      <w:jc w:val="both"/>
    </w:pPr>
    <w:rPr>
      <w:rFonts w:ascii="仿宋" w:hAnsi="仿宋" w:eastAsia="仿宋" w:cs="仿宋_GB2312"/>
      <w:bCs/>
      <w:color w:val="000000"/>
      <w:kern w:val="0"/>
      <w:sz w:val="30"/>
      <w:szCs w:val="30"/>
      <w:lang w:val="en-US" w:eastAsia="zh-CN" w:bidi="ar-SA"/>
    </w:rPr>
  </w:style>
  <w:style w:type="paragraph" w:styleId="2">
    <w:name w:val="heading 3"/>
    <w:next w:val="1"/>
    <w:link w:val="12"/>
    <w:qFormat/>
    <w:uiPriority w:val="0"/>
    <w:pPr>
      <w:keepNext/>
      <w:keepLines/>
      <w:widowControl w:val="0"/>
      <w:spacing w:line="360" w:lineRule="auto"/>
      <w:jc w:val="both"/>
      <w:outlineLvl w:val="2"/>
    </w:pPr>
    <w:rPr>
      <w:rFonts w:ascii="Times New Roman" w:hAnsi="Times New Roman" w:eastAsia="楷体_GB2312" w:cs="Times New Roman"/>
      <w:b/>
      <w:kern w:val="0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autoRedefine/>
    <w:semiHidden/>
    <w:qFormat/>
    <w:uiPriority w:val="0"/>
    <w:pPr>
      <w:spacing w:before="20" w:line="222" w:lineRule="auto"/>
    </w:pPr>
    <w:rPr>
      <w:rFonts w:cs="仿宋"/>
      <w:sz w:val="35"/>
      <w:szCs w:val="35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qFormat/>
    <w:uiPriority w:val="0"/>
    <w:rPr>
      <w:rFonts w:ascii="Times New Roman" w:hAnsi="Times New Roman" w:eastAsia="楷体_GB2312" w:cs="Times New Roman"/>
      <w:b/>
      <w:kern w:val="0"/>
      <w:sz w:val="32"/>
      <w:szCs w:val="24"/>
    </w:rPr>
  </w:style>
  <w:style w:type="character" w:customStyle="1" w:styleId="13">
    <w:name w:val="正文文本 Char"/>
    <w:basedOn w:val="9"/>
    <w:link w:val="3"/>
    <w:semiHidden/>
    <w:qFormat/>
    <w:uiPriority w:val="0"/>
    <w:rPr>
      <w:rFonts w:ascii="仿宋" w:hAnsi="仿宋" w:eastAsia="仿宋" w:cs="仿宋"/>
      <w:snapToGrid w:val="0"/>
      <w:color w:val="000000"/>
      <w:kern w:val="0"/>
      <w:sz w:val="35"/>
      <w:szCs w:val="35"/>
      <w:lang w:eastAsia="en-US"/>
    </w:rPr>
  </w:style>
  <w:style w:type="table" w:customStyle="1" w:styleId="14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unhideWhenUsed/>
    <w:qFormat/>
    <w:uiPriority w:val="99"/>
    <w:pPr>
      <w:ind w:firstLine="42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7">
    <w:name w:val="NormalCharacter"/>
    <w:link w:val="18"/>
    <w:qFormat/>
    <w:locked/>
    <w:uiPriority w:val="0"/>
    <w:rPr>
      <w:rFonts w:ascii="宋体" w:hAnsi="宋体"/>
      <w:szCs w:val="20"/>
    </w:rPr>
  </w:style>
  <w:style w:type="paragraph" w:customStyle="1" w:styleId="18">
    <w:name w:val="UserStyle_2"/>
    <w:basedOn w:val="1"/>
    <w:link w:val="17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宋体" w:hAnsi="宋体" w:eastAsiaTheme="minorEastAsia" w:cstheme="minorBidi"/>
      <w:bCs w:val="0"/>
      <w:color w:val="auto"/>
      <w:kern w:val="2"/>
      <w:sz w:val="21"/>
      <w:szCs w:val="20"/>
    </w:rPr>
  </w:style>
  <w:style w:type="paragraph" w:customStyle="1" w:styleId="19">
    <w:name w:val="普通(网站)1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bCs w:val="0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3679</Words>
  <Characters>3828</Characters>
  <Lines>38</Lines>
  <Paragraphs>10</Paragraphs>
  <TotalTime>11</TotalTime>
  <ScaleCrop>false</ScaleCrop>
  <LinksUpToDate>false</LinksUpToDate>
  <CharactersWithSpaces>3840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2024-09-27T01:26:00Z</dcterms:created>
  <dc:creator>微软用户</dc:creator>
  <cp:lastModifiedBy>胡青</cp:lastModifiedBy>
  <dcterms:modified xsi:type="dcterms:W3CDTF">2025-10-20T06:02:31Z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05DC26261C464DB18FCBC88CA9BE7950_13</vt:lpwstr>
  </property>
</Properties>
</file>