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1"/>
        <w:keepNext w:val="0"/>
        <w:keepLines w:val="0"/>
        <w:pageBreakBefore w:val="0"/>
        <w:widowControl/>
        <w:kinsoku/>
        <w:wordWrap/>
        <w:overflowPunct/>
        <w:topLinePunct/>
        <w:autoSpaceDN/>
        <w:bidi w:val="0"/>
        <w:spacing w:after="0" w:line="579" w:lineRule="exact"/>
        <w:ind w:firstLine="0" w:firstLineChars="0"/>
        <w:jc w:val="both"/>
        <w:textAlignment w:val="auto"/>
        <w:rPr>
          <w:b/>
          <w:bCs/>
          <w:sz w:val="32"/>
          <w:szCs w:val="32"/>
        </w:rPr>
      </w:pPr>
    </w:p>
    <w:p w14:paraId="44EB5EED">
      <w:pPr>
        <w:pStyle w:val="31"/>
        <w:keepNext w:val="0"/>
        <w:keepLines w:val="0"/>
        <w:pageBreakBefore w:val="0"/>
        <w:widowControl/>
        <w:kinsoku/>
        <w:wordWrap/>
        <w:overflowPunct/>
        <w:topLinePunct/>
        <w:autoSpaceDN/>
        <w:bidi w:val="0"/>
        <w:spacing w:after="0" w:line="579" w:lineRule="exact"/>
        <w:ind w:firstLine="0" w:firstLineChars="0"/>
        <w:jc w:val="both"/>
        <w:textAlignment w:val="auto"/>
        <w:rPr>
          <w:b/>
          <w:bCs/>
          <w:sz w:val="32"/>
          <w:szCs w:val="32"/>
        </w:rPr>
      </w:pPr>
    </w:p>
    <w:p w14:paraId="459BC6A4">
      <w:pPr>
        <w:pStyle w:val="31"/>
        <w:keepNext w:val="0"/>
        <w:keepLines w:val="0"/>
        <w:pageBreakBefore w:val="0"/>
        <w:widowControl/>
        <w:kinsoku/>
        <w:wordWrap/>
        <w:overflowPunct/>
        <w:topLinePunct/>
        <w:autoSpaceDN/>
        <w:bidi w:val="0"/>
        <w:spacing w:after="0" w:line="579" w:lineRule="exact"/>
        <w:ind w:firstLine="0" w:firstLineChars="0"/>
        <w:textAlignment w:val="auto"/>
        <w:rPr>
          <w:b/>
          <w:bCs/>
          <w:sz w:val="32"/>
          <w:szCs w:val="32"/>
        </w:rPr>
      </w:pPr>
    </w:p>
    <w:p w14:paraId="2D9A268A">
      <w:pPr>
        <w:pStyle w:val="31"/>
        <w:keepNext w:val="0"/>
        <w:keepLines w:val="0"/>
        <w:pageBreakBefore w:val="0"/>
        <w:widowControl/>
        <w:kinsoku/>
        <w:wordWrap/>
        <w:overflowPunct/>
        <w:topLinePunct/>
        <w:autoSpaceDE/>
        <w:autoSpaceDN/>
        <w:bidi w:val="0"/>
        <w:adjustRightInd w:val="0"/>
        <w:snapToGrid w:val="0"/>
        <w:spacing w:after="0" w:line="579" w:lineRule="exact"/>
        <w:ind w:firstLine="0" w:firstLineChars="0"/>
        <w:jc w:val="righ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岳县环评﹝2025﹞20号</w:t>
      </w:r>
    </w:p>
    <w:p w14:paraId="4AE89997">
      <w:pPr>
        <w:keepNext w:val="0"/>
        <w:keepLines w:val="0"/>
        <w:pageBreakBefore w:val="0"/>
        <w:widowControl w:val="0"/>
        <w:kinsoku/>
        <w:wordWrap/>
        <w:overflowPunct/>
        <w:topLinePunct/>
        <w:autoSpaceDE w:val="0"/>
        <w:autoSpaceDN/>
        <w:bidi w:val="0"/>
        <w:adjustRightInd/>
        <w:snapToGrid/>
        <w:spacing w:after="0" w:line="579" w:lineRule="exact"/>
        <w:ind w:firstLine="0" w:firstLineChars="0"/>
        <w:jc w:val="both"/>
        <w:textAlignment w:val="auto"/>
        <w:outlineLvl w:val="9"/>
        <w:rPr>
          <w:rFonts w:hint="eastAsia" w:ascii="方正小标宋简体" w:hAnsi="方正小标宋简体" w:eastAsia="方正小标宋简体" w:cs="方正小标宋简体"/>
          <w:b w:val="0"/>
          <w:bCs w:val="0"/>
          <w:spacing w:val="0"/>
          <w:kern w:val="2"/>
          <w:sz w:val="44"/>
          <w:szCs w:val="44"/>
          <w:lang w:val="en-US" w:eastAsia="zh-CN"/>
        </w:rPr>
      </w:pPr>
    </w:p>
    <w:p w14:paraId="6CC7665B">
      <w:pPr>
        <w:keepNext w:val="0"/>
        <w:keepLines w:val="0"/>
        <w:pageBreakBefore w:val="0"/>
        <w:widowControl w:val="0"/>
        <w:kinsoku/>
        <w:wordWrap/>
        <w:overflowPunct/>
        <w:topLinePunct/>
        <w:autoSpaceDE w:val="0"/>
        <w:autoSpaceDN/>
        <w:bidi w:val="0"/>
        <w:adjustRightInd/>
        <w:snapToGrid/>
        <w:spacing w:after="0" w:line="579" w:lineRule="exact"/>
        <w:ind w:firstLine="0" w:firstLineChars="0"/>
        <w:jc w:val="center"/>
        <w:textAlignment w:val="auto"/>
        <w:outlineLvl w:val="9"/>
        <w:rPr>
          <w:rFonts w:hint="default" w:ascii="方正小标宋简体" w:hAnsi="方正小标宋简体" w:eastAsia="方正小标宋简体" w:cs="方正小标宋简体"/>
          <w:b w:val="0"/>
          <w:bCs w:val="0"/>
          <w:spacing w:val="0"/>
          <w:kern w:val="2"/>
          <w:sz w:val="44"/>
          <w:szCs w:val="44"/>
          <w:lang w:val="en-US" w:eastAsia="zh-CN"/>
        </w:rPr>
      </w:pPr>
      <w:r>
        <w:rPr>
          <w:rFonts w:hint="eastAsia" w:ascii="方正小标宋简体" w:hAnsi="方正小标宋简体" w:eastAsia="方正小标宋简体" w:cs="方正小标宋简体"/>
          <w:b w:val="0"/>
          <w:bCs w:val="0"/>
          <w:spacing w:val="0"/>
          <w:kern w:val="2"/>
          <w:sz w:val="44"/>
          <w:szCs w:val="44"/>
          <w:lang w:val="en-US" w:eastAsia="zh-CN"/>
        </w:rPr>
        <w:t>岳阳市生态环境局</w:t>
      </w:r>
    </w:p>
    <w:p w14:paraId="4FEF6043">
      <w:pPr>
        <w:keepNext w:val="0"/>
        <w:keepLines w:val="0"/>
        <w:pageBreakBefore w:val="0"/>
        <w:widowControl w:val="0"/>
        <w:kinsoku/>
        <w:wordWrap/>
        <w:overflowPunct/>
        <w:topLinePunct/>
        <w:autoSpaceDE w:val="0"/>
        <w:autoSpaceDN/>
        <w:bidi w:val="0"/>
        <w:adjustRightInd/>
        <w:snapToGrid/>
        <w:spacing w:after="0" w:line="579" w:lineRule="exact"/>
        <w:ind w:firstLine="0" w:firstLineChars="0"/>
        <w:jc w:val="center"/>
        <w:textAlignment w:val="auto"/>
        <w:outlineLvl w:val="9"/>
        <w:rPr>
          <w:rFonts w:hint="eastAsia" w:ascii="方正小标宋简体" w:hAnsi="方正小标宋简体" w:eastAsia="方正小标宋简体" w:cs="方正小标宋简体"/>
          <w:b w:val="0"/>
          <w:bCs w:val="0"/>
          <w:spacing w:val="0"/>
          <w:kern w:val="2"/>
          <w:sz w:val="44"/>
          <w:szCs w:val="44"/>
          <w:lang w:eastAsia="zh-CN"/>
        </w:rPr>
      </w:pPr>
      <w:r>
        <w:rPr>
          <w:rFonts w:hint="eastAsia" w:ascii="方正小标宋简体" w:hAnsi="方正小标宋简体" w:eastAsia="方正小标宋简体" w:cs="方正小标宋简体"/>
          <w:b w:val="0"/>
          <w:bCs w:val="0"/>
          <w:spacing w:val="0"/>
          <w:kern w:val="2"/>
          <w:sz w:val="44"/>
          <w:szCs w:val="44"/>
          <w:lang w:eastAsia="zh-CN"/>
        </w:rPr>
        <w:t>关于</w:t>
      </w:r>
      <w:r>
        <w:rPr>
          <w:rFonts w:hint="default" w:ascii="方正小标宋简体" w:hAnsi="方正小标宋简体" w:eastAsia="方正小标宋简体" w:cs="方正小标宋简体"/>
          <w:b w:val="0"/>
          <w:bCs w:val="0"/>
          <w:spacing w:val="0"/>
          <w:kern w:val="2"/>
          <w:sz w:val="44"/>
          <w:szCs w:val="44"/>
          <w:lang w:val="en-US" w:eastAsia="zh-CN"/>
        </w:rPr>
        <w:t>湖南岳阳硅基材料产业园项目(一期)</w:t>
      </w:r>
      <w:r>
        <w:rPr>
          <w:rFonts w:hint="eastAsia" w:ascii="方正小标宋简体" w:hAnsi="方正小标宋简体" w:eastAsia="方正小标宋简体" w:cs="方正小标宋简体"/>
          <w:b w:val="0"/>
          <w:bCs w:val="0"/>
          <w:spacing w:val="0"/>
          <w:kern w:val="2"/>
          <w:sz w:val="44"/>
          <w:szCs w:val="44"/>
          <w:lang w:val="en-US" w:eastAsia="zh-CN"/>
        </w:rPr>
        <w:t>环境影响报告表</w:t>
      </w:r>
      <w:r>
        <w:rPr>
          <w:rFonts w:hint="eastAsia" w:ascii="方正小标宋简体" w:hAnsi="方正小标宋简体" w:eastAsia="方正小标宋简体" w:cs="方正小标宋简体"/>
          <w:b w:val="0"/>
          <w:bCs w:val="0"/>
          <w:spacing w:val="0"/>
          <w:kern w:val="2"/>
          <w:sz w:val="44"/>
          <w:szCs w:val="44"/>
          <w:lang w:eastAsia="zh-CN"/>
        </w:rPr>
        <w:t>的批复</w:t>
      </w:r>
    </w:p>
    <w:p w14:paraId="577ADA7D">
      <w:pPr>
        <w:keepNext w:val="0"/>
        <w:keepLines w:val="0"/>
        <w:pageBreakBefore w:val="0"/>
        <w:widowControl w:val="0"/>
        <w:kinsoku/>
        <w:wordWrap/>
        <w:overflowPunct/>
        <w:topLinePunct/>
        <w:autoSpaceDE w:val="0"/>
        <w:autoSpaceDN/>
        <w:bidi w:val="0"/>
        <w:adjustRightInd/>
        <w:snapToGrid/>
        <w:spacing w:after="0" w:line="579"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p>
    <w:p w14:paraId="3CE5FBF4">
      <w:pPr>
        <w:keepNext w:val="0"/>
        <w:keepLines w:val="0"/>
        <w:pageBreakBefore w:val="0"/>
        <w:widowControl w:val="0"/>
        <w:kinsoku/>
        <w:wordWrap/>
        <w:overflowPunct/>
        <w:topLinePunct/>
        <w:autoSpaceDE w:val="0"/>
        <w:autoSpaceDN/>
        <w:bidi w:val="0"/>
        <w:adjustRightInd/>
        <w:snapToGrid/>
        <w:spacing w:after="0" w:line="579"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default" w:ascii="仿宋_GB2312" w:hAnsi="仿宋_GB2312" w:eastAsia="仿宋_GB2312" w:cs="仿宋_GB2312"/>
          <w:sz w:val="32"/>
          <w:szCs w:val="32"/>
          <w:lang w:val="en-US" w:eastAsia="zh-CN"/>
        </w:rPr>
        <w:t>湖南双阳硅业有限公司</w:t>
      </w:r>
      <w:r>
        <w:rPr>
          <w:rFonts w:hint="eastAsia" w:ascii="仿宋_GB2312" w:hAnsi="仿宋_GB2312" w:eastAsia="仿宋_GB2312" w:cs="仿宋_GB2312"/>
          <w:color w:val="auto"/>
          <w:kern w:val="2"/>
          <w:sz w:val="32"/>
          <w:szCs w:val="32"/>
          <w:u w:val="none" w:color="auto"/>
          <w:lang w:eastAsia="zh-CN"/>
        </w:rPr>
        <w:t>：</w:t>
      </w:r>
    </w:p>
    <w:p w14:paraId="77ADEC66">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你公司（</w:t>
      </w:r>
      <w:r>
        <w:rPr>
          <w:rFonts w:hint="eastAsia" w:ascii="仿宋_GB2312" w:hAnsi="仿宋_GB2312" w:eastAsia="仿宋_GB2312" w:cs="仿宋_GB2312"/>
          <w:color w:val="auto"/>
          <w:kern w:val="2"/>
          <w:sz w:val="32"/>
          <w:szCs w:val="32"/>
          <w:u w:val="none" w:color="auto"/>
          <w:lang w:val="en-US" w:eastAsia="zh-CN"/>
        </w:rPr>
        <w:t>地址：</w:t>
      </w:r>
      <w:r>
        <w:rPr>
          <w:rFonts w:hint="eastAsia" w:ascii="仿宋_GB2312" w:hAnsi="仿宋_GB2312" w:eastAsia="仿宋_GB2312" w:cs="仿宋_GB2312"/>
          <w:bCs/>
          <w:kern w:val="2"/>
          <w:sz w:val="32"/>
          <w:szCs w:val="32"/>
          <w:lang w:val="en-US" w:eastAsia="zh-CN" w:bidi="ar-SA"/>
        </w:rPr>
        <w:t>岳阳县荣家湾街道鹿角村荣鹿公路南侧，</w:t>
      </w:r>
      <w:r>
        <w:rPr>
          <w:rFonts w:hint="eastAsia" w:ascii="仿宋_GB2312" w:hAnsi="仿宋_GB2312" w:eastAsia="仿宋_GB2312" w:cs="仿宋_GB2312"/>
          <w:color w:val="auto"/>
          <w:kern w:val="2"/>
          <w:sz w:val="32"/>
          <w:szCs w:val="32"/>
          <w:u w:val="none" w:color="auto"/>
          <w:lang w:eastAsia="zh-CN"/>
        </w:rPr>
        <w:t>法人代表：</w:t>
      </w:r>
      <w:r>
        <w:rPr>
          <w:rFonts w:hint="eastAsia" w:ascii="仿宋_GB2312" w:hAnsi="仿宋_GB2312" w:eastAsia="仿宋_GB2312" w:cs="仿宋_GB2312"/>
          <w:color w:val="auto"/>
          <w:kern w:val="2"/>
          <w:sz w:val="32"/>
          <w:szCs w:val="32"/>
          <w:u w:val="none" w:color="auto"/>
          <w:lang w:val="en-US" w:eastAsia="zh-CN"/>
        </w:rPr>
        <w:t>曹本佳</w:t>
      </w:r>
      <w:r>
        <w:rPr>
          <w:rFonts w:hint="eastAsia" w:ascii="仿宋_GB2312" w:hAnsi="仿宋_GB2312" w:eastAsia="仿宋_GB2312" w:cs="仿宋_GB2312"/>
          <w:color w:val="auto"/>
          <w:kern w:val="2"/>
          <w:sz w:val="32"/>
          <w:szCs w:val="32"/>
          <w:u w:val="none" w:color="auto"/>
          <w:lang w:eastAsia="zh-CN"/>
        </w:rPr>
        <w:t>，统一社会信用代码：91430621MAEHNFDU2F）</w:t>
      </w:r>
      <w:r>
        <w:rPr>
          <w:rFonts w:hint="eastAsia" w:ascii="仿宋_GB2312" w:hAnsi="仿宋_GB2312" w:eastAsia="仿宋_GB2312" w:cs="仿宋_GB2312"/>
          <w:color w:val="auto"/>
          <w:sz w:val="32"/>
          <w:szCs w:val="32"/>
          <w:u w:val="none" w:color="auto"/>
          <w:lang w:val="en-US" w:eastAsia="zh-CN"/>
        </w:rPr>
        <w:t>提交</w:t>
      </w:r>
      <w:r>
        <w:rPr>
          <w:rFonts w:hint="eastAsia" w:ascii="仿宋_GB2312" w:hAnsi="仿宋_GB2312" w:eastAsia="仿宋_GB2312" w:cs="仿宋_GB2312"/>
          <w:color w:val="auto"/>
          <w:kern w:val="2"/>
          <w:sz w:val="32"/>
          <w:szCs w:val="32"/>
          <w:u w:val="none" w:color="auto"/>
          <w:lang w:eastAsia="zh-CN"/>
        </w:rPr>
        <w:t>的《</w:t>
      </w:r>
      <w:r>
        <w:rPr>
          <w:rFonts w:hint="eastAsia" w:ascii="仿宋_GB2312" w:hAnsi="仿宋_GB2312" w:eastAsia="仿宋_GB2312" w:cs="仿宋_GB2312"/>
          <w:color w:val="auto"/>
          <w:kern w:val="2"/>
          <w:sz w:val="32"/>
          <w:szCs w:val="32"/>
          <w:u w:val="none" w:color="auto"/>
          <w:lang w:val="en-US" w:eastAsia="zh-CN"/>
        </w:rPr>
        <w:t>湖南岳阳硅基材料产业园项目(一期)环境影响报告表</w:t>
      </w:r>
      <w:r>
        <w:rPr>
          <w:rFonts w:hint="eastAsia" w:ascii="仿宋_GB2312" w:hAnsi="仿宋_GB2312" w:eastAsia="仿宋_GB2312" w:cs="仿宋_GB2312"/>
          <w:color w:val="auto"/>
          <w:kern w:val="2"/>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及有关附件收悉。</w:t>
      </w:r>
      <w:r>
        <w:rPr>
          <w:rFonts w:hint="eastAsia" w:ascii="仿宋_GB2312" w:hAnsi="仿宋_GB2312" w:eastAsia="仿宋_GB2312" w:cs="仿宋_GB2312"/>
          <w:color w:val="auto"/>
          <w:sz w:val="32"/>
          <w:szCs w:val="32"/>
          <w:u w:val="none" w:color="auto"/>
          <w:lang w:val="en-US" w:eastAsia="en-US"/>
        </w:rPr>
        <w:t>经审查，</w:t>
      </w:r>
      <w:r>
        <w:rPr>
          <w:rFonts w:hint="eastAsia" w:ascii="仿宋_GB2312" w:hAnsi="仿宋_GB2312" w:eastAsia="仿宋_GB2312" w:cs="仿宋_GB2312"/>
          <w:color w:val="auto"/>
          <w:sz w:val="32"/>
          <w:szCs w:val="32"/>
          <w:u w:val="none" w:color="auto"/>
          <w:lang w:val="en-US" w:eastAsia="zh-CN"/>
        </w:rPr>
        <w:t>你公司委托湖南朋乐达环保科技有限公司编制</w:t>
      </w:r>
      <w:r>
        <w:rPr>
          <w:rFonts w:hint="eastAsia" w:ascii="仿宋_GB2312" w:hAnsi="仿宋_GB2312" w:eastAsia="仿宋_GB2312" w:cs="仿宋_GB2312"/>
          <w:color w:val="auto"/>
          <w:sz w:val="32"/>
          <w:szCs w:val="32"/>
          <w:u w:val="none" w:color="auto"/>
          <w:lang w:val="en-US" w:eastAsia="en-US"/>
        </w:rPr>
        <w:t>并通过专家评审取得审查意见的</w:t>
      </w:r>
      <w:r>
        <w:rPr>
          <w:rFonts w:hint="eastAsia" w:ascii="仿宋_GB2312" w:hAnsi="仿宋_GB2312" w:eastAsia="仿宋_GB2312" w:cs="仿宋_GB2312"/>
          <w:color w:val="auto"/>
          <w:kern w:val="2"/>
          <w:sz w:val="32"/>
          <w:szCs w:val="32"/>
          <w:u w:val="none" w:color="auto"/>
          <w:lang w:eastAsia="zh-CN"/>
        </w:rPr>
        <w:t>《</w:t>
      </w:r>
      <w:r>
        <w:rPr>
          <w:rFonts w:hint="eastAsia" w:ascii="仿宋_GB2312" w:hAnsi="仿宋_GB2312" w:eastAsia="仿宋_GB2312" w:cs="仿宋_GB2312"/>
          <w:color w:val="auto"/>
          <w:kern w:val="2"/>
          <w:sz w:val="32"/>
          <w:szCs w:val="32"/>
          <w:u w:val="none" w:color="auto"/>
          <w:lang w:val="en-US" w:eastAsia="zh-CN"/>
        </w:rPr>
        <w:t>湖南岳阳硅基材料产业园项目(一期)环境影响</w:t>
      </w:r>
      <w:bookmarkStart w:id="0" w:name="_GoBack"/>
      <w:bookmarkEnd w:id="0"/>
      <w:r>
        <w:rPr>
          <w:rFonts w:hint="eastAsia" w:ascii="仿宋_GB2312" w:hAnsi="仿宋_GB2312" w:eastAsia="仿宋_GB2312" w:cs="仿宋_GB2312"/>
          <w:color w:val="auto"/>
          <w:kern w:val="2"/>
          <w:sz w:val="32"/>
          <w:szCs w:val="32"/>
          <w:u w:val="none" w:color="auto"/>
          <w:lang w:val="en-US" w:eastAsia="zh-CN"/>
        </w:rPr>
        <w:t>报告表</w:t>
      </w:r>
      <w:r>
        <w:rPr>
          <w:rFonts w:hint="eastAsia" w:ascii="仿宋_GB2312" w:hAnsi="仿宋_GB2312" w:eastAsia="仿宋_GB2312" w:cs="仿宋_GB2312"/>
          <w:color w:val="auto"/>
          <w:kern w:val="2"/>
          <w:sz w:val="32"/>
          <w:szCs w:val="32"/>
          <w:u w:val="none" w:color="auto"/>
          <w:lang w:eastAsia="zh-CN"/>
        </w:rPr>
        <w:t>》（以下简称：报告表）</w:t>
      </w:r>
      <w:r>
        <w:rPr>
          <w:rFonts w:hint="eastAsia" w:ascii="仿宋_GB2312" w:hAnsi="仿宋_GB2312" w:eastAsia="仿宋_GB2312" w:cs="仿宋_GB2312"/>
          <w:color w:val="auto"/>
          <w:sz w:val="32"/>
          <w:szCs w:val="32"/>
          <w:u w:val="none" w:color="auto"/>
          <w:lang w:val="en-US" w:eastAsia="zh-CN"/>
        </w:rPr>
        <w:t>符合国家关于建设项目环境影响评价文件审批的有关规定。根据报告表分析结论、专家评审意见、岳阳市岳阳县生态环境事务中心</w:t>
      </w:r>
      <w:r>
        <w:rPr>
          <w:rFonts w:hint="eastAsia" w:ascii="仿宋_GB2312" w:hAnsi="仿宋_GB2312" w:eastAsia="仿宋_GB2312" w:cs="仿宋_GB2312"/>
          <w:color w:val="auto"/>
          <w:kern w:val="2"/>
          <w:sz w:val="32"/>
          <w:szCs w:val="32"/>
          <w:u w:val="none" w:color="auto"/>
          <w:lang w:val="en-US" w:eastAsia="zh-CN"/>
        </w:rPr>
        <w:t>《</w:t>
      </w:r>
      <w:r>
        <w:rPr>
          <w:rFonts w:hint="default" w:ascii="仿宋_GB2312" w:hAnsi="仿宋_GB2312" w:eastAsia="仿宋_GB2312" w:cs="仿宋_GB2312"/>
          <w:sz w:val="32"/>
          <w:szCs w:val="32"/>
          <w:lang w:val="en-US" w:eastAsia="zh-CN"/>
        </w:rPr>
        <w:t>湖南双阳硅业有限公司</w:t>
      </w:r>
      <w:r>
        <w:rPr>
          <w:rFonts w:hint="eastAsia" w:ascii="仿宋_GB2312" w:hAnsi="仿宋_GB2312" w:eastAsia="仿宋_GB2312" w:cs="仿宋_GB2312"/>
          <w:color w:val="auto"/>
          <w:kern w:val="2"/>
          <w:sz w:val="32"/>
          <w:szCs w:val="32"/>
          <w:u w:val="none" w:color="auto"/>
          <w:lang w:val="en-US" w:eastAsia="zh-CN"/>
        </w:rPr>
        <w:t>湖南岳阳硅基材料产业园项目(一期)环境影响报告表技术评估报告》（岳县环事评估〔2025〕18号），</w:t>
      </w:r>
      <w:r>
        <w:rPr>
          <w:rFonts w:hint="eastAsia" w:ascii="仿宋_GB2312" w:hAnsi="仿宋_GB2312" w:eastAsia="仿宋_GB2312" w:cs="仿宋_GB2312"/>
          <w:color w:val="auto"/>
          <w:sz w:val="32"/>
          <w:szCs w:val="32"/>
          <w:u w:val="none" w:color="auto"/>
          <w:lang w:val="en-US" w:eastAsia="zh-CN"/>
        </w:rPr>
        <w:t>本项目符合国家产业政策和相关选址要求。经研究，我局原则同意你公司环境影响报告表中所列建设内容及其环境影响评价结论和环境保护对策措施。批复如下：</w:t>
      </w:r>
    </w:p>
    <w:p w14:paraId="78C63FA0">
      <w:pPr>
        <w:keepNext w:val="0"/>
        <w:keepLines w:val="0"/>
        <w:pageBreakBefore w:val="0"/>
        <w:widowControl w:val="0"/>
        <w:numPr>
          <w:ilvl w:val="0"/>
          <w:numId w:val="2"/>
        </w:numPr>
        <w:kinsoku/>
        <w:wordWrap/>
        <w:overflowPunct/>
        <w:topLinePunct/>
        <w:autoSpaceDE w:val="0"/>
        <w:autoSpaceDN/>
        <w:bidi w:val="0"/>
        <w:adjustRightInd/>
        <w:snapToGrid/>
        <w:spacing w:after="0" w:line="579"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你公司湖南岳阳硅基材料产业园项目(一期)项目位于</w:t>
      </w:r>
      <w:r>
        <w:rPr>
          <w:rFonts w:hint="eastAsia" w:ascii="仿宋_GB2312" w:hAnsi="仿宋_GB2312" w:eastAsia="仿宋_GB2312" w:cs="仿宋_GB2312"/>
          <w:bCs/>
          <w:kern w:val="2"/>
          <w:sz w:val="32"/>
          <w:szCs w:val="32"/>
          <w:lang w:val="en-US" w:eastAsia="zh-CN" w:bidi="ar-SA"/>
        </w:rPr>
        <w:t>岳阳县荣家湾街道鹿角村荣鹿公路南侧，拟投资6亿元（其中环保投资415.5万元），</w:t>
      </w:r>
      <w:r>
        <w:rPr>
          <w:rFonts w:hint="eastAsia" w:ascii="仿宋_GB2312" w:hAnsi="仿宋_GB2312" w:eastAsia="仿宋_GB2312" w:cs="仿宋_GB2312"/>
          <w:bCs/>
          <w:color w:val="auto"/>
          <w:kern w:val="2"/>
          <w:sz w:val="32"/>
          <w:szCs w:val="32"/>
          <w:lang w:val="en-US" w:eastAsia="zh-CN" w:bidi="ar-SA"/>
        </w:rPr>
        <w:t>总用地面积约57374.26平方米，主要建设厂房、综合楼、门卫室、配电间、循环水池等。</w:t>
      </w:r>
      <w:r>
        <w:rPr>
          <w:rFonts w:hint="eastAsia" w:ascii="仿宋_GB2312" w:hAnsi="仿宋_GB2312" w:eastAsia="仿宋_GB2312" w:cs="仿宋_GB2312"/>
          <w:bCs/>
          <w:kern w:val="2"/>
          <w:sz w:val="32"/>
          <w:szCs w:val="32"/>
          <w:lang w:val="en-US" w:eastAsia="zh-CN" w:bidi="ar-SA"/>
        </w:rPr>
        <w:t>项目以鹅卵石作为原料，经</w:t>
      </w:r>
      <w:r>
        <w:rPr>
          <w:rFonts w:hint="default" w:ascii="仿宋_GB2312" w:hAnsi="仿宋_GB2312" w:eastAsia="仿宋_GB2312" w:cs="仿宋_GB2312"/>
          <w:bCs/>
          <w:kern w:val="2"/>
          <w:sz w:val="32"/>
          <w:szCs w:val="32"/>
          <w:lang w:val="en-US" w:eastAsia="zh-CN" w:bidi="ar-SA"/>
        </w:rPr>
        <w:t>水洗、脱水</w:t>
      </w:r>
      <w:r>
        <w:rPr>
          <w:rFonts w:hint="eastAsia" w:ascii="仿宋_GB2312" w:hAnsi="仿宋_GB2312" w:eastAsia="仿宋_GB2312" w:cs="仿宋_GB2312"/>
          <w:bCs/>
          <w:kern w:val="2"/>
          <w:sz w:val="32"/>
          <w:szCs w:val="32"/>
          <w:lang w:val="en-US" w:eastAsia="zh-CN" w:bidi="ar-SA"/>
        </w:rPr>
        <w:t>、色选、破碎、筛分、球磨、</w:t>
      </w:r>
      <w:r>
        <w:rPr>
          <w:rFonts w:hint="default" w:ascii="仿宋_GB2312" w:hAnsi="仿宋_GB2312" w:eastAsia="仿宋_GB2312" w:cs="仿宋_GB2312"/>
          <w:bCs/>
          <w:kern w:val="2"/>
          <w:sz w:val="32"/>
          <w:szCs w:val="32"/>
          <w:lang w:val="en-US" w:eastAsia="zh-CN" w:bidi="ar-SA"/>
        </w:rPr>
        <w:t>磁选、分级</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压滤、脱水</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酸洗</w:t>
      </w:r>
      <w:r>
        <w:rPr>
          <w:rFonts w:hint="eastAsia" w:ascii="仿宋_GB2312" w:hAnsi="仿宋_GB2312" w:eastAsia="仿宋_GB2312" w:cs="仿宋_GB2312"/>
          <w:bCs/>
          <w:kern w:val="2"/>
          <w:sz w:val="32"/>
          <w:szCs w:val="32"/>
          <w:lang w:val="en-US" w:eastAsia="zh-CN" w:bidi="ar-SA"/>
        </w:rPr>
        <w:t>、脱酸、漂洗、</w:t>
      </w:r>
      <w:r>
        <w:rPr>
          <w:rFonts w:hint="default" w:ascii="仿宋_GB2312" w:hAnsi="仿宋_GB2312" w:eastAsia="仿宋_GB2312" w:cs="仿宋_GB2312"/>
          <w:bCs/>
          <w:kern w:val="2"/>
          <w:sz w:val="32"/>
          <w:szCs w:val="32"/>
          <w:lang w:val="en-US" w:eastAsia="zh-CN" w:bidi="ar-SA"/>
        </w:rPr>
        <w:t>分级</w:t>
      </w:r>
      <w:r>
        <w:rPr>
          <w:rFonts w:hint="eastAsia" w:ascii="仿宋_GB2312" w:hAnsi="仿宋_GB2312" w:eastAsia="仿宋_GB2312" w:cs="仿宋_GB2312"/>
          <w:bCs/>
          <w:kern w:val="2"/>
          <w:sz w:val="32"/>
          <w:szCs w:val="32"/>
          <w:lang w:val="en-US" w:eastAsia="zh-CN" w:bidi="ar-SA"/>
        </w:rPr>
        <w:t>、脱水等工序生产光伏砂，光伏砂生产线生产出的光伏砂成品部分会深加工制作成烘干砂、板材砂、硅微粉。项目酸洗工序所用辅料酸为草酸（固体）和氢氟酸（40%溶液），酸洗工序通过蒸汽加热酸液。设置4台4</w:t>
      </w:r>
      <w:r>
        <w:rPr>
          <w:rFonts w:hint="default" w:ascii="仿宋_GB2312" w:hAnsi="仿宋_GB2312" w:eastAsia="仿宋_GB2312" w:cs="仿宋_GB2312"/>
          <w:bCs/>
          <w:kern w:val="2"/>
          <w:sz w:val="32"/>
          <w:szCs w:val="32"/>
          <w:lang w:val="en-US" w:eastAsia="zh-CN" w:bidi="ar-SA"/>
        </w:rPr>
        <w:t>t/h</w:t>
      </w:r>
      <w:r>
        <w:rPr>
          <w:rFonts w:hint="eastAsia" w:ascii="仿宋_GB2312" w:hAnsi="仿宋_GB2312" w:eastAsia="仿宋_GB2312" w:cs="仿宋_GB2312"/>
          <w:bCs/>
          <w:kern w:val="2"/>
          <w:sz w:val="32"/>
          <w:szCs w:val="32"/>
          <w:lang w:val="en-US" w:eastAsia="zh-CN" w:bidi="ar-SA"/>
        </w:rPr>
        <w:t>蒸汽发生器（3用1备），以成型生物质为燃料。烘干工序以天然气为燃料。</w:t>
      </w:r>
    </w:p>
    <w:p w14:paraId="467EF373">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
          <w:bCs/>
          <w:color w:val="auto"/>
          <w:kern w:val="2"/>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二、在工程建设和运营过程中，你公司须落实《报告表》中提出的各项生态环境保护和风险防范措施，并在项目运营中重点落实以下要求：</w:t>
      </w:r>
    </w:p>
    <w:p w14:paraId="04C1F79A">
      <w:pPr>
        <w:keepNext w:val="0"/>
        <w:keepLines w:val="0"/>
        <w:pageBreakBefore w:val="0"/>
        <w:widowControl w:val="0"/>
        <w:numPr>
          <w:ilvl w:val="0"/>
          <w:numId w:val="0"/>
        </w:numPr>
        <w:kinsoku/>
        <w:wordWrap/>
        <w:overflowPunct/>
        <w:topLinePunct/>
        <w:autoSpaceDE w:val="0"/>
        <w:autoSpaceDN/>
        <w:bidi w:val="0"/>
        <w:adjustRightInd/>
        <w:snapToGrid/>
        <w:spacing w:after="0" w:line="579" w:lineRule="exact"/>
        <w:ind w:firstLine="643" w:firstLineChars="200"/>
        <w:jc w:val="both"/>
        <w:textAlignment w:val="auto"/>
        <w:outlineLvl w:val="9"/>
        <w:rPr>
          <w:rFonts w:hint="default"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1.落实施工期间各项污染防治措施。</w:t>
      </w:r>
      <w:r>
        <w:rPr>
          <w:rFonts w:hint="eastAsia" w:ascii="仿宋_GB2312" w:hAnsi="仿宋_GB2312" w:eastAsia="仿宋_GB2312" w:cs="仿宋_GB2312"/>
          <w:color w:val="auto"/>
          <w:kern w:val="2"/>
          <w:sz w:val="32"/>
          <w:szCs w:val="32"/>
          <w:u w:val="none" w:color="auto"/>
          <w:lang w:val="en-US" w:eastAsia="zh-CN"/>
        </w:rPr>
        <w:t>施工场地采取设置硬质围挡、覆盖、洒水抑尘、冲洗地面和车辆等有效防尘措施，运输车辆采取密闭</w:t>
      </w:r>
      <w:r>
        <w:rPr>
          <w:rFonts w:hint="eastAsia" w:ascii="仿宋_GB2312" w:hAnsi="仿宋_GB2312" w:eastAsia="仿宋_GB2312" w:cs="仿宋_GB2312"/>
          <w:sz w:val="32"/>
          <w:szCs w:val="32"/>
        </w:rPr>
        <w:t>或者其它</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措施防止物料遗撒</w:t>
      </w:r>
      <w:r>
        <w:rPr>
          <w:rFonts w:hint="eastAsia" w:ascii="仿宋_GB2312" w:hAnsi="仿宋_GB2312" w:eastAsia="仿宋_GB2312" w:cs="仿宋_GB2312"/>
          <w:color w:val="auto"/>
          <w:kern w:val="2"/>
          <w:sz w:val="32"/>
          <w:szCs w:val="32"/>
          <w:u w:val="none" w:color="auto"/>
          <w:lang w:val="en-US" w:eastAsia="zh-CN"/>
        </w:rPr>
        <w:t>，减少运输扬尘对周围的影响。施工废水经沉淀处理后回用于抑尘用水，施工人员的生活污水经化粪池处理后用于施肥。合理安排高噪声设备的作业时间，设置围挡隔声等措施减少噪声对环境影响。建筑垃圾须依法依规综合利用或运至相关部门指定的地方堆存，严禁乱堆乱倒。</w:t>
      </w:r>
    </w:p>
    <w:p w14:paraId="5808B666">
      <w:pPr>
        <w:keepNext w:val="0"/>
        <w:keepLines w:val="0"/>
        <w:pageBreakBefore w:val="0"/>
        <w:widowControl w:val="0"/>
        <w:numPr>
          <w:ilvl w:val="0"/>
          <w:numId w:val="0"/>
        </w:numPr>
        <w:kinsoku/>
        <w:wordWrap/>
        <w:overflowPunct w:val="0"/>
        <w:topLinePunct w:val="0"/>
        <w:autoSpaceDE w:val="0"/>
        <w:autoSpaceDN w:val="0"/>
        <w:bidi w:val="0"/>
        <w:adjustRightInd/>
        <w:snapToGrid/>
        <w:spacing w:after="0" w:line="579" w:lineRule="exact"/>
        <w:ind w:leftChars="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2.落实大气污染防治措施。</w:t>
      </w:r>
      <w:r>
        <w:rPr>
          <w:rFonts w:hint="eastAsia" w:ascii="仿宋_GB2312" w:hAnsi="仿宋_GB2312" w:eastAsia="仿宋_GB2312" w:cs="仿宋_GB2312"/>
          <w:color w:val="auto"/>
          <w:sz w:val="32"/>
          <w:szCs w:val="32"/>
          <w:u w:val="none" w:color="auto"/>
          <w:lang w:val="en-US" w:eastAsia="zh-CN"/>
        </w:rPr>
        <w:t>采取运输车辆封闭、进出车辆冲洗、及时清扫及洒水降尘、</w:t>
      </w:r>
      <w:r>
        <w:rPr>
          <w:rFonts w:hint="eastAsia" w:ascii="仿宋_GB2312" w:hAnsi="仿宋_GB2312" w:eastAsia="仿宋_GB2312" w:cs="仿宋_GB2312"/>
          <w:color w:val="auto"/>
          <w:sz w:val="32"/>
          <w:szCs w:val="32"/>
          <w:u w:val="none" w:color="auto"/>
          <w:lang w:val="zh-CN" w:eastAsia="zh-CN"/>
        </w:rPr>
        <w:t>减速慢行等有效措施减少运输扬尘对周边环境的影响，</w:t>
      </w:r>
      <w:r>
        <w:rPr>
          <w:rFonts w:hint="eastAsia" w:ascii="仿宋_GB2312" w:hAnsi="仿宋_GB2312" w:eastAsia="仿宋_GB2312" w:cs="仿宋_GB2312"/>
          <w:color w:val="auto"/>
          <w:sz w:val="32"/>
          <w:szCs w:val="32"/>
          <w:u w:val="none" w:color="auto"/>
          <w:lang w:val="en-US" w:eastAsia="zh-CN"/>
        </w:rPr>
        <w:t>同时采用清洁运输方式，防止车辆尾气污染</w:t>
      </w:r>
      <w:r>
        <w:rPr>
          <w:rFonts w:hint="eastAsia" w:ascii="仿宋_GB2312" w:hAnsi="仿宋_GB2312" w:eastAsia="仿宋_GB2312" w:cs="仿宋_GB2312"/>
          <w:color w:val="auto"/>
          <w:sz w:val="32"/>
          <w:szCs w:val="32"/>
          <w:u w:val="none" w:color="auto"/>
          <w:lang w:val="zh-CN" w:eastAsia="zh-CN"/>
        </w:rPr>
        <w:t>；</w:t>
      </w:r>
      <w:r>
        <w:rPr>
          <w:rFonts w:hint="eastAsia" w:ascii="仿宋_GB2312" w:hAnsi="仿宋_GB2312" w:eastAsia="仿宋_GB2312" w:cs="仿宋_GB2312"/>
          <w:color w:val="auto"/>
          <w:sz w:val="32"/>
          <w:szCs w:val="32"/>
          <w:u w:val="none" w:color="auto"/>
          <w:lang w:val="en-US" w:eastAsia="zh-CN"/>
        </w:rPr>
        <w:t>采取喷雾降尘、密闭厂房阻隔等降尘措施减少装卸、堆存、进料等工序产生的颗粒物；采用湿法筛分工序，厂界无</w:t>
      </w:r>
      <w:r>
        <w:rPr>
          <w:rFonts w:hint="default" w:ascii="仿宋_GB2312" w:hAnsi="仿宋_GB2312" w:eastAsia="仿宋_GB2312" w:cs="仿宋_GB2312"/>
          <w:color w:val="auto"/>
          <w:sz w:val="32"/>
          <w:szCs w:val="32"/>
          <w:u w:val="none" w:color="auto"/>
          <w:lang w:val="en-US" w:eastAsia="zh-CN"/>
        </w:rPr>
        <w:t>组织</w:t>
      </w:r>
      <w:r>
        <w:rPr>
          <w:rFonts w:hint="eastAsia" w:ascii="仿宋_GB2312" w:hAnsi="仿宋_GB2312" w:eastAsia="仿宋_GB2312" w:cs="仿宋_GB2312"/>
          <w:color w:val="auto"/>
          <w:sz w:val="32"/>
          <w:szCs w:val="32"/>
          <w:u w:val="none" w:color="auto"/>
          <w:lang w:val="en-US" w:eastAsia="zh-CN"/>
        </w:rPr>
        <w:t>排放的颗粒物、氟化物</w:t>
      </w:r>
      <w:r>
        <w:rPr>
          <w:rFonts w:hint="default" w:ascii="仿宋_GB2312" w:hAnsi="仿宋_GB2312" w:eastAsia="仿宋_GB2312" w:cs="仿宋_GB2312"/>
          <w:color w:val="auto"/>
          <w:sz w:val="32"/>
          <w:szCs w:val="32"/>
          <w:u w:val="none" w:color="auto"/>
          <w:lang w:val="en-US" w:eastAsia="zh-CN"/>
        </w:rPr>
        <w:t>执行</w:t>
      </w:r>
      <w:r>
        <w:rPr>
          <w:rFonts w:hint="eastAsia" w:ascii="仿宋_GB2312" w:hAnsi="仿宋_GB2312" w:eastAsia="仿宋_GB2312" w:cs="仿宋_GB2312"/>
          <w:color w:val="auto"/>
          <w:sz w:val="32"/>
          <w:szCs w:val="32"/>
          <w:u w:val="none" w:color="auto"/>
          <w:lang w:val="en-US" w:eastAsia="zh-CN"/>
        </w:rPr>
        <w:t>《大气污染物综合排放标准》（GB16297-1996）中表2无组织</w:t>
      </w:r>
      <w:r>
        <w:rPr>
          <w:rFonts w:hint="default" w:ascii="仿宋_GB2312" w:hAnsi="仿宋_GB2312" w:eastAsia="仿宋_GB2312" w:cs="仿宋_GB2312"/>
          <w:color w:val="auto"/>
          <w:sz w:val="32"/>
          <w:szCs w:val="32"/>
          <w:u w:val="none" w:color="auto"/>
          <w:lang w:val="en-US" w:eastAsia="zh-CN"/>
        </w:rPr>
        <w:t>排放</w:t>
      </w:r>
      <w:r>
        <w:rPr>
          <w:rFonts w:hint="eastAsia" w:ascii="仿宋_GB2312" w:hAnsi="仿宋_GB2312" w:eastAsia="仿宋_GB2312" w:cs="仿宋_GB2312"/>
          <w:color w:val="auto"/>
          <w:sz w:val="32"/>
          <w:szCs w:val="32"/>
          <w:u w:val="none" w:color="auto"/>
          <w:lang w:val="en-US" w:eastAsia="zh-CN"/>
        </w:rPr>
        <w:t>限值。酸洗等工序产生的酸洗气体经“文丘里+两级喷淋塔”处理后通过34m高排气筒（DA003）外排，氟化物执行《大气污染物综合排放标准》（GB16297-1996）中表2相关</w:t>
      </w:r>
      <w:r>
        <w:rPr>
          <w:rFonts w:hint="default" w:ascii="仿宋_GB2312" w:hAnsi="仿宋_GB2312" w:eastAsia="仿宋_GB2312" w:cs="仿宋_GB2312"/>
          <w:color w:val="auto"/>
          <w:sz w:val="32"/>
          <w:szCs w:val="32"/>
          <w:u w:val="none" w:color="auto"/>
          <w:lang w:val="en-US" w:eastAsia="zh-CN"/>
        </w:rPr>
        <w:t>排放</w:t>
      </w:r>
      <w:r>
        <w:rPr>
          <w:rFonts w:hint="eastAsia" w:ascii="仿宋_GB2312" w:hAnsi="仿宋_GB2312" w:eastAsia="仿宋_GB2312" w:cs="仿宋_GB2312"/>
          <w:color w:val="auto"/>
          <w:sz w:val="32"/>
          <w:szCs w:val="32"/>
          <w:u w:val="none" w:color="auto"/>
          <w:lang w:val="en-US" w:eastAsia="zh-CN"/>
        </w:rPr>
        <w:t>限值；</w:t>
      </w:r>
      <w:r>
        <w:rPr>
          <w:rFonts w:hint="default" w:ascii="仿宋_GB2312" w:hAnsi="仿宋_GB2312" w:eastAsia="仿宋_GB2312" w:cs="仿宋_GB2312"/>
          <w:color w:val="auto"/>
          <w:sz w:val="32"/>
          <w:szCs w:val="32"/>
          <w:u w:val="none" w:color="auto"/>
          <w:lang w:val="en-US" w:eastAsia="zh-CN"/>
        </w:rPr>
        <w:t>烘干砂生产线烘干</w:t>
      </w:r>
      <w:r>
        <w:rPr>
          <w:rFonts w:hint="eastAsia" w:ascii="仿宋_GB2312" w:hAnsi="仿宋_GB2312" w:eastAsia="仿宋_GB2312" w:cs="仿宋_GB2312"/>
          <w:color w:val="auto"/>
          <w:sz w:val="32"/>
          <w:szCs w:val="32"/>
          <w:u w:val="none" w:color="auto"/>
          <w:lang w:val="en-US" w:eastAsia="zh-CN"/>
        </w:rPr>
        <w:t>废气（</w:t>
      </w:r>
      <w:r>
        <w:rPr>
          <w:rFonts w:hint="default" w:ascii="仿宋_GB2312" w:hAnsi="仿宋_GB2312" w:eastAsia="仿宋_GB2312" w:cs="仿宋_GB2312"/>
          <w:color w:val="auto"/>
          <w:sz w:val="32"/>
          <w:szCs w:val="32"/>
          <w:u w:val="none" w:color="auto"/>
          <w:lang w:val="en-US" w:eastAsia="zh-CN"/>
        </w:rPr>
        <w:t>烘干扰动粉尘</w:t>
      </w:r>
      <w:r>
        <w:rPr>
          <w:rFonts w:hint="eastAsia" w:ascii="仿宋_GB2312" w:hAnsi="仿宋_GB2312" w:eastAsia="仿宋_GB2312" w:cs="仿宋_GB2312"/>
          <w:color w:val="auto"/>
          <w:sz w:val="32"/>
          <w:szCs w:val="32"/>
          <w:u w:val="none" w:color="auto"/>
          <w:lang w:val="en-US" w:eastAsia="zh-CN"/>
        </w:rPr>
        <w:t>+天然气燃烧废气）和板材</w:t>
      </w:r>
      <w:r>
        <w:rPr>
          <w:rFonts w:hint="default" w:ascii="仿宋_GB2312" w:hAnsi="仿宋_GB2312" w:eastAsia="仿宋_GB2312" w:cs="仿宋_GB2312"/>
          <w:color w:val="auto"/>
          <w:sz w:val="32"/>
          <w:szCs w:val="32"/>
          <w:u w:val="none" w:color="auto"/>
          <w:lang w:val="en-US" w:eastAsia="zh-CN"/>
        </w:rPr>
        <w:t>砂生产线烘干</w:t>
      </w:r>
      <w:r>
        <w:rPr>
          <w:rFonts w:hint="eastAsia" w:ascii="仿宋_GB2312" w:hAnsi="仿宋_GB2312" w:eastAsia="仿宋_GB2312" w:cs="仿宋_GB2312"/>
          <w:color w:val="auto"/>
          <w:sz w:val="32"/>
          <w:szCs w:val="32"/>
          <w:u w:val="none" w:color="auto"/>
          <w:lang w:val="en-US" w:eastAsia="zh-CN"/>
        </w:rPr>
        <w:t>废气（</w:t>
      </w:r>
      <w:r>
        <w:rPr>
          <w:rFonts w:hint="default" w:ascii="仿宋_GB2312" w:hAnsi="仿宋_GB2312" w:eastAsia="仿宋_GB2312" w:cs="仿宋_GB2312"/>
          <w:color w:val="auto"/>
          <w:sz w:val="32"/>
          <w:szCs w:val="32"/>
          <w:u w:val="none" w:color="auto"/>
          <w:lang w:val="en-US" w:eastAsia="zh-CN"/>
        </w:rPr>
        <w:t>烘干扰动粉尘</w:t>
      </w:r>
      <w:r>
        <w:rPr>
          <w:rFonts w:hint="eastAsia" w:ascii="仿宋_GB2312" w:hAnsi="仿宋_GB2312" w:eastAsia="仿宋_GB2312" w:cs="仿宋_GB2312"/>
          <w:color w:val="auto"/>
          <w:sz w:val="32"/>
          <w:szCs w:val="32"/>
          <w:u w:val="none" w:color="auto"/>
          <w:lang w:val="en-US" w:eastAsia="zh-CN"/>
        </w:rPr>
        <w:t>+天然气燃烧废气）由管道收集，经</w:t>
      </w:r>
      <w:r>
        <w:rPr>
          <w:rFonts w:hint="default" w:ascii="仿宋_GB2312" w:hAnsi="仿宋_GB2312" w:eastAsia="仿宋_GB2312" w:cs="仿宋_GB2312"/>
          <w:color w:val="auto"/>
          <w:sz w:val="32"/>
          <w:szCs w:val="32"/>
          <w:u w:val="none" w:color="auto"/>
          <w:lang w:val="en-US" w:eastAsia="zh-CN"/>
        </w:rPr>
        <w:t>布袋除尘器</w:t>
      </w:r>
      <w:r>
        <w:rPr>
          <w:rFonts w:hint="eastAsia" w:ascii="仿宋_GB2312" w:hAnsi="仿宋_GB2312" w:eastAsia="仿宋_GB2312" w:cs="仿宋_GB2312"/>
          <w:color w:val="auto"/>
          <w:sz w:val="32"/>
          <w:szCs w:val="32"/>
          <w:u w:val="none" w:color="auto"/>
          <w:lang w:val="en-US" w:eastAsia="zh-CN"/>
        </w:rPr>
        <w:t>（一套）</w:t>
      </w:r>
      <w:r>
        <w:rPr>
          <w:rFonts w:hint="default" w:ascii="仿宋_GB2312" w:hAnsi="仿宋_GB2312" w:eastAsia="仿宋_GB2312" w:cs="仿宋_GB2312"/>
          <w:color w:val="auto"/>
          <w:sz w:val="32"/>
          <w:szCs w:val="32"/>
          <w:u w:val="none" w:color="auto"/>
          <w:lang w:val="en-US" w:eastAsia="zh-CN"/>
        </w:rPr>
        <w:t>处理后引至34m排气筒（DA00</w:t>
      </w:r>
      <w:r>
        <w:rPr>
          <w:rFonts w:hint="eastAsia" w:ascii="仿宋_GB2312" w:hAnsi="仿宋_GB2312" w:eastAsia="仿宋_GB2312" w:cs="仿宋_GB2312"/>
          <w:color w:val="auto"/>
          <w:sz w:val="32"/>
          <w:szCs w:val="32"/>
          <w:u w:val="none" w:color="auto"/>
          <w:lang w:val="en-US" w:eastAsia="zh-CN"/>
        </w:rPr>
        <w:t>1</w:t>
      </w:r>
      <w:r>
        <w:rPr>
          <w:rFonts w:hint="default" w:ascii="仿宋_GB2312" w:hAnsi="仿宋_GB2312" w:eastAsia="仿宋_GB2312" w:cs="仿宋_GB2312"/>
          <w:color w:val="auto"/>
          <w:sz w:val="32"/>
          <w:szCs w:val="32"/>
          <w:u w:val="none" w:color="auto"/>
          <w:lang w:val="en-US" w:eastAsia="zh-CN"/>
        </w:rPr>
        <w:t>）外排</w:t>
      </w:r>
      <w:r>
        <w:rPr>
          <w:rFonts w:hint="eastAsia" w:ascii="仿宋_GB2312" w:hAnsi="仿宋_GB2312" w:eastAsia="仿宋_GB2312" w:cs="仿宋_GB2312"/>
          <w:color w:val="auto"/>
          <w:sz w:val="32"/>
          <w:szCs w:val="32"/>
          <w:u w:val="none" w:color="auto"/>
          <w:lang w:val="en-US" w:eastAsia="zh-CN"/>
        </w:rPr>
        <w:t>，排放的废气执行《湖南省工业炉窑大气污染综合治理实施方案》（湘环发〔2020〕6号）中排放限值；板材砂生产线的筛分、色选工序及硅微粉生产线的球磨、分级工序产生的颗粒物经管道收集+布袋除尘器处理后，一起汇入34m排气筒（DA002）外排，排放的颗粒物执行《大气污染物综合排放标准》（GB16297-1996）表2中</w:t>
      </w:r>
      <w:r>
        <w:rPr>
          <w:rFonts w:hint="default" w:ascii="仿宋_GB2312" w:hAnsi="仿宋_GB2312" w:eastAsia="仿宋_GB2312" w:cs="仿宋_GB2312"/>
          <w:color w:val="auto"/>
          <w:sz w:val="32"/>
          <w:szCs w:val="32"/>
          <w:u w:val="none" w:color="auto"/>
          <w:lang w:val="en-US" w:eastAsia="zh-CN"/>
        </w:rPr>
        <w:t>排放标</w:t>
      </w:r>
      <w:r>
        <w:rPr>
          <w:rFonts w:hint="eastAsia" w:ascii="仿宋_GB2312" w:hAnsi="仿宋_GB2312" w:eastAsia="仿宋_GB2312" w:cs="仿宋_GB2312"/>
          <w:color w:val="auto"/>
          <w:sz w:val="32"/>
          <w:szCs w:val="32"/>
          <w:u w:val="none" w:color="auto"/>
          <w:lang w:val="en-US" w:eastAsia="zh-CN"/>
        </w:rPr>
        <w:t>限值；项目设置了4台（3用1备）4t/h蒸汽发生器，以成型生物质颗粒为燃料，燃烧产生的废气经“低氮燃烧+旋风除尘+布袋除尘”处理后通过40m高排气筒（DA004）外排，排放的废气执行《锅炉大气污染物排放标准》（GB13271-2014）表3中燃煤锅炉特别排放限值。</w:t>
      </w:r>
    </w:p>
    <w:p w14:paraId="3C42D802">
      <w:pPr>
        <w:keepNext w:val="0"/>
        <w:keepLines w:val="0"/>
        <w:pageBreakBefore w:val="0"/>
        <w:widowControl w:val="0"/>
        <w:numPr>
          <w:ilvl w:val="0"/>
          <w:numId w:val="0"/>
        </w:numPr>
        <w:kinsoku/>
        <w:wordWrap/>
        <w:overflowPunct w:val="0"/>
        <w:topLinePunct w:val="0"/>
        <w:autoSpaceDE w:val="0"/>
        <w:autoSpaceDN w:val="0"/>
        <w:bidi w:val="0"/>
        <w:adjustRightInd/>
        <w:snapToGrid/>
        <w:spacing w:after="0" w:line="579" w:lineRule="exact"/>
        <w:ind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val="en-US" w:eastAsia="zh-CN"/>
        </w:rPr>
        <w:t>3.落实废水污染防治措施。</w:t>
      </w:r>
      <w:r>
        <w:rPr>
          <w:rFonts w:hint="eastAsia" w:ascii="仿宋_GB2312" w:hAnsi="仿宋_GB2312" w:eastAsia="仿宋_GB2312" w:cs="仿宋_GB2312"/>
          <w:b w:val="0"/>
          <w:bCs w:val="0"/>
          <w:color w:val="auto"/>
          <w:kern w:val="2"/>
          <w:sz w:val="32"/>
          <w:szCs w:val="32"/>
          <w:u w:val="none" w:color="auto"/>
          <w:lang w:val="en-US" w:eastAsia="zh-CN"/>
        </w:rPr>
        <w:t>按照“清污分流、雨污分流”原则，设计、建设、完善给排水系统。</w:t>
      </w:r>
      <w:r>
        <w:rPr>
          <w:rFonts w:hint="eastAsia" w:ascii="仿宋_GB2312" w:hAnsi="仿宋_GB2312" w:eastAsia="仿宋_GB2312" w:cs="仿宋_GB2312"/>
          <w:color w:val="auto"/>
          <w:sz w:val="32"/>
          <w:szCs w:val="32"/>
          <w:u w:val="none" w:color="auto"/>
          <w:lang w:val="en-US" w:eastAsia="zh-CN"/>
        </w:rPr>
        <w:t>生活废水</w:t>
      </w:r>
      <w:r>
        <w:rPr>
          <w:rFonts w:hint="default" w:ascii="仿宋_GB2312" w:hAnsi="仿宋_GB2312" w:eastAsia="仿宋_GB2312" w:cs="仿宋_GB2312"/>
          <w:color w:val="auto"/>
          <w:sz w:val="32"/>
          <w:szCs w:val="32"/>
          <w:u w:val="none" w:color="auto"/>
          <w:lang w:val="en-US" w:eastAsia="zh-CN"/>
        </w:rPr>
        <w:t>经</w:t>
      </w:r>
      <w:r>
        <w:rPr>
          <w:rFonts w:hint="eastAsia" w:ascii="仿宋_GB2312" w:hAnsi="仿宋_GB2312" w:eastAsia="仿宋_GB2312" w:cs="仿宋_GB2312"/>
          <w:color w:val="auto"/>
          <w:sz w:val="32"/>
          <w:szCs w:val="32"/>
          <w:u w:val="none" w:color="auto"/>
          <w:lang w:val="en-US" w:eastAsia="zh-CN"/>
        </w:rPr>
        <w:t>四格化粪池</w:t>
      </w:r>
      <w:r>
        <w:rPr>
          <w:rFonts w:hint="default" w:ascii="仿宋_GB2312" w:hAnsi="仿宋_GB2312" w:eastAsia="仿宋_GB2312" w:cs="仿宋_GB2312"/>
          <w:color w:val="auto"/>
          <w:sz w:val="32"/>
          <w:szCs w:val="32"/>
          <w:u w:val="none" w:color="auto"/>
          <w:lang w:val="en-US" w:eastAsia="zh-CN"/>
        </w:rPr>
        <w:t>处理后</w:t>
      </w:r>
      <w:r>
        <w:rPr>
          <w:rFonts w:hint="eastAsia" w:ascii="仿宋_GB2312" w:hAnsi="仿宋_GB2312" w:eastAsia="仿宋_GB2312" w:cs="仿宋_GB2312"/>
          <w:color w:val="auto"/>
          <w:sz w:val="32"/>
          <w:szCs w:val="32"/>
          <w:u w:val="none" w:color="auto"/>
          <w:lang w:val="en-US" w:eastAsia="zh-CN"/>
        </w:rPr>
        <w:t>用</w:t>
      </w:r>
      <w:r>
        <w:rPr>
          <w:rFonts w:hint="default" w:ascii="仿宋_GB2312" w:hAnsi="仿宋_GB2312" w:eastAsia="仿宋_GB2312" w:cs="仿宋_GB2312"/>
          <w:color w:val="auto"/>
          <w:sz w:val="32"/>
          <w:szCs w:val="32"/>
          <w:u w:val="none" w:color="auto"/>
          <w:lang w:val="en-US" w:eastAsia="zh-CN"/>
        </w:rPr>
        <w:t>作农肥</w:t>
      </w:r>
      <w:r>
        <w:rPr>
          <w:rFonts w:hint="eastAsia" w:ascii="仿宋_GB2312" w:hAnsi="仿宋_GB2312" w:eastAsia="仿宋_GB2312" w:cs="仿宋_GB2312"/>
          <w:color w:val="auto"/>
          <w:sz w:val="32"/>
          <w:szCs w:val="32"/>
          <w:u w:val="none" w:color="auto"/>
          <w:lang w:val="en-US" w:eastAsia="zh-CN"/>
        </w:rPr>
        <w:t>（待岳阳县城区临港片污水处理厂运营后，生活污水达其污水处理厂接纳标准后排入其进一步处理后达标排放）。车辆冲洗废水经洗车平台自带沉淀池沉淀后回用；</w:t>
      </w:r>
      <w:r>
        <w:rPr>
          <w:rFonts w:hint="eastAsia" w:ascii="仿宋_GB2312" w:hAnsi="仿宋_GB2312" w:eastAsia="仿宋_GB2312" w:cs="仿宋_GB2312"/>
          <w:color w:val="auto"/>
          <w:sz w:val="32"/>
          <w:szCs w:val="32"/>
          <w:u w:val="none" w:color="auto"/>
          <w:lang w:val="zh-CN" w:eastAsia="zh-CN"/>
        </w:rPr>
        <w:t>初期雨水经厂区截排水沟汇集，导入厂区初期雨水</w:t>
      </w:r>
      <w:r>
        <w:rPr>
          <w:rFonts w:hint="eastAsia" w:ascii="仿宋_GB2312" w:hAnsi="仿宋_GB2312" w:eastAsia="仿宋_GB2312" w:cs="仿宋_GB2312"/>
          <w:color w:val="auto"/>
          <w:sz w:val="32"/>
          <w:szCs w:val="32"/>
          <w:u w:val="none" w:color="auto"/>
          <w:lang w:val="en-US" w:eastAsia="zh-CN"/>
        </w:rPr>
        <w:t>沉淀池（500m³）处理后回</w:t>
      </w:r>
      <w:r>
        <w:rPr>
          <w:rFonts w:hint="eastAsia" w:ascii="仿宋_GB2312" w:hAnsi="仿宋_GB2312" w:eastAsia="仿宋_GB2312" w:cs="仿宋_GB2312"/>
          <w:color w:val="auto"/>
          <w:sz w:val="32"/>
          <w:szCs w:val="32"/>
          <w:u w:val="none" w:color="auto"/>
          <w:lang w:val="zh-CN" w:eastAsia="zh-CN"/>
        </w:rPr>
        <w:t>用于生产和降尘用水；</w:t>
      </w:r>
      <w:r>
        <w:rPr>
          <w:rFonts w:hint="eastAsia" w:ascii="仿宋_GB2312" w:hAnsi="仿宋_GB2312" w:eastAsia="仿宋_GB2312" w:cs="仿宋_GB2312"/>
          <w:color w:val="auto"/>
          <w:sz w:val="32"/>
          <w:szCs w:val="32"/>
          <w:u w:val="none" w:color="auto"/>
          <w:lang w:val="en-US" w:eastAsia="zh-CN"/>
        </w:rPr>
        <w:t>漂洗工序产生的酸性废水及碱喷淋废水排至中和池内中和处理，处理后排至浓密罐（572</w:t>
      </w:r>
      <w:r>
        <w:rPr>
          <w:rFonts w:hint="default" w:ascii="仿宋_GB2312" w:hAnsi="仿宋_GB2312" w:eastAsia="仿宋_GB2312" w:cs="仿宋_GB2312"/>
          <w:color w:val="auto"/>
          <w:sz w:val="32"/>
          <w:szCs w:val="32"/>
          <w:u w:val="none" w:color="auto"/>
          <w:lang w:val="en-US" w:eastAsia="zh-CN"/>
        </w:rPr>
        <w:t>m³</w:t>
      </w:r>
      <w:r>
        <w:rPr>
          <w:rFonts w:hint="eastAsia" w:ascii="仿宋_GB2312" w:hAnsi="仿宋_GB2312" w:eastAsia="仿宋_GB2312" w:cs="仿宋_GB2312"/>
          <w:color w:val="auto"/>
          <w:sz w:val="32"/>
          <w:szCs w:val="32"/>
          <w:u w:val="none" w:color="auto"/>
          <w:lang w:val="en-US" w:eastAsia="zh-CN"/>
        </w:rPr>
        <w:t>）内沉淀处理，最后进入清水池（</w:t>
      </w:r>
      <w:r>
        <w:rPr>
          <w:rFonts w:hint="default" w:ascii="仿宋_GB2312" w:hAnsi="仿宋_GB2312" w:eastAsia="仿宋_GB2312" w:cs="仿宋_GB2312"/>
          <w:color w:val="auto"/>
          <w:sz w:val="32"/>
          <w:szCs w:val="32"/>
          <w:u w:val="none" w:color="auto"/>
          <w:lang w:val="en-US" w:eastAsia="zh-CN"/>
        </w:rPr>
        <w:t>5152m³</w:t>
      </w:r>
      <w:r>
        <w:rPr>
          <w:rFonts w:hint="eastAsia" w:ascii="仿宋_GB2312" w:hAnsi="仿宋_GB2312" w:eastAsia="仿宋_GB2312" w:cs="仿宋_GB2312"/>
          <w:color w:val="auto"/>
          <w:sz w:val="32"/>
          <w:szCs w:val="32"/>
          <w:u w:val="none" w:color="auto"/>
          <w:lang w:val="en-US" w:eastAsia="zh-CN"/>
        </w:rPr>
        <w:t>）回用于生产；清洗废水、压滤废水、脱水废水、蒸汽发生器定期排污水直接排入浓密池（</w:t>
      </w:r>
      <w:r>
        <w:rPr>
          <w:rFonts w:hint="default" w:ascii="仿宋_GB2312" w:hAnsi="仿宋_GB2312" w:eastAsia="仿宋_GB2312" w:cs="仿宋_GB2312"/>
          <w:color w:val="auto"/>
          <w:sz w:val="32"/>
          <w:szCs w:val="32"/>
          <w:u w:val="none" w:color="auto"/>
          <w:lang w:val="en-US" w:eastAsia="zh-CN"/>
        </w:rPr>
        <w:t>5890.5m³</w:t>
      </w:r>
      <w:r>
        <w:rPr>
          <w:rFonts w:hint="eastAsia" w:ascii="仿宋_GB2312" w:hAnsi="仿宋_GB2312" w:eastAsia="仿宋_GB2312" w:cs="仿宋_GB2312"/>
          <w:color w:val="auto"/>
          <w:sz w:val="32"/>
          <w:szCs w:val="32"/>
          <w:u w:val="none" w:color="auto"/>
          <w:lang w:val="en-US" w:eastAsia="zh-CN"/>
        </w:rPr>
        <w:t>）沉淀处理后进入清水池（</w:t>
      </w:r>
      <w:r>
        <w:rPr>
          <w:rFonts w:hint="default" w:ascii="仿宋_GB2312" w:hAnsi="仿宋_GB2312" w:eastAsia="仿宋_GB2312" w:cs="仿宋_GB2312"/>
          <w:color w:val="auto"/>
          <w:sz w:val="32"/>
          <w:szCs w:val="32"/>
          <w:u w:val="none" w:color="auto"/>
          <w:lang w:val="en-US" w:eastAsia="zh-CN"/>
        </w:rPr>
        <w:t>5152m³</w:t>
      </w:r>
      <w:r>
        <w:rPr>
          <w:rFonts w:hint="eastAsia" w:ascii="仿宋_GB2312" w:hAnsi="仿宋_GB2312" w:eastAsia="仿宋_GB2312" w:cs="仿宋_GB2312"/>
          <w:color w:val="auto"/>
          <w:sz w:val="32"/>
          <w:szCs w:val="32"/>
          <w:u w:val="none" w:color="auto"/>
          <w:lang w:val="en-US" w:eastAsia="zh-CN"/>
        </w:rPr>
        <w:t>）回用于生产；浓密罐及浓密池产生的污泥进入板框压滤机脱水，脱水产生的尾泥压滤废水进入清水池，回用于生产，不外排。</w:t>
      </w:r>
    </w:p>
    <w:p w14:paraId="6285BDD1">
      <w:pPr>
        <w:keepNext w:val="0"/>
        <w:keepLines w:val="0"/>
        <w:pageBreakBefore w:val="0"/>
        <w:widowControl w:val="0"/>
        <w:numPr>
          <w:ilvl w:val="0"/>
          <w:numId w:val="0"/>
        </w:numPr>
        <w:kinsoku/>
        <w:wordWrap/>
        <w:overflowPunct/>
        <w:topLinePunct/>
        <w:autoSpaceDE w:val="0"/>
        <w:autoSpaceDN/>
        <w:bidi w:val="0"/>
        <w:adjustRightInd/>
        <w:snapToGrid/>
        <w:spacing w:after="0" w:line="579" w:lineRule="exact"/>
        <w:ind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val="en-US" w:eastAsia="zh-CN"/>
        </w:rPr>
        <w:t>4.</w:t>
      </w:r>
      <w:r>
        <w:rPr>
          <w:rFonts w:hint="eastAsia" w:ascii="仿宋_GB2312" w:hAnsi="仿宋_GB2312" w:eastAsia="仿宋_GB2312" w:cs="仿宋_GB2312"/>
          <w:b/>
          <w:bCs/>
          <w:color w:val="auto"/>
          <w:kern w:val="2"/>
          <w:sz w:val="32"/>
          <w:szCs w:val="32"/>
          <w:u w:val="none" w:color="auto"/>
          <w:lang w:eastAsia="zh-CN"/>
        </w:rPr>
        <w:t>落实噪声污染防治措施。</w:t>
      </w:r>
      <w:r>
        <w:rPr>
          <w:rFonts w:hint="eastAsia" w:ascii="仿宋_GB2312" w:hAnsi="仿宋_GB2312" w:eastAsia="仿宋_GB2312" w:cs="仿宋_GB2312"/>
          <w:color w:val="auto"/>
          <w:kern w:val="2"/>
          <w:sz w:val="32"/>
          <w:szCs w:val="32"/>
          <w:u w:val="none" w:color="auto"/>
          <w:lang w:eastAsia="zh-CN"/>
        </w:rPr>
        <w:t>合理布局，优先选择低噪声设备和工艺，采取减振、隔声、消声等措施有效控制噪声污染，加强厂区内固定设备、运输工具、货物装卸等噪声源管理，同时避免突发噪声扰民。</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执行《工业企业厂界环境噪声排放标准》（GB12348-2008）中的</w:t>
      </w:r>
      <w:r>
        <w:rPr>
          <w:rFonts w:hint="eastAsia" w:ascii="仿宋_GB2312" w:hAnsi="仿宋_GB2312" w:eastAsia="仿宋_GB2312" w:cs="仿宋_GB2312"/>
          <w:color w:val="auto"/>
          <w:sz w:val="32"/>
          <w:szCs w:val="32"/>
          <w:u w:val="none" w:color="auto"/>
          <w:lang w:val="en-US" w:eastAsia="zh-CN"/>
        </w:rPr>
        <w:t>2</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color w:val="auto"/>
          <w:kern w:val="2"/>
          <w:sz w:val="32"/>
          <w:szCs w:val="32"/>
          <w:u w:val="none" w:color="auto"/>
          <w:lang w:eastAsia="zh-CN"/>
        </w:rPr>
        <w:t>。</w:t>
      </w:r>
    </w:p>
    <w:p w14:paraId="53290DBD">
      <w:pPr>
        <w:keepNext w:val="0"/>
        <w:keepLines w:val="0"/>
        <w:pageBreakBefore w:val="0"/>
        <w:widowControl w:val="0"/>
        <w:numPr>
          <w:ilvl w:val="0"/>
          <w:numId w:val="0"/>
        </w:numPr>
        <w:kinsoku/>
        <w:wordWrap/>
        <w:overflowPunct/>
        <w:topLinePunct/>
        <w:autoSpaceDE w:val="0"/>
        <w:autoSpaceDN/>
        <w:bidi w:val="0"/>
        <w:adjustRightInd/>
        <w:snapToGrid/>
        <w:spacing w:after="0" w:line="579" w:lineRule="exact"/>
        <w:ind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5.</w:t>
      </w:r>
      <w:r>
        <w:rPr>
          <w:rFonts w:hint="eastAsia" w:ascii="仿宋_GB2312" w:hAnsi="仿宋_GB2312" w:eastAsia="仿宋_GB2312" w:cs="仿宋_GB2312"/>
          <w:b/>
          <w:bCs/>
          <w:color w:val="auto"/>
          <w:kern w:val="2"/>
          <w:sz w:val="32"/>
          <w:szCs w:val="32"/>
          <w:u w:val="none" w:color="auto"/>
          <w:lang w:eastAsia="zh-CN"/>
        </w:rPr>
        <w:t>落实固体废物管理措施。</w:t>
      </w:r>
      <w:r>
        <w:rPr>
          <w:rFonts w:hint="eastAsia" w:ascii="仿宋_GB2312" w:hAnsi="仿宋_GB2312" w:eastAsia="仿宋_GB2312" w:cs="仿宋_GB2312"/>
          <w:color w:val="auto"/>
          <w:kern w:val="2"/>
          <w:sz w:val="32"/>
          <w:szCs w:val="32"/>
          <w:u w:val="none" w:color="auto"/>
          <w:lang w:eastAsia="zh-CN"/>
        </w:rPr>
        <w:t>按照“减量化、资源化、无害化”原则，对固体废物进行分类收集、处理和处置，并建立健全固体废物管理台账。</w:t>
      </w:r>
      <w:r>
        <w:rPr>
          <w:rFonts w:hint="eastAsia" w:ascii="仿宋_GB2312" w:hAnsi="仿宋_GB2312" w:eastAsia="仿宋_GB2312" w:cs="仿宋_GB2312"/>
          <w:color w:val="auto"/>
          <w:sz w:val="32"/>
          <w:szCs w:val="32"/>
          <w:u w:val="none" w:color="auto"/>
          <w:lang w:val="en-US" w:eastAsia="zh-CN"/>
        </w:rPr>
        <w:t>生活垃圾交由环卫部门处理；燃生物质燃料产生的炉渣收集暂存后外售，全部综合利用；磁选废渣、氟化钙污泥、尾粉、PAC和PAM包装袋、污泥、石灰渣统一收集后外售；含油抹布、废机油、沾染氢氟酸的劳保用品、草酸包装袋等危险废物，暂存于危废间内，定期委托有资质单位处理。</w:t>
      </w:r>
    </w:p>
    <w:p w14:paraId="4E3AB0C5">
      <w:pPr>
        <w:keepNext w:val="0"/>
        <w:keepLines w:val="0"/>
        <w:pageBreakBefore w:val="0"/>
        <w:widowControl w:val="0"/>
        <w:numPr>
          <w:ilvl w:val="0"/>
          <w:numId w:val="0"/>
        </w:numPr>
        <w:kinsoku/>
        <w:wordWrap/>
        <w:overflowPunct/>
        <w:topLinePunct/>
        <w:autoSpaceDE w:val="0"/>
        <w:autoSpaceDN/>
        <w:bidi w:val="0"/>
        <w:adjustRightInd/>
        <w:snapToGrid/>
        <w:spacing w:after="0" w:line="579" w:lineRule="exact"/>
        <w:ind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val="en-US" w:eastAsia="zh-CN"/>
        </w:rPr>
        <w:t>6.落实环境</w:t>
      </w:r>
      <w:r>
        <w:rPr>
          <w:rFonts w:hint="eastAsia" w:ascii="仿宋_GB2312" w:hAnsi="仿宋_GB2312" w:eastAsia="仿宋_GB2312" w:cs="仿宋_GB2312"/>
          <w:b/>
          <w:bCs/>
          <w:color w:val="auto"/>
          <w:kern w:val="2"/>
          <w:sz w:val="32"/>
          <w:szCs w:val="32"/>
          <w:u w:val="none" w:color="auto"/>
          <w:lang w:eastAsia="zh-CN"/>
        </w:rPr>
        <w:t>风险防范措施。</w:t>
      </w:r>
      <w:r>
        <w:rPr>
          <w:rFonts w:hint="eastAsia" w:ascii="仿宋_GB2312" w:hAnsi="仿宋_GB2312" w:eastAsia="仿宋_GB2312" w:cs="仿宋_GB2312"/>
          <w:kern w:val="2"/>
          <w:sz w:val="32"/>
          <w:szCs w:val="32"/>
          <w:lang w:val="en-US" w:eastAsia="zh-CN" w:bidi="ar-SA"/>
        </w:rPr>
        <w:t>建立“三级防控”机制</w:t>
      </w:r>
      <w:r>
        <w:rPr>
          <w:rFonts w:hint="eastAsia" w:ascii="仿宋_GB2312" w:hAnsi="仿宋_GB2312" w:eastAsia="仿宋_GB2312" w:cs="仿宋_GB2312"/>
          <w:color w:val="auto"/>
          <w:kern w:val="2"/>
          <w:sz w:val="32"/>
          <w:szCs w:val="32"/>
          <w:u w:val="none" w:color="auto"/>
          <w:lang w:eastAsia="zh-CN"/>
        </w:rPr>
        <w:t>，</w:t>
      </w:r>
      <w:r>
        <w:rPr>
          <w:rFonts w:hint="eastAsia" w:ascii="仿宋_GB2312" w:hAnsi="仿宋_GB2312" w:eastAsia="仿宋_GB2312" w:cs="仿宋_GB2312"/>
          <w:sz w:val="32"/>
          <w:szCs w:val="32"/>
          <w:lang w:val="en-US" w:eastAsia="zh-CN"/>
        </w:rPr>
        <w:t>全厂实施分区防渗，危废库、废水处理设施、酸洗相关设施所在区域为重点防渗区，氢氟酸储罐、中转桶、浸酸罐、调酸池设置在围堰内，设置氢氟酸泄露报警装置、泄露启动喷淋装置，</w:t>
      </w:r>
      <w:r>
        <w:rPr>
          <w:rFonts w:hint="eastAsia" w:ascii="仿宋_GB2312" w:hAnsi="仿宋_GB2312" w:eastAsia="仿宋_GB2312" w:cs="仿宋_GB2312"/>
          <w:kern w:val="2"/>
          <w:sz w:val="32"/>
          <w:szCs w:val="32"/>
          <w:lang w:val="en-US" w:eastAsia="zh-CN" w:bidi="ar-SA"/>
        </w:rPr>
        <w:t>设置1个事故池</w:t>
      </w:r>
      <w:r>
        <w:rPr>
          <w:rFonts w:hint="eastAsia" w:ascii="仿宋_GB2312" w:hAnsi="仿宋_GB2312" w:eastAsia="仿宋_GB2312" w:cs="仿宋_GB2312"/>
          <w:sz w:val="32"/>
          <w:szCs w:val="32"/>
          <w:lang w:val="en-US" w:eastAsia="zh-CN"/>
        </w:rPr>
        <w:t>（300m³）</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1个地下水监控井。</w:t>
      </w:r>
      <w:r>
        <w:rPr>
          <w:rFonts w:hint="eastAsia" w:ascii="仿宋_GB2312" w:hAnsi="仿宋_GB2312" w:eastAsia="仿宋_GB2312" w:cs="仿宋_GB2312"/>
          <w:color w:val="auto"/>
          <w:sz w:val="32"/>
          <w:szCs w:val="32"/>
          <w:u w:val="none" w:color="auto"/>
          <w:lang w:val="en-US" w:eastAsia="zh-CN"/>
        </w:rPr>
        <w:t>严格落实事故防范和应急措施并加强管理，加强各类生产设备的检修、保养及人员培训，储备相关应急物资并组织应急演练，确保环境风险得到有效控制。项目各项环保设施的设计、建设、运行、管理应符合安全生产要求。</w:t>
      </w:r>
    </w:p>
    <w:p w14:paraId="3CC9AD71">
      <w:pPr>
        <w:keepNext w:val="0"/>
        <w:keepLines w:val="0"/>
        <w:pageBreakBefore w:val="0"/>
        <w:widowControl w:val="0"/>
        <w:numPr>
          <w:ilvl w:val="0"/>
          <w:numId w:val="0"/>
        </w:numPr>
        <w:kinsoku/>
        <w:wordWrap/>
        <w:overflowPunct/>
        <w:topLinePunct/>
        <w:autoSpaceDE w:val="0"/>
        <w:autoSpaceDN/>
        <w:bidi w:val="0"/>
        <w:adjustRightInd/>
        <w:snapToGrid/>
        <w:spacing w:after="0" w:line="579" w:lineRule="exact"/>
        <w:ind w:firstLine="640" w:firstLineChars="200"/>
        <w:jc w:val="both"/>
        <w:textAlignment w:val="auto"/>
        <w:outlineLvl w:val="9"/>
        <w:rPr>
          <w:rFonts w:hint="default"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eastAsia="zh-CN"/>
        </w:rPr>
        <w:t>三、</w:t>
      </w:r>
      <w:r>
        <w:rPr>
          <w:rFonts w:hint="eastAsia" w:ascii="仿宋_GB2312" w:hAnsi="仿宋_GB2312" w:eastAsia="仿宋_GB2312" w:cs="仿宋_GB2312"/>
          <w:color w:val="auto"/>
          <w:kern w:val="2"/>
          <w:sz w:val="32"/>
          <w:szCs w:val="32"/>
          <w:u w:val="none" w:color="auto"/>
          <w:lang w:val="en-US" w:eastAsia="zh-CN"/>
        </w:rPr>
        <w:t>本期项目污染物年排放总量控制指标为</w:t>
      </w:r>
      <w:r>
        <w:rPr>
          <w:rFonts w:hint="eastAsia" w:ascii="仿宋_GB2312" w:hAnsi="仿宋_GB2312" w:eastAsia="仿宋_GB2312" w:cs="仿宋_GB2312"/>
          <w:b w:val="0"/>
          <w:bCs w:val="0"/>
          <w:color w:val="auto"/>
          <w:kern w:val="2"/>
          <w:sz w:val="32"/>
          <w:szCs w:val="32"/>
          <w:u w:val="none" w:color="auto"/>
          <w:lang w:val="en-US" w:eastAsia="zh-CN"/>
        </w:rPr>
        <w:t>：颗粒物≤30.30</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b w:val="0"/>
          <w:bCs w:val="0"/>
          <w:color w:val="auto"/>
          <w:kern w:val="2"/>
          <w:sz w:val="32"/>
          <w:szCs w:val="32"/>
          <w:u w:val="none" w:color="auto"/>
          <w:lang w:val="en-US" w:eastAsia="zh-CN"/>
        </w:rPr>
        <w:t>、二氧化硫≤2.67</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b w:val="0"/>
          <w:bCs w:val="0"/>
          <w:color w:val="auto"/>
          <w:kern w:val="2"/>
          <w:sz w:val="32"/>
          <w:szCs w:val="32"/>
          <w:u w:val="none" w:color="auto"/>
          <w:lang w:val="en-US" w:eastAsia="zh-CN"/>
        </w:rPr>
        <w:t>、氮氧化物≤6.05</w:t>
      </w:r>
      <w:r>
        <w:rPr>
          <w:rFonts w:hint="eastAsia" w:ascii="仿宋_GB2312" w:hAnsi="仿宋_GB2312" w:eastAsia="仿宋_GB2312" w:cs="仿宋_GB2312"/>
          <w:bCs/>
          <w:color w:val="auto"/>
          <w:kern w:val="2"/>
          <w:sz w:val="32"/>
          <w:szCs w:val="32"/>
          <w:u w:val="none" w:color="auto"/>
          <w:lang w:val="en-US" w:eastAsia="zh-CN" w:bidi="ar-SA"/>
        </w:rPr>
        <w:t>t/a</w:t>
      </w:r>
      <w:r>
        <w:rPr>
          <w:rFonts w:hint="eastAsia" w:ascii="仿宋_GB2312" w:hAnsi="仿宋_GB2312" w:eastAsia="仿宋_GB2312" w:cs="仿宋_GB2312"/>
          <w:b w:val="0"/>
          <w:bCs w:val="0"/>
          <w:color w:val="auto"/>
          <w:kern w:val="2"/>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二氧化硫、氮氧化物指标须通过排污权交易的方式分别获得2.67t、6.05t。</w:t>
      </w:r>
    </w:p>
    <w:p w14:paraId="2B71E0D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四、项目环境影响报告表经批准后，项目的性质、规模、地点或者防治污染、防止生态破坏的措施发生重大变动的，应当重新报批该项目的环境影响报告表。</w:t>
      </w:r>
    </w:p>
    <w:p w14:paraId="312E73DD">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须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六、你公司应在收到本批复后7个工作日内，将批复及批准的环评报告文本送至岳阳市岳阳县生态环境保护综合行政执法大队，日常环境监管由岳阳市岳阳县生态环境保护综合行政执法大队具体负责。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4B129CEE">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564FC18">
      <w:pPr>
        <w:pStyle w:val="2"/>
        <w:rPr>
          <w:rFonts w:hint="eastAsia" w:ascii="仿宋_GB2312" w:hAnsi="仿宋_GB2312" w:eastAsia="仿宋_GB2312" w:cs="仿宋_GB2312"/>
          <w:color w:val="auto"/>
          <w:sz w:val="32"/>
          <w:szCs w:val="32"/>
          <w:u w:val="none" w:color="auto"/>
          <w:lang w:val="en-US" w:eastAsia="zh-CN"/>
        </w:rPr>
      </w:pPr>
    </w:p>
    <w:p w14:paraId="16760D1F">
      <w:pPr>
        <w:rPr>
          <w:rFonts w:hint="eastAsia"/>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760" w:tblpY="3220"/>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080174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tcPr>
          <w:p w14:paraId="48BE11DE">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抄送：鹿角区域发展服务中心、岳阳市岳阳县生态环境保护综合行政执法大队、湖南朋乐达环保科技有限公司</w:t>
            </w:r>
          </w:p>
        </w:tc>
      </w:tr>
    </w:tbl>
    <w:p w14:paraId="47D84D0F">
      <w:pPr>
        <w:keepNext w:val="0"/>
        <w:keepLines w:val="0"/>
        <w:pageBreakBefore w:val="0"/>
        <w:widowControl w:val="0"/>
        <w:kinsoku/>
        <w:wordWrap/>
        <w:overflowPunct/>
        <w:topLinePunct/>
        <w:autoSpaceDE w:val="0"/>
        <w:autoSpaceDN/>
        <w:bidi w:val="0"/>
        <w:adjustRightInd/>
        <w:snapToGrid/>
        <w:spacing w:after="0" w:line="579"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sz w:val="32"/>
          <w:szCs w:val="32"/>
          <w:u w:val="none" w:color="auto"/>
          <w:lang w:val="en-US" w:eastAsia="zh-CN"/>
        </w:rPr>
        <w:t xml:space="preserve">                            2025年10月23日</w:t>
      </w:r>
    </w:p>
    <w:p w14:paraId="01366EF1">
      <w:pPr>
        <w:keepNext w:val="0"/>
        <w:keepLines w:val="0"/>
        <w:pageBreakBefore w:val="0"/>
        <w:widowControl w:val="0"/>
        <w:kinsoku/>
        <w:wordWrap/>
        <w:overflowPunct/>
        <w:topLinePunct/>
        <w:autoSpaceDE w:val="0"/>
        <w:autoSpaceDN/>
        <w:bidi w:val="0"/>
        <w:adjustRightInd/>
        <w:snapToGrid/>
        <w:spacing w:after="0" w:line="579" w:lineRule="exact"/>
        <w:jc w:val="left"/>
        <w:textAlignment w:val="auto"/>
        <w:outlineLvl w:val="9"/>
        <w:rPr>
          <w:rFonts w:hint="eastAsia" w:ascii="仿宋_GB2312" w:hAnsi="仿宋_GB2312" w:eastAsia="仿宋_GB2312" w:cs="仿宋_GB2312"/>
          <w:color w:val="auto"/>
          <w:kern w:val="2"/>
          <w:sz w:val="32"/>
          <w:szCs w:val="32"/>
          <w:u w:val="none" w:color="auto"/>
          <w:lang w:eastAsia="zh-CN"/>
        </w:rPr>
      </w:pP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3D8BD71-EC4D-45C6-9B23-D223A50D054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6957DD3-40CA-4D7C-9008-F98E4824F6C5}"/>
  </w:font>
  <w:font w:name="方正小标宋简体">
    <w:panose1 w:val="02000000000000000000"/>
    <w:charset w:val="86"/>
    <w:family w:val="auto"/>
    <w:pitch w:val="default"/>
    <w:sig w:usb0="00000001" w:usb1="08000000" w:usb2="00000000" w:usb3="00000000" w:csb0="00040000" w:csb1="00000000"/>
    <w:embedRegular r:id="rId3" w:fontKey="{8C5188F2-188C-4F95-B7CD-DD89F16671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C14DE29"/>
    <w:multiLevelType w:val="singleLevel"/>
    <w:tmpl w:val="2C14DE2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AC6DF5"/>
    <w:rsid w:val="01BD7A4F"/>
    <w:rsid w:val="01BE3166"/>
    <w:rsid w:val="0213068F"/>
    <w:rsid w:val="023E272A"/>
    <w:rsid w:val="025A79EB"/>
    <w:rsid w:val="025F4662"/>
    <w:rsid w:val="026F1557"/>
    <w:rsid w:val="02842376"/>
    <w:rsid w:val="02CB619B"/>
    <w:rsid w:val="02DF57A3"/>
    <w:rsid w:val="02F049A8"/>
    <w:rsid w:val="031D766C"/>
    <w:rsid w:val="03511C9F"/>
    <w:rsid w:val="035F24F7"/>
    <w:rsid w:val="03CB65F1"/>
    <w:rsid w:val="03CC6E75"/>
    <w:rsid w:val="03EE0393"/>
    <w:rsid w:val="0413326D"/>
    <w:rsid w:val="043E1FEF"/>
    <w:rsid w:val="044612E1"/>
    <w:rsid w:val="050A007D"/>
    <w:rsid w:val="057E0254"/>
    <w:rsid w:val="057E74F5"/>
    <w:rsid w:val="05A351AD"/>
    <w:rsid w:val="05B66C8F"/>
    <w:rsid w:val="05C515E8"/>
    <w:rsid w:val="064C0FFA"/>
    <w:rsid w:val="06A65CED"/>
    <w:rsid w:val="06AA36D4"/>
    <w:rsid w:val="06E320FF"/>
    <w:rsid w:val="06F139CB"/>
    <w:rsid w:val="06FC4B75"/>
    <w:rsid w:val="074A1D85"/>
    <w:rsid w:val="07506C6F"/>
    <w:rsid w:val="077C3DB2"/>
    <w:rsid w:val="079C288F"/>
    <w:rsid w:val="07D45A45"/>
    <w:rsid w:val="07DD536D"/>
    <w:rsid w:val="07F9103A"/>
    <w:rsid w:val="08034185"/>
    <w:rsid w:val="08487B10"/>
    <w:rsid w:val="0869348D"/>
    <w:rsid w:val="087723D8"/>
    <w:rsid w:val="089112ED"/>
    <w:rsid w:val="0899026A"/>
    <w:rsid w:val="08BB636A"/>
    <w:rsid w:val="08DD43F8"/>
    <w:rsid w:val="08E03040"/>
    <w:rsid w:val="08FD5135"/>
    <w:rsid w:val="091A12E3"/>
    <w:rsid w:val="096802A0"/>
    <w:rsid w:val="097C485E"/>
    <w:rsid w:val="0985037D"/>
    <w:rsid w:val="098A45D8"/>
    <w:rsid w:val="09A247D0"/>
    <w:rsid w:val="09A31262"/>
    <w:rsid w:val="09A35A12"/>
    <w:rsid w:val="0A0600E2"/>
    <w:rsid w:val="0A2D14EA"/>
    <w:rsid w:val="0A5C568E"/>
    <w:rsid w:val="0A6A05DC"/>
    <w:rsid w:val="0AB96B2B"/>
    <w:rsid w:val="0AC70E39"/>
    <w:rsid w:val="0AD100C7"/>
    <w:rsid w:val="0B381467"/>
    <w:rsid w:val="0B76450E"/>
    <w:rsid w:val="0BDB07C3"/>
    <w:rsid w:val="0BED24F2"/>
    <w:rsid w:val="0C00696A"/>
    <w:rsid w:val="0C4F3999"/>
    <w:rsid w:val="0C963102"/>
    <w:rsid w:val="0CED3C33"/>
    <w:rsid w:val="0D040924"/>
    <w:rsid w:val="0D501777"/>
    <w:rsid w:val="0D621D65"/>
    <w:rsid w:val="0D74395F"/>
    <w:rsid w:val="0DA11135"/>
    <w:rsid w:val="0DBB4191"/>
    <w:rsid w:val="0DEC10E5"/>
    <w:rsid w:val="0E0B61DD"/>
    <w:rsid w:val="0E803C6F"/>
    <w:rsid w:val="0EDF4D64"/>
    <w:rsid w:val="0F4E1CE6"/>
    <w:rsid w:val="0F5764BE"/>
    <w:rsid w:val="0F645140"/>
    <w:rsid w:val="0F7E2715"/>
    <w:rsid w:val="0FD618E0"/>
    <w:rsid w:val="0FF7347F"/>
    <w:rsid w:val="1051635E"/>
    <w:rsid w:val="10541406"/>
    <w:rsid w:val="105B6114"/>
    <w:rsid w:val="10857989"/>
    <w:rsid w:val="10CA1840"/>
    <w:rsid w:val="10DB57FB"/>
    <w:rsid w:val="11627BB4"/>
    <w:rsid w:val="116E526D"/>
    <w:rsid w:val="11780A86"/>
    <w:rsid w:val="11FC5AF2"/>
    <w:rsid w:val="124D4C3E"/>
    <w:rsid w:val="126104A5"/>
    <w:rsid w:val="12FB2C35"/>
    <w:rsid w:val="139454AD"/>
    <w:rsid w:val="13A9082F"/>
    <w:rsid w:val="140A109B"/>
    <w:rsid w:val="140C087D"/>
    <w:rsid w:val="147F6DE6"/>
    <w:rsid w:val="148D505F"/>
    <w:rsid w:val="14BC76F2"/>
    <w:rsid w:val="14CA4CFE"/>
    <w:rsid w:val="15820C4A"/>
    <w:rsid w:val="15862342"/>
    <w:rsid w:val="15C404EB"/>
    <w:rsid w:val="15C97C77"/>
    <w:rsid w:val="162D761F"/>
    <w:rsid w:val="16B849F9"/>
    <w:rsid w:val="16CD47FE"/>
    <w:rsid w:val="16EB25B6"/>
    <w:rsid w:val="171B41FF"/>
    <w:rsid w:val="172B528E"/>
    <w:rsid w:val="173463CD"/>
    <w:rsid w:val="17614824"/>
    <w:rsid w:val="176E0569"/>
    <w:rsid w:val="18182FAD"/>
    <w:rsid w:val="1822771A"/>
    <w:rsid w:val="188A0E26"/>
    <w:rsid w:val="18C24ABD"/>
    <w:rsid w:val="18C55E0A"/>
    <w:rsid w:val="18F558C8"/>
    <w:rsid w:val="18FE27B3"/>
    <w:rsid w:val="1925210B"/>
    <w:rsid w:val="19792055"/>
    <w:rsid w:val="19A67C12"/>
    <w:rsid w:val="19BA441C"/>
    <w:rsid w:val="19F33BB6"/>
    <w:rsid w:val="1A113951"/>
    <w:rsid w:val="1A4C760D"/>
    <w:rsid w:val="1A6E25BB"/>
    <w:rsid w:val="1A9D14C5"/>
    <w:rsid w:val="1B462E07"/>
    <w:rsid w:val="1B656D35"/>
    <w:rsid w:val="1B9F76DE"/>
    <w:rsid w:val="1BA70798"/>
    <w:rsid w:val="1C295FB5"/>
    <w:rsid w:val="1C4A6D5F"/>
    <w:rsid w:val="1C8956D6"/>
    <w:rsid w:val="1C9B72E6"/>
    <w:rsid w:val="1CA64B79"/>
    <w:rsid w:val="1CDF74BF"/>
    <w:rsid w:val="1D1F4CC2"/>
    <w:rsid w:val="1D235D75"/>
    <w:rsid w:val="1D24052A"/>
    <w:rsid w:val="1D2422D8"/>
    <w:rsid w:val="1D4C1EFC"/>
    <w:rsid w:val="1D60599D"/>
    <w:rsid w:val="1D684B88"/>
    <w:rsid w:val="1DAA7455"/>
    <w:rsid w:val="1DB16262"/>
    <w:rsid w:val="1DC55976"/>
    <w:rsid w:val="1DF62001"/>
    <w:rsid w:val="1E0E6229"/>
    <w:rsid w:val="1E1037B0"/>
    <w:rsid w:val="1E4852D2"/>
    <w:rsid w:val="1E5D127C"/>
    <w:rsid w:val="1EAD3EF6"/>
    <w:rsid w:val="1EE461C3"/>
    <w:rsid w:val="1EE63371"/>
    <w:rsid w:val="1F6339D0"/>
    <w:rsid w:val="1FDD6B7C"/>
    <w:rsid w:val="206F42A1"/>
    <w:rsid w:val="208009CB"/>
    <w:rsid w:val="21167FF4"/>
    <w:rsid w:val="213A47C0"/>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8B139E"/>
    <w:rsid w:val="22AD2D70"/>
    <w:rsid w:val="22B71C07"/>
    <w:rsid w:val="22DE7DFC"/>
    <w:rsid w:val="23105FF1"/>
    <w:rsid w:val="233D3D5B"/>
    <w:rsid w:val="23FA3D93"/>
    <w:rsid w:val="24211873"/>
    <w:rsid w:val="2504136D"/>
    <w:rsid w:val="256166A7"/>
    <w:rsid w:val="256C0CC0"/>
    <w:rsid w:val="25982BAC"/>
    <w:rsid w:val="25C26D29"/>
    <w:rsid w:val="262B521C"/>
    <w:rsid w:val="26424BA7"/>
    <w:rsid w:val="266C291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41ABE"/>
    <w:rsid w:val="2898158E"/>
    <w:rsid w:val="291475E8"/>
    <w:rsid w:val="296631C1"/>
    <w:rsid w:val="296D0128"/>
    <w:rsid w:val="29B474E1"/>
    <w:rsid w:val="29B9024C"/>
    <w:rsid w:val="2A187669"/>
    <w:rsid w:val="2A280EB2"/>
    <w:rsid w:val="2A3B53D2"/>
    <w:rsid w:val="2A875A05"/>
    <w:rsid w:val="2ABE7231"/>
    <w:rsid w:val="2B4C75CA"/>
    <w:rsid w:val="2B710C95"/>
    <w:rsid w:val="2B902987"/>
    <w:rsid w:val="2B9351F9"/>
    <w:rsid w:val="2C301C58"/>
    <w:rsid w:val="2C385E66"/>
    <w:rsid w:val="2C4E7372"/>
    <w:rsid w:val="2CD755B9"/>
    <w:rsid w:val="2CDC2BCF"/>
    <w:rsid w:val="2CF21AC4"/>
    <w:rsid w:val="2D2A56E9"/>
    <w:rsid w:val="2D930288"/>
    <w:rsid w:val="2DB023AA"/>
    <w:rsid w:val="2DB14564"/>
    <w:rsid w:val="2DEA745F"/>
    <w:rsid w:val="2E2A302D"/>
    <w:rsid w:val="2E3F61C3"/>
    <w:rsid w:val="2EC27BA3"/>
    <w:rsid w:val="2EED2E72"/>
    <w:rsid w:val="2F096E91"/>
    <w:rsid w:val="2F5C7FF7"/>
    <w:rsid w:val="2F633134"/>
    <w:rsid w:val="2F75482D"/>
    <w:rsid w:val="2FCE6157"/>
    <w:rsid w:val="2FD63906"/>
    <w:rsid w:val="3034062C"/>
    <w:rsid w:val="306F2997"/>
    <w:rsid w:val="30CB0F91"/>
    <w:rsid w:val="30E20088"/>
    <w:rsid w:val="311D7312"/>
    <w:rsid w:val="3196159F"/>
    <w:rsid w:val="31F66552"/>
    <w:rsid w:val="324D7348"/>
    <w:rsid w:val="32A54152"/>
    <w:rsid w:val="32AB72CC"/>
    <w:rsid w:val="32DA1DBA"/>
    <w:rsid w:val="33147A5D"/>
    <w:rsid w:val="331B3C61"/>
    <w:rsid w:val="33A94237"/>
    <w:rsid w:val="33D509D3"/>
    <w:rsid w:val="34067C98"/>
    <w:rsid w:val="340845B7"/>
    <w:rsid w:val="34151734"/>
    <w:rsid w:val="342F7A89"/>
    <w:rsid w:val="34310CEE"/>
    <w:rsid w:val="34421632"/>
    <w:rsid w:val="34682E77"/>
    <w:rsid w:val="350C3735"/>
    <w:rsid w:val="35221A7E"/>
    <w:rsid w:val="35327830"/>
    <w:rsid w:val="35436ABE"/>
    <w:rsid w:val="35584DBD"/>
    <w:rsid w:val="3589693D"/>
    <w:rsid w:val="35B44695"/>
    <w:rsid w:val="36050F29"/>
    <w:rsid w:val="361C52BB"/>
    <w:rsid w:val="361D7638"/>
    <w:rsid w:val="363C1B66"/>
    <w:rsid w:val="36A164EA"/>
    <w:rsid w:val="36AE703A"/>
    <w:rsid w:val="3715740A"/>
    <w:rsid w:val="377A733E"/>
    <w:rsid w:val="377E47D8"/>
    <w:rsid w:val="3780008B"/>
    <w:rsid w:val="37A657E2"/>
    <w:rsid w:val="37A662B4"/>
    <w:rsid w:val="37C73FBC"/>
    <w:rsid w:val="37CF5133"/>
    <w:rsid w:val="382C4A15"/>
    <w:rsid w:val="38EC18D6"/>
    <w:rsid w:val="391E1E7A"/>
    <w:rsid w:val="39231E47"/>
    <w:rsid w:val="39B47A40"/>
    <w:rsid w:val="39F218E4"/>
    <w:rsid w:val="39FA0B89"/>
    <w:rsid w:val="3A2E433E"/>
    <w:rsid w:val="3A66569A"/>
    <w:rsid w:val="3A920D71"/>
    <w:rsid w:val="3AA27206"/>
    <w:rsid w:val="3AB72586"/>
    <w:rsid w:val="3BCA0854"/>
    <w:rsid w:val="3BD333EF"/>
    <w:rsid w:val="3BF84CC8"/>
    <w:rsid w:val="3C095928"/>
    <w:rsid w:val="3C25627C"/>
    <w:rsid w:val="3C2A6DE5"/>
    <w:rsid w:val="3C32609B"/>
    <w:rsid w:val="3C8A3B4D"/>
    <w:rsid w:val="3C922B13"/>
    <w:rsid w:val="3C9B2663"/>
    <w:rsid w:val="3CA60B04"/>
    <w:rsid w:val="3CBC6CA3"/>
    <w:rsid w:val="3CCD2793"/>
    <w:rsid w:val="3CFA2A4A"/>
    <w:rsid w:val="3D62079E"/>
    <w:rsid w:val="3D8726E3"/>
    <w:rsid w:val="3DB07127"/>
    <w:rsid w:val="3DFF7EA5"/>
    <w:rsid w:val="3E3A651A"/>
    <w:rsid w:val="3E3E08AE"/>
    <w:rsid w:val="3E487D2A"/>
    <w:rsid w:val="3E6F7B87"/>
    <w:rsid w:val="3E9D4B5C"/>
    <w:rsid w:val="3EAE3C1F"/>
    <w:rsid w:val="3EE12D6D"/>
    <w:rsid w:val="3EF913BF"/>
    <w:rsid w:val="3F2F7F48"/>
    <w:rsid w:val="3F6472E0"/>
    <w:rsid w:val="3F6B44E7"/>
    <w:rsid w:val="3FA23805"/>
    <w:rsid w:val="3FB6105E"/>
    <w:rsid w:val="404801EB"/>
    <w:rsid w:val="404A7B97"/>
    <w:rsid w:val="40515C61"/>
    <w:rsid w:val="40673BF4"/>
    <w:rsid w:val="409D3379"/>
    <w:rsid w:val="40EA7BCC"/>
    <w:rsid w:val="40F55BB6"/>
    <w:rsid w:val="40F736DC"/>
    <w:rsid w:val="40F82764"/>
    <w:rsid w:val="41092C89"/>
    <w:rsid w:val="41156A5C"/>
    <w:rsid w:val="4171348E"/>
    <w:rsid w:val="41BE6C54"/>
    <w:rsid w:val="41E04E0C"/>
    <w:rsid w:val="41E45F48"/>
    <w:rsid w:val="41F35D8B"/>
    <w:rsid w:val="41F91AF3"/>
    <w:rsid w:val="42500DFE"/>
    <w:rsid w:val="42682AE5"/>
    <w:rsid w:val="426C4BF7"/>
    <w:rsid w:val="42BA2048"/>
    <w:rsid w:val="42E64203"/>
    <w:rsid w:val="42F6152E"/>
    <w:rsid w:val="431C742A"/>
    <w:rsid w:val="43705CC8"/>
    <w:rsid w:val="439F5B10"/>
    <w:rsid w:val="43DF35A3"/>
    <w:rsid w:val="43EE04C7"/>
    <w:rsid w:val="43FD2DB8"/>
    <w:rsid w:val="44140FAD"/>
    <w:rsid w:val="441B2154"/>
    <w:rsid w:val="442440CF"/>
    <w:rsid w:val="445175A7"/>
    <w:rsid w:val="44AB6361"/>
    <w:rsid w:val="44D2693A"/>
    <w:rsid w:val="45451E45"/>
    <w:rsid w:val="45536545"/>
    <w:rsid w:val="459D62AC"/>
    <w:rsid w:val="45F44CA7"/>
    <w:rsid w:val="465B6E12"/>
    <w:rsid w:val="467A2DE5"/>
    <w:rsid w:val="46DF6675"/>
    <w:rsid w:val="46F26E20"/>
    <w:rsid w:val="46FF32EA"/>
    <w:rsid w:val="472052AE"/>
    <w:rsid w:val="475734B5"/>
    <w:rsid w:val="47574ED5"/>
    <w:rsid w:val="475F23DC"/>
    <w:rsid w:val="47615D53"/>
    <w:rsid w:val="478A23A7"/>
    <w:rsid w:val="47D3043F"/>
    <w:rsid w:val="481E1E96"/>
    <w:rsid w:val="483E7E42"/>
    <w:rsid w:val="48825CA5"/>
    <w:rsid w:val="49204116"/>
    <w:rsid w:val="4924528A"/>
    <w:rsid w:val="493475C8"/>
    <w:rsid w:val="4961203A"/>
    <w:rsid w:val="49755955"/>
    <w:rsid w:val="4A0C644A"/>
    <w:rsid w:val="4A2D43AB"/>
    <w:rsid w:val="4ADD3943"/>
    <w:rsid w:val="4AE747C1"/>
    <w:rsid w:val="4B611D5C"/>
    <w:rsid w:val="4B906C07"/>
    <w:rsid w:val="4BCE14DD"/>
    <w:rsid w:val="4BEC5B04"/>
    <w:rsid w:val="4C0B4C6C"/>
    <w:rsid w:val="4C2309AA"/>
    <w:rsid w:val="4C271545"/>
    <w:rsid w:val="4C4C343B"/>
    <w:rsid w:val="4C6813E7"/>
    <w:rsid w:val="4C6A1041"/>
    <w:rsid w:val="4C7B10AA"/>
    <w:rsid w:val="4CD40EDA"/>
    <w:rsid w:val="4CD6689C"/>
    <w:rsid w:val="4CDE39A2"/>
    <w:rsid w:val="4CF213BF"/>
    <w:rsid w:val="4D0311BE"/>
    <w:rsid w:val="4D795F1D"/>
    <w:rsid w:val="4DD17574"/>
    <w:rsid w:val="4DE03F72"/>
    <w:rsid w:val="4E771E1B"/>
    <w:rsid w:val="4E813215"/>
    <w:rsid w:val="4EA50069"/>
    <w:rsid w:val="4F304531"/>
    <w:rsid w:val="4F433012"/>
    <w:rsid w:val="4F617011"/>
    <w:rsid w:val="4F675A90"/>
    <w:rsid w:val="4F77574C"/>
    <w:rsid w:val="503E21BB"/>
    <w:rsid w:val="504B31B4"/>
    <w:rsid w:val="5051480E"/>
    <w:rsid w:val="50B72EA8"/>
    <w:rsid w:val="512A18AC"/>
    <w:rsid w:val="513C0D41"/>
    <w:rsid w:val="51C66F43"/>
    <w:rsid w:val="51CD6957"/>
    <w:rsid w:val="52174C68"/>
    <w:rsid w:val="526B5CD8"/>
    <w:rsid w:val="52902274"/>
    <w:rsid w:val="52AF332A"/>
    <w:rsid w:val="52C218D9"/>
    <w:rsid w:val="52EC1163"/>
    <w:rsid w:val="52F757BE"/>
    <w:rsid w:val="53303F2B"/>
    <w:rsid w:val="53B37937"/>
    <w:rsid w:val="54322F51"/>
    <w:rsid w:val="548B2661"/>
    <w:rsid w:val="54C74C42"/>
    <w:rsid w:val="54DB18B7"/>
    <w:rsid w:val="54F2180D"/>
    <w:rsid w:val="550D6174"/>
    <w:rsid w:val="551045DB"/>
    <w:rsid w:val="552661B5"/>
    <w:rsid w:val="556A6D47"/>
    <w:rsid w:val="5596306C"/>
    <w:rsid w:val="55B313A7"/>
    <w:rsid w:val="55FA2AB8"/>
    <w:rsid w:val="56114DE8"/>
    <w:rsid w:val="561A06CC"/>
    <w:rsid w:val="5654264E"/>
    <w:rsid w:val="56AD263F"/>
    <w:rsid w:val="56BD0B46"/>
    <w:rsid w:val="56C06025"/>
    <w:rsid w:val="56CB143B"/>
    <w:rsid w:val="57131579"/>
    <w:rsid w:val="573B5599"/>
    <w:rsid w:val="57735E1A"/>
    <w:rsid w:val="57846136"/>
    <w:rsid w:val="579D6934"/>
    <w:rsid w:val="57AD7A56"/>
    <w:rsid w:val="57C14700"/>
    <w:rsid w:val="57C63C03"/>
    <w:rsid w:val="57C7431A"/>
    <w:rsid w:val="57CF4718"/>
    <w:rsid w:val="57E91CCB"/>
    <w:rsid w:val="58942BC6"/>
    <w:rsid w:val="58C66426"/>
    <w:rsid w:val="58CB127E"/>
    <w:rsid w:val="58D26971"/>
    <w:rsid w:val="58E31E69"/>
    <w:rsid w:val="58FE6FEB"/>
    <w:rsid w:val="59BE0066"/>
    <w:rsid w:val="59C03AED"/>
    <w:rsid w:val="59D1568E"/>
    <w:rsid w:val="59FD7B5D"/>
    <w:rsid w:val="5A822260"/>
    <w:rsid w:val="5A843DDB"/>
    <w:rsid w:val="5A955FE8"/>
    <w:rsid w:val="5ABC3575"/>
    <w:rsid w:val="5ABF6AC1"/>
    <w:rsid w:val="5ACC18A1"/>
    <w:rsid w:val="5B0959EC"/>
    <w:rsid w:val="5B783826"/>
    <w:rsid w:val="5BC86634"/>
    <w:rsid w:val="5CD8488B"/>
    <w:rsid w:val="5DB80F79"/>
    <w:rsid w:val="5EF24640"/>
    <w:rsid w:val="5F261904"/>
    <w:rsid w:val="5F7D78A8"/>
    <w:rsid w:val="5FA34F4D"/>
    <w:rsid w:val="5FC1162D"/>
    <w:rsid w:val="60E31383"/>
    <w:rsid w:val="61190980"/>
    <w:rsid w:val="61795FBE"/>
    <w:rsid w:val="61B74A96"/>
    <w:rsid w:val="61BF548E"/>
    <w:rsid w:val="61DA6504"/>
    <w:rsid w:val="621451E0"/>
    <w:rsid w:val="623A31B8"/>
    <w:rsid w:val="62DA4EE0"/>
    <w:rsid w:val="636724EC"/>
    <w:rsid w:val="63835861"/>
    <w:rsid w:val="63E3341E"/>
    <w:rsid w:val="64455F3B"/>
    <w:rsid w:val="64B14D8B"/>
    <w:rsid w:val="64CB4AEA"/>
    <w:rsid w:val="64D96C0F"/>
    <w:rsid w:val="6524775C"/>
    <w:rsid w:val="655C477C"/>
    <w:rsid w:val="6562264B"/>
    <w:rsid w:val="65670279"/>
    <w:rsid w:val="661F067B"/>
    <w:rsid w:val="66482160"/>
    <w:rsid w:val="66486845"/>
    <w:rsid w:val="66611A7D"/>
    <w:rsid w:val="66B912B0"/>
    <w:rsid w:val="66CE5F5E"/>
    <w:rsid w:val="66F425DE"/>
    <w:rsid w:val="6759214B"/>
    <w:rsid w:val="67795BE8"/>
    <w:rsid w:val="681F6013"/>
    <w:rsid w:val="68212C69"/>
    <w:rsid w:val="68AF4354"/>
    <w:rsid w:val="68B74DF5"/>
    <w:rsid w:val="68CF0917"/>
    <w:rsid w:val="68E1064A"/>
    <w:rsid w:val="69143BC8"/>
    <w:rsid w:val="69AA4EE0"/>
    <w:rsid w:val="69D012B2"/>
    <w:rsid w:val="69F108B1"/>
    <w:rsid w:val="6A5A6906"/>
    <w:rsid w:val="6A726EEE"/>
    <w:rsid w:val="6A73045B"/>
    <w:rsid w:val="6A8A28EE"/>
    <w:rsid w:val="6A9E17D6"/>
    <w:rsid w:val="6ABF6769"/>
    <w:rsid w:val="6B0B530E"/>
    <w:rsid w:val="6B277C9A"/>
    <w:rsid w:val="6B2A452A"/>
    <w:rsid w:val="6B37171D"/>
    <w:rsid w:val="6B3F0222"/>
    <w:rsid w:val="6B485F70"/>
    <w:rsid w:val="6B9C2FB2"/>
    <w:rsid w:val="6BCC687C"/>
    <w:rsid w:val="6C034036"/>
    <w:rsid w:val="6C410383"/>
    <w:rsid w:val="6C4F5478"/>
    <w:rsid w:val="6C5F0404"/>
    <w:rsid w:val="6C63615E"/>
    <w:rsid w:val="6C781BC4"/>
    <w:rsid w:val="6C8E0AE9"/>
    <w:rsid w:val="6CB93DB8"/>
    <w:rsid w:val="6CDC5203"/>
    <w:rsid w:val="6CE13944"/>
    <w:rsid w:val="6D0A227B"/>
    <w:rsid w:val="6D367D07"/>
    <w:rsid w:val="6DCA0612"/>
    <w:rsid w:val="6DFD1A54"/>
    <w:rsid w:val="6E03355E"/>
    <w:rsid w:val="6E176337"/>
    <w:rsid w:val="6E235D5F"/>
    <w:rsid w:val="6E2420BF"/>
    <w:rsid w:val="6E59029D"/>
    <w:rsid w:val="6E6111A1"/>
    <w:rsid w:val="6E704B85"/>
    <w:rsid w:val="6E851A78"/>
    <w:rsid w:val="6E93207D"/>
    <w:rsid w:val="6F0C55B6"/>
    <w:rsid w:val="6F285225"/>
    <w:rsid w:val="6F2F6BE9"/>
    <w:rsid w:val="6F5C26EC"/>
    <w:rsid w:val="6F8B7FB3"/>
    <w:rsid w:val="7048104D"/>
    <w:rsid w:val="70F34949"/>
    <w:rsid w:val="710D7763"/>
    <w:rsid w:val="71172C34"/>
    <w:rsid w:val="715C7408"/>
    <w:rsid w:val="71AA7506"/>
    <w:rsid w:val="71FB4625"/>
    <w:rsid w:val="72083B4D"/>
    <w:rsid w:val="72C65703"/>
    <w:rsid w:val="734931FB"/>
    <w:rsid w:val="737A29C8"/>
    <w:rsid w:val="73A36AB1"/>
    <w:rsid w:val="73A63C37"/>
    <w:rsid w:val="73BC0E66"/>
    <w:rsid w:val="73F676A0"/>
    <w:rsid w:val="743027C5"/>
    <w:rsid w:val="746266C3"/>
    <w:rsid w:val="747A72CF"/>
    <w:rsid w:val="748E5B2A"/>
    <w:rsid w:val="74B6359C"/>
    <w:rsid w:val="74DB2A67"/>
    <w:rsid w:val="74E41BEE"/>
    <w:rsid w:val="74EC45FF"/>
    <w:rsid w:val="750D549E"/>
    <w:rsid w:val="75216649"/>
    <w:rsid w:val="75226272"/>
    <w:rsid w:val="75DF6321"/>
    <w:rsid w:val="75F8738A"/>
    <w:rsid w:val="76571277"/>
    <w:rsid w:val="76725133"/>
    <w:rsid w:val="76A26696"/>
    <w:rsid w:val="76F45E0A"/>
    <w:rsid w:val="77115F1A"/>
    <w:rsid w:val="7781145A"/>
    <w:rsid w:val="77B01CE7"/>
    <w:rsid w:val="77B92B54"/>
    <w:rsid w:val="77E233DF"/>
    <w:rsid w:val="78107B3D"/>
    <w:rsid w:val="784D6F97"/>
    <w:rsid w:val="78C0202A"/>
    <w:rsid w:val="78C4725D"/>
    <w:rsid w:val="79297BE8"/>
    <w:rsid w:val="796230E1"/>
    <w:rsid w:val="797E0817"/>
    <w:rsid w:val="79FB1858"/>
    <w:rsid w:val="7A6F538E"/>
    <w:rsid w:val="7AE80322"/>
    <w:rsid w:val="7B0402DA"/>
    <w:rsid w:val="7B1B0A5C"/>
    <w:rsid w:val="7BBA0721"/>
    <w:rsid w:val="7BC5283D"/>
    <w:rsid w:val="7BD55DED"/>
    <w:rsid w:val="7BD9150F"/>
    <w:rsid w:val="7BDD1298"/>
    <w:rsid w:val="7C0148BF"/>
    <w:rsid w:val="7C077F70"/>
    <w:rsid w:val="7D7805FA"/>
    <w:rsid w:val="7D790DF2"/>
    <w:rsid w:val="7D977508"/>
    <w:rsid w:val="7DA617D2"/>
    <w:rsid w:val="7DBB4F20"/>
    <w:rsid w:val="7DEC6A9C"/>
    <w:rsid w:val="7E085630"/>
    <w:rsid w:val="7E1370A0"/>
    <w:rsid w:val="7E14077C"/>
    <w:rsid w:val="7EC80CAB"/>
    <w:rsid w:val="7ECF2FC7"/>
    <w:rsid w:val="7F1B620C"/>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before="60" w:after="160" w:line="259" w:lineRule="auto"/>
      <w:ind w:right="113"/>
    </w:pPr>
    <w:rPr>
      <w:sz w:val="18"/>
      <w:szCs w:val="20"/>
    </w:rPr>
  </w:style>
  <w:style w:type="paragraph" w:customStyle="1" w:styleId="3">
    <w:name w:val="Date1"/>
    <w:next w:val="1"/>
    <w:qFormat/>
    <w:uiPriority w:val="0"/>
    <w:pPr>
      <w:widowControl w:val="0"/>
      <w:adjustRightInd w:val="0"/>
      <w:jc w:val="left"/>
      <w:textAlignment w:val="baseline"/>
    </w:pPr>
    <w:rPr>
      <w:rFonts w:ascii="宋体" w:hAnsi="宋体" w:eastAsia="宋体" w:cs="Times New Roman"/>
      <w:kern w:val="2"/>
      <w:sz w:val="28"/>
      <w:szCs w:val="20"/>
      <w:lang w:val="en-US" w:eastAsia="zh-CN" w:bidi="ar-SA"/>
    </w:rPr>
  </w:style>
  <w:style w:type="paragraph" w:styleId="6">
    <w:name w:val="table of authorities"/>
    <w:basedOn w:val="1"/>
    <w:next w:val="1"/>
    <w:autoRedefine/>
    <w:qFormat/>
    <w:uiPriority w:val="0"/>
    <w:pPr>
      <w:ind w:left="420" w:leftChars="200"/>
    </w:pPr>
  </w:style>
  <w:style w:type="paragraph" w:styleId="7">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8">
    <w:name w:val="Document Map"/>
    <w:basedOn w:val="1"/>
    <w:link w:val="35"/>
    <w:autoRedefine/>
    <w:semiHidden/>
    <w:unhideWhenUsed/>
    <w:qFormat/>
    <w:uiPriority w:val="99"/>
    <w:rPr>
      <w:rFonts w:ascii="宋体" w:eastAsia="宋体"/>
      <w:sz w:val="18"/>
      <w:szCs w:val="18"/>
    </w:rPr>
  </w:style>
  <w:style w:type="paragraph" w:styleId="9">
    <w:name w:val="annotation text"/>
    <w:basedOn w:val="1"/>
    <w:autoRedefine/>
    <w:semiHidden/>
    <w:unhideWhenUsed/>
    <w:qFormat/>
    <w:uiPriority w:val="99"/>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2"/>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xl27"/>
    <w:basedOn w:val="6"/>
    <w:next w:val="12"/>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customStyle="1" w:styleId="2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7"/>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8"/>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next w:val="1"/>
    <w:link w:val="42"/>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2">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2858</Words>
  <Characters>3055</Characters>
  <Lines>11</Lines>
  <Paragraphs>3</Paragraphs>
  <TotalTime>31</TotalTime>
  <ScaleCrop>false</ScaleCrop>
  <LinksUpToDate>false</LinksUpToDate>
  <CharactersWithSpaces>3083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2025-10-15T08:10:00Z</cp:lastPrinted>
  <dcterms:modified xsi:type="dcterms:W3CDTF">2025-10-21T01:39:15Z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0F17AE2FF9B34B3D910E05E256DB2B34_13</vt:lpwstr>
  </property>
  <property fmtid="{D5CDD505-2E9C-101B-9397-08002B2CF9AE}" pid="4" name="KSOTemplateDocerSaveRecord">
    <vt:lpwstr>eyJoZGlkIjoiN2U5ODUwNGE2YjA2ZGVjM2MxMWQ3YzVhMjMyMjQ5ZjciLCJ1c2VySWQiOiIyMjgxMjk1OTUifQ==</vt:lpwstr>
  </property>
</Properties>
</file>