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3A" w:rsidRDefault="00CD743A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P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87" w:lineRule="auto"/>
      </w:pPr>
    </w:p>
    <w:p w:rsidR="00CD743A" w:rsidRDefault="0021793F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附件4</w:t>
      </w:r>
    </w:p>
    <w:p w:rsidR="00221782" w:rsidRDefault="0021793F" w:rsidP="00221782">
      <w:pPr>
        <w:spacing w:before="160" w:line="283" w:lineRule="auto"/>
        <w:ind w:right="540"/>
        <w:jc w:val="center"/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 w:rsidR="00221782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岳阳县教育教学研究中心</w:t>
      </w:r>
    </w:p>
    <w:p w:rsidR="00CD743A" w:rsidRDefault="0021793F" w:rsidP="00221782">
      <w:pPr>
        <w:spacing w:before="160" w:line="283" w:lineRule="auto"/>
        <w:ind w:right="540"/>
        <w:jc w:val="center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单位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proofErr w:type="spellEnd"/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bookmarkStart w:id="0" w:name="_GoBack"/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bookmarkEnd w:id="0"/>
      <w:proofErr w:type="spellEnd"/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Pr="00DA04BE" w:rsidRDefault="00CD743A">
      <w:pPr>
        <w:pStyle w:val="a3"/>
        <w:spacing w:line="241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21793F" w:rsidP="00DA04BE">
      <w:pPr>
        <w:spacing w:before="91" w:line="224" w:lineRule="auto"/>
        <w:ind w:firstLineChars="900" w:firstLine="250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 w:rsidR="00DA04BE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岳阳县教育教学研究中心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CD743A" w:rsidRDefault="00DA04BE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30"/>
          <w:sz w:val="28"/>
          <w:szCs w:val="28"/>
          <w:lang w:eastAsia="zh-CN"/>
        </w:rPr>
        <w:t>5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26"/>
          <w:sz w:val="28"/>
          <w:szCs w:val="28"/>
          <w:lang w:eastAsia="zh-CN"/>
        </w:rPr>
        <w:t>21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CD743A" w:rsidRDefault="00CD743A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CD743A">
          <w:footerReference w:type="default" r:id="rId6"/>
          <w:pgSz w:w="11900" w:h="16830"/>
          <w:pgMar w:top="1430" w:right="1785" w:bottom="2010" w:left="1489" w:header="0" w:footer="1647" w:gutter="0"/>
          <w:cols w:space="720"/>
        </w:sectPr>
      </w:pPr>
    </w:p>
    <w:p w:rsidR="00CD743A" w:rsidRDefault="00CD743A">
      <w:pPr>
        <w:pStyle w:val="a3"/>
        <w:spacing w:line="298" w:lineRule="auto"/>
      </w:pPr>
    </w:p>
    <w:p w:rsidR="00CD743A" w:rsidRDefault="00CD743A">
      <w:pPr>
        <w:pStyle w:val="a3"/>
        <w:spacing w:line="299" w:lineRule="auto"/>
      </w:pPr>
    </w:p>
    <w:p w:rsidR="00470993" w:rsidRDefault="0021793F" w:rsidP="00470993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470993" w:rsidRDefault="00470993" w:rsidP="00470993">
      <w:pPr>
        <w:spacing w:before="101" w:line="300" w:lineRule="auto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spacing w:val="-7"/>
          <w:sz w:val="31"/>
          <w:szCs w:val="31"/>
          <w:lang w:eastAsia="zh-CN"/>
        </w:rPr>
        <w:t xml:space="preserve">       </w:t>
      </w:r>
      <w:proofErr w:type="spellStart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本单位负责全县中小学教育教学，开展教育教学工作，制定符合学生实际情况和教学目标的教学计划，确保教学质量和效果</w:t>
      </w:r>
      <w:proofErr w:type="spellEnd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本单位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2024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部门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整体支出共计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217.8967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其中：一般公共预算支出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217.8967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万元。按支出性质分为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217.8967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万元，其中人员经费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199.9167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万元，日常公用经费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17.98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CD743A" w:rsidRDefault="0021793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74240F" w:rsidRDefault="0074240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一般公共预算支出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217.8967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万元。</w:t>
      </w:r>
    </w:p>
    <w:p w:rsidR="00CD743A" w:rsidRDefault="0074240F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 w:rsidR="0021793F"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基本支出共计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217.8967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。其中：</w:t>
      </w:r>
    </w:p>
    <w:p w:rsidR="0074240F" w:rsidRPr="0074240F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人员经费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199.9167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万元，主要包括：按国家规定支出的基本工资、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奖金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绩效工资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机关事业单位基本养老保险缴费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职工基本医疗保险缴费、其他社会保险缴费、住房公积金、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其他工资福利支出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抚恤金、生活补助、奖励金、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其他对个人和家庭的补助支出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；</w:t>
      </w:r>
    </w:p>
    <w:p w:rsidR="0074240F" w:rsidRPr="008C1B54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日常公用经费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17.98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，主要包括：办公费、印刷费、水费、电费、邮电费、差旅费、维修（护）费、培训费、其他商品和服务支出、办公设备购置、其他资本性支出。</w:t>
      </w:r>
    </w:p>
    <w:p w:rsidR="00DA04BE" w:rsidRDefault="0074240F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二</w:t>
      </w:r>
      <w:r w:rsidR="0021793F"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本单位本年度无项目支出。</w:t>
      </w:r>
    </w:p>
    <w:p w:rsidR="00CD743A" w:rsidRDefault="0021793F">
      <w:p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lastRenderedPageBreak/>
        <w:t>三、政府性基金预算支出情况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本单位本年度无政府性基金预算支出。</w:t>
      </w:r>
    </w:p>
    <w:p w:rsidR="00CD743A" w:rsidRDefault="0021793F">
      <w:p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四、国有资本经营预算支出情况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本单位本年度无国有资本经营预算支出。</w:t>
      </w:r>
    </w:p>
    <w:p w:rsidR="00CD743A" w:rsidRDefault="0021793F">
      <w:p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五、社会保险基金预算支出情况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本单位本年度无社会保险基金预算支出。</w:t>
      </w:r>
    </w:p>
    <w:p w:rsidR="00CD743A" w:rsidRDefault="0021793F">
      <w:pPr>
        <w:spacing w:before="227" w:line="221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19561F" w:rsidRDefault="0019561F" w:rsidP="0019561F">
      <w:pPr>
        <w:shd w:val="clear" w:color="auto" w:fill="FFFFFF"/>
        <w:spacing w:line="560" w:lineRule="atLeast"/>
        <w:ind w:firstLine="560"/>
        <w:textAlignment w:val="center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bookmarkStart w:id="1" w:name="OLE_LINK5"/>
      <w:bookmarkStart w:id="2" w:name="OLE_LINK6"/>
      <w:r w:rsidRPr="0019561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2024</w:t>
      </w:r>
      <w:r w:rsidRPr="0019561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年，岳阳县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教育教学研究中心</w:t>
      </w:r>
      <w:r w:rsidRPr="0019561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县教育体育局、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县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财政局</w:t>
      </w:r>
      <w:r w:rsidRPr="0019561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和县政府的正确领导下，紧紧围绕中心，服务大局，积极履职，主动作为，圆满完成了全年工作任务，绩效自评得分为9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8</w:t>
      </w:r>
      <w:r w:rsidRPr="0019561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分。</w:t>
      </w:r>
    </w:p>
    <w:bookmarkEnd w:id="1"/>
    <w:bookmarkEnd w:id="2"/>
    <w:p w:rsidR="00CD743A" w:rsidRDefault="0021793F" w:rsidP="000446F2">
      <w:pPr>
        <w:spacing w:before="15" w:line="360" w:lineRule="auto"/>
        <w:ind w:left="646"/>
        <w:outlineLvl w:val="2"/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0446F2" w:rsidRPr="000446F2" w:rsidRDefault="000446F2" w:rsidP="000446F2">
      <w:pPr>
        <w:spacing w:before="15" w:line="360" w:lineRule="auto"/>
        <w:ind w:left="646"/>
        <w:outlineLvl w:val="2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</w:rPr>
      </w:pPr>
      <w:r w:rsidRPr="000446F2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固定资产管理有待加强。</w:t>
      </w:r>
    </w:p>
    <w:p w:rsidR="00CD743A" w:rsidRDefault="0021793F" w:rsidP="000446F2">
      <w:pPr>
        <w:spacing w:before="1" w:line="360" w:lineRule="auto"/>
        <w:ind w:left="646"/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八、下一步改进措施</w:t>
      </w:r>
      <w:proofErr w:type="spellEnd"/>
    </w:p>
    <w:p w:rsidR="008C1B54" w:rsidRPr="000446F2" w:rsidRDefault="000446F2" w:rsidP="000446F2">
      <w:pPr>
        <w:spacing w:before="1" w:line="360" w:lineRule="auto"/>
        <w:ind w:firstLineChars="200" w:firstLine="646"/>
        <w:rPr>
          <w:rFonts w:ascii="仿宋" w:eastAsia="仿宋" w:hAnsi="仿宋" w:cs="仿宋"/>
          <w:spacing w:val="13"/>
          <w:sz w:val="31"/>
          <w:szCs w:val="31"/>
        </w:rPr>
      </w:pPr>
      <w:r w:rsidRPr="000446F2">
        <w:rPr>
          <w:rFonts w:ascii="仿宋" w:eastAsia="仿宋" w:hAnsi="仿宋" w:cs="仿宋" w:hint="eastAsia"/>
          <w:spacing w:val="13"/>
          <w:sz w:val="31"/>
          <w:szCs w:val="31"/>
        </w:rPr>
        <w:t>进一步贯彻落实中央八项规定，建立本部门“三公经费”等公务支出管理制度及厉行节约制度，加强经费审批和控制，规范支出标准与范围，并严格执行。严格按照《固定资产管理办法》的规定加强固定资产管理，及时登记、更新台账，加强资产卡片管理，年终前对各类实物资产进行全面盘点，确保账账、账实相符。</w:t>
      </w:r>
      <w:r w:rsidRPr="000446F2">
        <w:rPr>
          <w:rFonts w:ascii="仿宋" w:eastAsia="仿宋" w:hAnsi="仿宋" w:cs="仿宋"/>
          <w:spacing w:val="13"/>
          <w:sz w:val="31"/>
          <w:szCs w:val="31"/>
        </w:rPr>
        <w:t>  </w:t>
      </w:r>
    </w:p>
    <w:p w:rsidR="00CD743A" w:rsidRDefault="0021793F" w:rsidP="000446F2">
      <w:pPr>
        <w:spacing w:before="226" w:line="360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九、部门整体支出绩效自评结果拟应用和公开情况</w:t>
      </w:r>
      <w:proofErr w:type="spellEnd"/>
    </w:p>
    <w:p w:rsidR="008C1B54" w:rsidRPr="008C1B54" w:rsidRDefault="008C1B54" w:rsidP="008C1B54">
      <w:pPr>
        <w:spacing w:before="226" w:line="360" w:lineRule="auto"/>
        <w:ind w:firstLineChars="200" w:firstLine="648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proofErr w:type="spellStart"/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lastRenderedPageBreak/>
        <w:t>将绩效自评结果用于指导下一年度预算编制和资金分配</w:t>
      </w:r>
      <w:proofErr w:type="spellEnd"/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>，</w:t>
      </w:r>
      <w:r>
        <w:rPr>
          <w:rFonts w:ascii="仿宋" w:eastAsia="仿宋" w:hAnsi="仿宋" w:cs="仿宋" w:hint="eastAsia"/>
          <w:spacing w:val="14"/>
          <w:sz w:val="31"/>
          <w:szCs w:val="31"/>
          <w:lang w:eastAsia="zh-CN"/>
        </w:rPr>
        <w:t>优化资源配置。按照规定程序和要求，在</w:t>
      </w:r>
      <w:r w:rsidRPr="008C1B54">
        <w:rPr>
          <w:rFonts w:ascii="仿宋" w:eastAsia="仿宋" w:hAnsi="仿宋" w:cs="仿宋" w:hint="eastAsia"/>
          <w:spacing w:val="14"/>
          <w:sz w:val="31"/>
          <w:szCs w:val="31"/>
          <w:lang w:eastAsia="zh-CN"/>
        </w:rPr>
        <w:t>财政绩效管理信息系统</w:t>
      </w:r>
      <w:r>
        <w:rPr>
          <w:rFonts w:ascii="仿宋" w:eastAsia="仿宋" w:hAnsi="仿宋" w:cs="仿宋" w:hint="eastAsia"/>
          <w:spacing w:val="14"/>
          <w:sz w:val="31"/>
          <w:szCs w:val="31"/>
          <w:lang w:eastAsia="zh-CN"/>
        </w:rPr>
        <w:t>等渠道及时公开绩效自评结果，接受社会监督，增强预算透明度。</w:t>
      </w:r>
    </w:p>
    <w:p w:rsidR="008C1B54" w:rsidRPr="008C1B54" w:rsidRDefault="0021793F" w:rsidP="008C1B54">
      <w:pPr>
        <w:spacing w:before="219" w:line="360" w:lineRule="auto"/>
        <w:ind w:left="644"/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19561F" w:rsidRDefault="008C1B54" w:rsidP="0019561F">
      <w:pPr>
        <w:spacing w:line="360" w:lineRule="auto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 xml:space="preserve">    </w:t>
      </w:r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 xml:space="preserve">  无</w:t>
      </w: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CD743A" w:rsidRDefault="00CD743A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sectPr w:rsidR="00CD743A" w:rsidSect="00CD743A">
      <w:footerReference w:type="default" r:id="rId7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4A" w:rsidRDefault="0006134A">
      <w:r>
        <w:separator/>
      </w:r>
    </w:p>
  </w:endnote>
  <w:endnote w:type="continuationSeparator" w:id="0">
    <w:p w:rsidR="0006134A" w:rsidRDefault="0006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4A" w:rsidRDefault="0006134A">
      <w:r>
        <w:separator/>
      </w:r>
    </w:p>
  </w:footnote>
  <w:footnote w:type="continuationSeparator" w:id="0">
    <w:p w:rsidR="0006134A" w:rsidRDefault="0006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D743A"/>
    <w:rsid w:val="000446F2"/>
    <w:rsid w:val="0006134A"/>
    <w:rsid w:val="0019561F"/>
    <w:rsid w:val="001F71C9"/>
    <w:rsid w:val="0021793F"/>
    <w:rsid w:val="00221782"/>
    <w:rsid w:val="002D485F"/>
    <w:rsid w:val="00470993"/>
    <w:rsid w:val="004A3CB1"/>
    <w:rsid w:val="005602BF"/>
    <w:rsid w:val="005B14CD"/>
    <w:rsid w:val="0074240F"/>
    <w:rsid w:val="008C1B54"/>
    <w:rsid w:val="00CD743A"/>
    <w:rsid w:val="00DA04BE"/>
    <w:rsid w:val="00DF3930"/>
    <w:rsid w:val="00E326A3"/>
    <w:rsid w:val="2797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D743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D743A"/>
  </w:style>
  <w:style w:type="table" w:customStyle="1" w:styleId="TableNormal">
    <w:name w:val="Table Normal"/>
    <w:semiHidden/>
    <w:unhideWhenUsed/>
    <w:qFormat/>
    <w:rsid w:val="00CD7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DA0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04B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A0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04B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2025-05-21T12:06:00Z</dcterms:created>
  <dcterms:modified xsi:type="dcterms:W3CDTF">2025-09-25T12:42:00Z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eyJoZGlkIjoiMmZmZmU2YmNiYmQwMDBhZDg1MWRjNTZmOTk1MjU3MjEiLCJ1c2VySWQiOiIxNjY1NTQ4Nzk3In0=</vt:lpwstr>
  </property>
  <property fmtid="{D5CDD505-2E9C-101B-9397-08002B2CF9AE}" pid="6" name="KSOProductBuildVer">
    <vt:lpwstr>2052-12.1.0.19770</vt:lpwstr>
  </property>
  <property fmtid="{D5CDD505-2E9C-101B-9397-08002B2CF9AE}" pid="7" name="ICV">
    <vt:lpwstr>82ED3EABC45A4EF4AABA46D416CBCA09_13</vt:lpwstr>
  </property>
</Properties>
</file>