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FD" w:rsidRDefault="006D74FD">
      <w:pPr>
        <w:ind w:firstLine="880"/>
        <w:jc w:val="center"/>
        <w:rPr>
          <w:rFonts w:ascii="方正小标宋简体" w:eastAsia="方正小标宋简体" w:hAnsi="Times New Roman" w:cs="Times New Roman"/>
          <w:sz w:val="44"/>
          <w:szCs w:val="44"/>
          <w:lang w:eastAsia="zh-CN"/>
        </w:rPr>
      </w:pPr>
    </w:p>
    <w:p w:rsidR="006D74FD" w:rsidRDefault="006D74FD">
      <w:pPr>
        <w:ind w:firstLine="880"/>
        <w:jc w:val="both"/>
        <w:rPr>
          <w:rFonts w:ascii="方正小标宋简体" w:eastAsia="方正小标宋简体" w:hAnsi="Times New Roman" w:cs="Times New Roman"/>
          <w:sz w:val="44"/>
          <w:szCs w:val="44"/>
          <w:lang w:eastAsia="zh-CN"/>
        </w:rPr>
      </w:pPr>
    </w:p>
    <w:p w:rsidR="006D74FD" w:rsidRDefault="00FB017B">
      <w:pPr>
        <w:ind w:firstLine="880"/>
        <w:jc w:val="center"/>
        <w:rPr>
          <w:rFonts w:ascii="方正小标宋简体" w:eastAsia="方正小标宋简体" w:hAnsi="Times New Roman" w:cs="Times New Roman"/>
          <w:sz w:val="44"/>
          <w:szCs w:val="44"/>
          <w:lang w:eastAsia="zh-CN"/>
        </w:rPr>
      </w:pPr>
      <w:r>
        <w:rPr>
          <w:rFonts w:asci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ascii="方正小标宋简体" w:eastAsia="方正小标宋简体" w:cs="方正小标宋简体" w:hint="eastAsia"/>
          <w:sz w:val="44"/>
          <w:szCs w:val="44"/>
          <w:lang w:eastAsia="zh-CN"/>
        </w:rPr>
        <w:t>4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CN"/>
        </w:rPr>
        <w:t>年度</w:t>
      </w:r>
      <w:r>
        <w:rPr>
          <w:rFonts w:ascii="方正小标宋简体" w:eastAsia="方正小标宋简体" w:cs="方正小标宋简体" w:hint="eastAsia"/>
          <w:sz w:val="44"/>
          <w:szCs w:val="44"/>
          <w:lang w:eastAsia="zh-CN"/>
        </w:rPr>
        <w:t>岳阳县特殊教育学校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CN"/>
        </w:rPr>
        <w:t>整体支出绩效自评报告</w:t>
      </w:r>
    </w:p>
    <w:p w:rsidR="006D74FD" w:rsidRDefault="006D74FD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D74FD" w:rsidRDefault="006D74FD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D74FD" w:rsidRDefault="006D74FD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D74FD" w:rsidRDefault="006D74FD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D74FD" w:rsidRDefault="006D74FD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D74FD" w:rsidRDefault="006D74FD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D74FD" w:rsidRDefault="006D74FD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D74FD" w:rsidRDefault="006D74FD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D74FD" w:rsidRDefault="006D74FD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D74FD" w:rsidRDefault="006D74FD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D74FD" w:rsidRDefault="006D74FD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D74FD" w:rsidRDefault="006D74FD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D74FD" w:rsidRDefault="006D74FD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D74FD" w:rsidRDefault="006D74FD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D74FD" w:rsidRDefault="006D74FD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D74FD" w:rsidRDefault="006D74FD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D74FD" w:rsidRDefault="006D74FD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D74FD" w:rsidRDefault="006D74FD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D74FD" w:rsidRDefault="00FB017B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sz w:val="32"/>
          <w:szCs w:val="32"/>
          <w:u w:val="single"/>
          <w:lang w:eastAsia="zh-CN"/>
        </w:rPr>
      </w:pPr>
      <w:r>
        <w:rPr>
          <w:rFonts w:ascii="楷体_GB2312" w:eastAsia="楷体_GB2312" w:cs="楷体_GB2312" w:hint="eastAsia"/>
          <w:b/>
          <w:bCs/>
          <w:spacing w:val="-28"/>
          <w:sz w:val="32"/>
          <w:szCs w:val="32"/>
          <w:lang w:eastAsia="zh-CN"/>
        </w:rPr>
        <w:t>部门</w:t>
      </w:r>
      <w:r>
        <w:rPr>
          <w:rFonts w:ascii="楷体_GB2312" w:eastAsia="楷体_GB2312" w:cs="楷体_GB2312"/>
          <w:b/>
          <w:bCs/>
          <w:spacing w:val="-28"/>
          <w:sz w:val="32"/>
          <w:szCs w:val="32"/>
          <w:lang w:eastAsia="zh-CN"/>
        </w:rPr>
        <w:t>(</w:t>
      </w:r>
      <w:r>
        <w:rPr>
          <w:rFonts w:ascii="楷体_GB2312" w:eastAsia="楷体_GB2312" w:cs="楷体_GB2312" w:hint="eastAsia"/>
          <w:b/>
          <w:bCs/>
          <w:spacing w:val="-28"/>
          <w:sz w:val="32"/>
          <w:szCs w:val="32"/>
          <w:lang w:eastAsia="zh-CN"/>
        </w:rPr>
        <w:t>单位</w:t>
      </w:r>
      <w:r>
        <w:rPr>
          <w:rFonts w:ascii="楷体_GB2312" w:eastAsia="楷体_GB2312" w:cs="楷体_GB2312"/>
          <w:b/>
          <w:bCs/>
          <w:spacing w:val="-28"/>
          <w:sz w:val="32"/>
          <w:szCs w:val="32"/>
          <w:lang w:eastAsia="zh-CN"/>
        </w:rPr>
        <w:t>)</w:t>
      </w:r>
      <w:r>
        <w:rPr>
          <w:rFonts w:ascii="楷体_GB2312" w:eastAsia="楷体_GB2312" w:cs="楷体_GB2312" w:hint="eastAsia"/>
          <w:b/>
          <w:bCs/>
          <w:spacing w:val="-28"/>
          <w:sz w:val="32"/>
          <w:szCs w:val="32"/>
          <w:lang w:eastAsia="zh-CN"/>
        </w:rPr>
        <w:t>名称：</w:t>
      </w:r>
      <w:r>
        <w:rPr>
          <w:rFonts w:ascii="楷体_GB2312" w:eastAsia="楷体_GB2312" w:cs="楷体_GB2312" w:hint="eastAsia"/>
          <w:b/>
          <w:bCs/>
          <w:spacing w:val="-28"/>
          <w:sz w:val="32"/>
          <w:szCs w:val="32"/>
          <w:u w:val="single"/>
          <w:lang w:eastAsia="zh-CN"/>
        </w:rPr>
        <w:t>岳阳县特殊教育学校</w:t>
      </w:r>
    </w:p>
    <w:p w:rsidR="006D74FD" w:rsidRDefault="00FB017B">
      <w:pPr>
        <w:spacing w:before="274" w:line="225" w:lineRule="auto"/>
        <w:ind w:firstLine="617"/>
        <w:jc w:val="center"/>
        <w:rPr>
          <w:rFonts w:ascii="楷体_GB2312" w:eastAsia="楷体_GB2312" w:hAnsi="楷体"/>
          <w:sz w:val="32"/>
          <w:szCs w:val="32"/>
          <w:lang w:eastAsia="zh-CN"/>
        </w:rPr>
      </w:pPr>
      <w:r>
        <w:rPr>
          <w:rFonts w:ascii="楷体_GB2312" w:eastAsia="楷体_GB2312" w:hAnsi="楷体" w:cs="楷体_GB2312"/>
          <w:b/>
          <w:bCs/>
          <w:spacing w:val="-13"/>
          <w:sz w:val="32"/>
          <w:szCs w:val="32"/>
          <w:lang w:eastAsia="zh-CN"/>
        </w:rPr>
        <w:t>202</w:t>
      </w:r>
      <w:r>
        <w:rPr>
          <w:rFonts w:ascii="楷体_GB2312" w:eastAsia="楷体_GB2312" w:hAnsi="楷体" w:cs="楷体_GB2312" w:hint="eastAsia"/>
          <w:b/>
          <w:bCs/>
          <w:spacing w:val="-13"/>
          <w:sz w:val="32"/>
          <w:szCs w:val="32"/>
          <w:lang w:eastAsia="zh-CN"/>
        </w:rPr>
        <w:t>5</w:t>
      </w:r>
      <w:r>
        <w:rPr>
          <w:rFonts w:ascii="楷体_GB2312" w:eastAsia="楷体_GB2312" w:hAnsi="楷体" w:cs="楷体_GB2312" w:hint="eastAsia"/>
          <w:b/>
          <w:bCs/>
          <w:spacing w:val="-13"/>
          <w:sz w:val="32"/>
          <w:szCs w:val="32"/>
          <w:lang w:eastAsia="zh-CN"/>
        </w:rPr>
        <w:t>年</w:t>
      </w:r>
      <w:r>
        <w:rPr>
          <w:rFonts w:ascii="楷体_GB2312" w:eastAsia="楷体_GB2312" w:hAnsi="楷体" w:cs="楷体_GB2312"/>
          <w:b/>
          <w:bCs/>
          <w:spacing w:val="-13"/>
          <w:sz w:val="32"/>
          <w:szCs w:val="32"/>
          <w:lang w:eastAsia="zh-CN"/>
        </w:rPr>
        <w:t xml:space="preserve"> 0</w:t>
      </w:r>
      <w:r>
        <w:rPr>
          <w:rFonts w:ascii="楷体_GB2312" w:eastAsia="楷体_GB2312" w:hAnsi="楷体" w:cs="楷体_GB2312" w:hint="eastAsia"/>
          <w:b/>
          <w:bCs/>
          <w:spacing w:val="-13"/>
          <w:sz w:val="32"/>
          <w:szCs w:val="32"/>
          <w:lang w:eastAsia="zh-CN"/>
        </w:rPr>
        <w:t>5</w:t>
      </w:r>
      <w:r>
        <w:rPr>
          <w:rFonts w:ascii="楷体_GB2312" w:eastAsia="楷体_GB2312" w:hAnsi="楷体" w:cs="楷体_GB2312" w:hint="eastAsia"/>
          <w:spacing w:val="-13"/>
          <w:sz w:val="32"/>
          <w:szCs w:val="32"/>
          <w:lang w:eastAsia="zh-CN"/>
        </w:rPr>
        <w:t>月</w:t>
      </w:r>
      <w:r>
        <w:rPr>
          <w:rFonts w:ascii="楷体_GB2312" w:eastAsia="楷体_GB2312" w:hAnsi="楷体" w:cs="楷体_GB2312"/>
          <w:b/>
          <w:bCs/>
          <w:spacing w:val="-13"/>
          <w:sz w:val="32"/>
          <w:szCs w:val="32"/>
          <w:lang w:eastAsia="zh-CN"/>
        </w:rPr>
        <w:t xml:space="preserve"> </w:t>
      </w:r>
      <w:r>
        <w:rPr>
          <w:rFonts w:ascii="楷体_GB2312" w:eastAsia="楷体_GB2312" w:hAnsi="楷体" w:cs="楷体_GB2312" w:hint="eastAsia"/>
          <w:b/>
          <w:bCs/>
          <w:spacing w:val="-13"/>
          <w:sz w:val="32"/>
          <w:szCs w:val="32"/>
          <w:lang w:eastAsia="zh-CN"/>
        </w:rPr>
        <w:t>22</w:t>
      </w:r>
      <w:r>
        <w:rPr>
          <w:rFonts w:ascii="楷体_GB2312" w:eastAsia="楷体_GB2312" w:hAnsi="楷体" w:cs="楷体_GB2312"/>
          <w:b/>
          <w:bCs/>
          <w:spacing w:val="-13"/>
          <w:sz w:val="32"/>
          <w:szCs w:val="32"/>
          <w:lang w:eastAsia="zh-CN"/>
        </w:rPr>
        <w:t xml:space="preserve"> </w:t>
      </w:r>
      <w:r>
        <w:rPr>
          <w:rFonts w:ascii="楷体_GB2312" w:eastAsia="楷体_GB2312" w:hAnsi="楷体" w:cs="楷体_GB2312" w:hint="eastAsia"/>
          <w:b/>
          <w:bCs/>
          <w:spacing w:val="-13"/>
          <w:sz w:val="32"/>
          <w:szCs w:val="32"/>
          <w:lang w:eastAsia="zh-CN"/>
        </w:rPr>
        <w:t>日</w:t>
      </w:r>
    </w:p>
    <w:p w:rsidR="006D74FD" w:rsidRDefault="006D74FD">
      <w:pPr>
        <w:pStyle w:val="a3"/>
        <w:spacing w:before="211" w:line="224" w:lineRule="auto"/>
        <w:ind w:firstLine="638"/>
        <w:jc w:val="both"/>
        <w:rPr>
          <w:rFonts w:cs="Times New Roman"/>
          <w:b/>
          <w:bCs/>
          <w:spacing w:val="18"/>
          <w:sz w:val="30"/>
          <w:szCs w:val="30"/>
          <w:lang w:eastAsia="zh-CN"/>
        </w:rPr>
      </w:pPr>
    </w:p>
    <w:p w:rsidR="006D74FD" w:rsidRDefault="006D74FD">
      <w:pPr>
        <w:pStyle w:val="a4"/>
        <w:ind w:firstLine="360"/>
        <w:rPr>
          <w:rFonts w:ascii="宋体" w:hAnsi="宋体"/>
          <w:lang w:eastAsia="zh-CN"/>
        </w:rPr>
      </w:pPr>
    </w:p>
    <w:p w:rsidR="006D74FD" w:rsidRDefault="006D74FD" w:rsidP="006F5D4A">
      <w:pPr>
        <w:pStyle w:val="a3"/>
        <w:spacing w:before="211" w:line="224" w:lineRule="auto"/>
        <w:jc w:val="both"/>
        <w:rPr>
          <w:rFonts w:ascii="方正黑体_GBK" w:eastAsia="方正黑体_GBK" w:cs="Times New Roman"/>
          <w:sz w:val="32"/>
          <w:szCs w:val="32"/>
          <w:lang w:eastAsia="zh-CN"/>
        </w:rPr>
        <w:sectPr w:rsidR="006D74F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D74FD" w:rsidRDefault="006D74FD">
      <w:pPr>
        <w:pStyle w:val="a3"/>
        <w:spacing w:before="211" w:line="224" w:lineRule="auto"/>
        <w:ind w:firstLine="640"/>
        <w:jc w:val="both"/>
        <w:rPr>
          <w:rFonts w:ascii="方正黑体_GBK" w:eastAsia="方正黑体_GBK" w:cs="Times New Roman"/>
          <w:sz w:val="32"/>
          <w:szCs w:val="32"/>
          <w:lang w:eastAsia="zh-CN"/>
        </w:rPr>
      </w:pPr>
    </w:p>
    <w:p w:rsidR="006D74FD" w:rsidRDefault="00FB017B">
      <w:pPr>
        <w:pStyle w:val="a3"/>
        <w:spacing w:before="211" w:line="224" w:lineRule="auto"/>
        <w:ind w:firstLine="640"/>
        <w:jc w:val="both"/>
        <w:rPr>
          <w:rFonts w:ascii="方正黑体_GBK" w:eastAsia="方正黑体_GBK" w:cs="Times New Roman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一、部门</w:t>
      </w:r>
      <w:r>
        <w:rPr>
          <w:rFonts w:ascii="方正黑体_GBK" w:eastAsia="方正黑体_GBK" w:cs="方正黑体_GBK"/>
          <w:sz w:val="32"/>
          <w:szCs w:val="32"/>
          <w:lang w:eastAsia="zh-CN"/>
        </w:rPr>
        <w:t>(</w:t>
      </w: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单位</w:t>
      </w:r>
      <w:r>
        <w:rPr>
          <w:rFonts w:ascii="方正黑体_GBK" w:eastAsia="方正黑体_GBK" w:cs="方正黑体_GBK"/>
          <w:sz w:val="32"/>
          <w:szCs w:val="32"/>
          <w:lang w:eastAsia="zh-CN"/>
        </w:rPr>
        <w:t>)</w:t>
      </w: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基本情况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岳阳县岳阳县特殊教育学校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在编人员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26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人，实有人员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26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人，主要职责为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教育教学。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2024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岳阳县特殊教育学校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整体支出共计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697.71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万元，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其中：一般公共预算支出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697.71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万元。按支出性质分为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基本支出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697.71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万元，其中人员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经费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488.83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万元，日常公用经费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208.88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万元；</w:t>
      </w:r>
    </w:p>
    <w:p w:rsidR="006D74FD" w:rsidRDefault="00FB017B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二、一般公共预算支出情况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一般公共预算支出共计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697.71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万元。</w:t>
      </w:r>
    </w:p>
    <w:p w:rsidR="006D74FD" w:rsidRDefault="00FB017B">
      <w:pPr>
        <w:spacing w:line="560" w:lineRule="exact"/>
        <w:ind w:firstLineChars="200" w:firstLine="643"/>
        <w:rPr>
          <w:rFonts w:ascii="仿宋_GB2312" w:eastAsia="仿宋_GB2312" w:hAnsi="宋体" w:cs="仿宋_GB2312"/>
          <w:b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b/>
          <w:bCs/>
          <w:color w:val="333333"/>
          <w:sz w:val="32"/>
          <w:szCs w:val="32"/>
          <w:shd w:val="clear" w:color="auto" w:fill="FFFFFF"/>
          <w:lang w:eastAsia="zh-CN"/>
        </w:rPr>
        <w:t>（一）基本支出情况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2024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岳阳县特殊教育学校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基本支出共计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697.71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万元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。其中：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人员经费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488.83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万元，主要包括：按国家规定支出的基本工资、津贴补贴、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其他社会保险缴</w:t>
      </w:r>
      <w:proofErr w:type="spellStart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费、伙食补助费、机关事业单位基本养老保险缴费、其他工资福利支出</w:t>
      </w:r>
      <w:proofErr w:type="spellEnd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离</w:t>
      </w:r>
      <w:proofErr w:type="spellStart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休费、退休费、生活补助、医疗费，住房公积金、其他对个人和家庭的补助支出</w:t>
      </w:r>
      <w:proofErr w:type="spellEnd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；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日常公用经费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208.88</w:t>
      </w:r>
      <w:bookmarkStart w:id="0" w:name="_GoBack"/>
      <w:bookmarkEnd w:id="0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万元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，主要包括：办公费、印刷费、咨询费、水费、电费、邮电费、物业管理费、差旅费、维修（护）费、会议费培训费、公务接待费、专用材料费、劳务费、工会经费、福利费、其他交通费用、其他商品和服务支出、办公设备购置、专用设备购置、其他资本性支出。</w:t>
      </w:r>
    </w:p>
    <w:p w:rsidR="006D74FD" w:rsidRDefault="00FB017B">
      <w:pPr>
        <w:spacing w:line="560" w:lineRule="exact"/>
        <w:ind w:firstLineChars="200" w:firstLine="643"/>
        <w:rPr>
          <w:rFonts w:ascii="仿宋_GB2312" w:eastAsia="仿宋_GB2312" w:hAnsi="宋体" w:cs="仿宋_GB2312"/>
          <w:b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b/>
          <w:bCs/>
          <w:color w:val="333333"/>
          <w:sz w:val="32"/>
          <w:szCs w:val="32"/>
          <w:shd w:val="clear" w:color="auto" w:fill="FFFFFF"/>
          <w:lang w:eastAsia="zh-CN"/>
        </w:rPr>
        <w:t>（二）</w:t>
      </w:r>
      <w:r>
        <w:rPr>
          <w:rFonts w:ascii="仿宋_GB2312" w:eastAsia="仿宋_GB2312" w:hAnsi="宋体" w:cs="仿宋_GB2312" w:hint="eastAsia"/>
          <w:b/>
          <w:bCs/>
          <w:color w:val="333333"/>
          <w:sz w:val="32"/>
          <w:szCs w:val="32"/>
          <w:shd w:val="clear" w:color="auto" w:fill="FFFFFF"/>
          <w:lang w:eastAsia="zh-CN"/>
        </w:rPr>
        <w:t>项目支出情况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proofErr w:type="spellStart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项目支出</w:t>
      </w:r>
      <w:proofErr w:type="spellEnd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无</w:t>
      </w:r>
    </w:p>
    <w:p w:rsidR="006D74FD" w:rsidRDefault="00FB017B">
      <w:pPr>
        <w:spacing w:line="600" w:lineRule="exact"/>
        <w:ind w:firstLineChars="200" w:firstLine="640"/>
        <w:jc w:val="both"/>
        <w:rPr>
          <w:rFonts w:ascii="仿宋_GB2312" w:eastAsia="仿宋_GB2312" w:hAnsi="宋体"/>
          <w:color w:val="333333"/>
          <w:sz w:val="32"/>
          <w:szCs w:val="32"/>
          <w:shd w:val="clear" w:color="auto" w:fill="FFFFFF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lastRenderedPageBreak/>
        <w:t>三、政府性基金预算支出情况：无</w:t>
      </w:r>
    </w:p>
    <w:p w:rsidR="006D74FD" w:rsidRDefault="00FB017B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四、国有资本经营预算支出情况</w:t>
      </w:r>
      <w:bookmarkStart w:id="1" w:name="OLE_LINK3"/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：</w:t>
      </w:r>
      <w:bookmarkStart w:id="2" w:name="OLE_LINK2"/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无</w:t>
      </w:r>
      <w:bookmarkEnd w:id="2"/>
    </w:p>
    <w:bookmarkEnd w:id="1"/>
    <w:p w:rsidR="006D74FD" w:rsidRDefault="00FB017B">
      <w:pPr>
        <w:spacing w:line="600" w:lineRule="exact"/>
        <w:ind w:firstLineChars="200" w:firstLine="640"/>
        <w:jc w:val="both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五、社会保险基金预算支出情况：无</w:t>
      </w:r>
    </w:p>
    <w:p w:rsidR="006D74FD" w:rsidRDefault="00FB017B">
      <w:pPr>
        <w:spacing w:line="600" w:lineRule="exact"/>
        <w:ind w:firstLineChars="200" w:firstLine="640"/>
        <w:jc w:val="both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六、部门整体支出绩效情况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2024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年，岳阳县特殊教育学校在县教体局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的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领导下，以教育教学为核心，落实立德树人根本任务，全年绩效自评得分为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9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4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.5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分。</w:t>
      </w:r>
    </w:p>
    <w:p w:rsidR="006D74FD" w:rsidRDefault="00FB017B">
      <w:pPr>
        <w:numPr>
          <w:ilvl w:val="0"/>
          <w:numId w:val="1"/>
        </w:numPr>
        <w:spacing w:line="560" w:lineRule="exact"/>
        <w:ind w:leftChars="200" w:left="420"/>
        <w:rPr>
          <w:rFonts w:ascii="黑体" w:eastAsia="黑体" w:hAnsi="黑体" w:cs="黑体"/>
          <w:sz w:val="28"/>
          <w:szCs w:val="28"/>
        </w:rPr>
      </w:pPr>
      <w:proofErr w:type="spellStart"/>
      <w:r>
        <w:rPr>
          <w:rFonts w:ascii="黑体" w:eastAsia="黑体" w:hAnsi="黑体" w:cs="黑体" w:hint="eastAsia"/>
          <w:sz w:val="28"/>
          <w:szCs w:val="28"/>
        </w:rPr>
        <w:t>经济效益</w:t>
      </w:r>
      <w:proofErr w:type="spellEnd"/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特殊教育经费使用聚焦学生核心需求，全年投入辅助设备购置资金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48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万元，为听障、自闭症等学生配备个性化教学工具（如语言训练仪、感统器材），设备利用率达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95%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；通过优化资源配置，减少冗余采购支出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12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万元，节约资金用于教师特教技能专项培训，间接提升教学效率。</w:t>
      </w:r>
    </w:p>
    <w:p w:rsidR="006D74FD" w:rsidRDefault="00FB017B">
      <w:pPr>
        <w:numPr>
          <w:ilvl w:val="0"/>
          <w:numId w:val="1"/>
        </w:numPr>
        <w:spacing w:line="560" w:lineRule="exact"/>
        <w:ind w:leftChars="200" w:left="4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社会</w:t>
      </w:r>
      <w:proofErr w:type="spellStart"/>
      <w:r>
        <w:rPr>
          <w:rFonts w:ascii="黑体" w:eastAsia="黑体" w:hAnsi="黑体" w:cs="黑体" w:hint="eastAsia"/>
          <w:sz w:val="28"/>
          <w:szCs w:val="28"/>
        </w:rPr>
        <w:t>效益</w:t>
      </w:r>
      <w:proofErr w:type="spellEnd"/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）学生发展成效显著：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实施个别化教育计划（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IEP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）覆盖率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100%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，学生生活自理能力达标率提升至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82%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，较上年增长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15%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；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开设职业启蒙课程（如手工制作、园艺护理），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80%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学生掌握至少一项职业技能，为融入社会奠定基础；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）家校社协同共育：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开展家长培训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20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场次，覆盖家庭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300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户，家长满意度达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92%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；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联合社区举办“特教开放日”活动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4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次，公众对特殊教育认知度提升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40%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，助力消除社会偏见。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lastRenderedPageBreak/>
        <w:t>（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3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）师资专业化提升：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组织教师参加国家级特教培训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32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人次，获“省级特殊教育优秀案例”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项；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建立“师徒结对”机制，新教师教学能力达标率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100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%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。</w:t>
      </w:r>
    </w:p>
    <w:p w:rsidR="006D74FD" w:rsidRDefault="00FB017B">
      <w:pPr>
        <w:numPr>
          <w:ilvl w:val="0"/>
          <w:numId w:val="1"/>
        </w:numPr>
        <w:spacing w:line="560" w:lineRule="exact"/>
        <w:ind w:leftChars="200" w:left="4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环境效益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）无障碍校园建设：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完成教学楼无障碍坡道改造、盲道铺设等工程，无障碍设施覆盖率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100%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；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增设感官训练室、静音教室等特色空间，满足多元化康复需求。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）绿色生态校园：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推行“低碳生活”主题活动，学生垃圾分类参与率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98%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，获评“岳阳县生态示范校园”；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校园绿化面积新增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1200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平方米，营造舒缓学习环境，学生情绪行为问题发生率下降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18%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。</w:t>
      </w:r>
    </w:p>
    <w:p w:rsidR="006D74FD" w:rsidRDefault="00FB017B">
      <w:pPr>
        <w:numPr>
          <w:ilvl w:val="0"/>
          <w:numId w:val="2"/>
        </w:numPr>
        <w:spacing w:line="600" w:lineRule="exact"/>
        <w:ind w:firstLineChars="200" w:firstLine="640"/>
        <w:jc w:val="both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存在的问题及原因分析</w:t>
      </w:r>
    </w:p>
    <w:p w:rsidR="006D74FD" w:rsidRDefault="00FB017B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（一）预算及预算绩效管理方面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特教专项指标缺失：未将“学生康复训练达标率”“家长参与度”等核心指标纳入考核体系，导致绩效目标与特教职能匹配度不足。</w:t>
      </w:r>
    </w:p>
    <w:p w:rsidR="006D74FD" w:rsidRDefault="00FB017B"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应急资金缺口：因突发性康复设备故障，临时采购支出占比超预算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10%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，影响年度资金规划。</w:t>
      </w:r>
    </w:p>
    <w:p w:rsidR="006D74FD" w:rsidRDefault="00FB017B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（二）资金分配、使用和管理方面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lastRenderedPageBreak/>
        <w:t>康复资源投入不足：感统器材更新资金仅占公用经费的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5%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，部分设备老化影响康复效果。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特教课程开发滞后：校本课程研发经费占比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3%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，难以满足学生个性化学习需求。</w:t>
      </w:r>
    </w:p>
    <w:p w:rsidR="006D74FD" w:rsidRDefault="00FB017B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（三）资产和财务管理方面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特殊设备管理松散：部分辅助教具未纳入固定资产系统，存在重复采购风险；</w:t>
      </w:r>
    </w:p>
    <w:p w:rsidR="006D74FD" w:rsidRDefault="00FB017B"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老旧设备处置低效：报废流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程复杂，占用教学空间，导致康复教室利用率下降。</w:t>
      </w:r>
    </w:p>
    <w:p w:rsidR="006D74FD" w:rsidRDefault="00FB017B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（四）政府采购方面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采购计划性不足：部分教学物资因临时需求采用分散采购，未严格执行竞价流程，导致成本偏高。</w:t>
      </w:r>
    </w:p>
    <w:p w:rsidR="006D74FD" w:rsidRDefault="00FB017B">
      <w:pPr>
        <w:numPr>
          <w:ilvl w:val="0"/>
          <w:numId w:val="2"/>
        </w:numPr>
        <w:spacing w:line="600" w:lineRule="exact"/>
        <w:ind w:firstLineChars="200" w:firstLine="640"/>
        <w:jc w:val="both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下一步改进措施</w:t>
      </w:r>
    </w:p>
    <w:p w:rsidR="006D74FD" w:rsidRDefault="00FB017B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（一）预算及绩效管理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增设“学生社会适应能力提升率”“校本课程开发完成率”等特教专项指标，强化目标导向。</w:t>
      </w:r>
    </w:p>
    <w:p w:rsidR="006D74FD" w:rsidRDefault="00FB017B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（二）资金管理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将康复设备更新经费占比提高至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15%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，优先保障自闭症学生干预设备采购；</w:t>
      </w:r>
    </w:p>
    <w:p w:rsidR="006D74FD" w:rsidRDefault="00FB017B"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设立“特教课程创新基金”，年度投入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30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万元支持校本教材研发。</w:t>
      </w:r>
    </w:p>
    <w:p w:rsidR="006D74FD" w:rsidRDefault="00FB017B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（三）资产管理</w:t>
      </w:r>
    </w:p>
    <w:p w:rsidR="006D74FD" w:rsidRDefault="00FB017B"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落实专人负责制：设立资产管理员岗位，每季度开展清查，简化报废审批流程。</w:t>
      </w:r>
    </w:p>
    <w:p w:rsidR="006D74FD" w:rsidRDefault="00FB017B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lastRenderedPageBreak/>
        <w:t>（四）政府采购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规范采购流程：年初制定教学物资采购清单，严格执行集中竞价，降低采购成本。</w:t>
      </w:r>
    </w:p>
    <w:p w:rsidR="006D74FD" w:rsidRDefault="00FB017B">
      <w:pPr>
        <w:numPr>
          <w:ilvl w:val="0"/>
          <w:numId w:val="2"/>
        </w:numPr>
        <w:spacing w:line="600" w:lineRule="exact"/>
        <w:ind w:firstLineChars="200" w:firstLine="640"/>
        <w:jc w:val="both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部门整体支出绩效自评结果拟应用和公开情况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自评报告通过学校官网、县教育局公众号公示，并召开家长听证会解读结果；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2025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年预算重点向“康复训练”“职业融合教育”倾斜，压减非必要行政支出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5%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；</w:t>
      </w:r>
    </w:p>
    <w:p w:rsidR="006D74FD" w:rsidRDefault="00FB017B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建立“特教绩效改进台账”，每季度督查整改进展，确保措施落地见效。</w:t>
      </w:r>
    </w:p>
    <w:p w:rsidR="006D74FD" w:rsidRDefault="00FB017B">
      <w:pPr>
        <w:spacing w:line="600" w:lineRule="exact"/>
        <w:ind w:firstLineChars="200" w:firstLine="640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cs="黑体" w:hint="eastAsia"/>
          <w:sz w:val="32"/>
          <w:szCs w:val="32"/>
          <w:lang w:eastAsia="zh-CN"/>
        </w:rPr>
        <w:t>十、其他需要说明的情况：无</w:t>
      </w:r>
    </w:p>
    <w:p w:rsidR="006D74FD" w:rsidRDefault="006D74FD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6D74FD" w:rsidRDefault="006D74FD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6D74FD" w:rsidRDefault="006D74FD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6D74FD" w:rsidRDefault="006D74FD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6D74FD" w:rsidRDefault="006D74FD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6D74FD" w:rsidRDefault="006D74FD">
      <w:pPr>
        <w:kinsoku/>
        <w:autoSpaceDE/>
        <w:autoSpaceDN/>
        <w:adjustRightInd/>
        <w:snapToGrid/>
        <w:jc w:val="both"/>
        <w:textAlignment w:val="auto"/>
      </w:pPr>
    </w:p>
    <w:sectPr w:rsidR="006D74FD" w:rsidSect="006D74FD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17B" w:rsidRDefault="00FB017B" w:rsidP="006D74FD">
      <w:r>
        <w:separator/>
      </w:r>
    </w:p>
  </w:endnote>
  <w:endnote w:type="continuationSeparator" w:id="0">
    <w:p w:rsidR="00FB017B" w:rsidRDefault="00FB017B" w:rsidP="006D7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4FD" w:rsidRDefault="006D74F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 filled="f" stroked="f">
          <v:textbox style="mso-fit-shape-to-text:t" inset="0,0,0,0">
            <w:txbxContent>
              <w:p w:rsidR="006D74FD" w:rsidRDefault="006D74FD">
                <w:pPr>
                  <w:pStyle w:val="a4"/>
                </w:pPr>
                <w:r>
                  <w:fldChar w:fldCharType="begin"/>
                </w:r>
                <w:r w:rsidR="00FB017B">
                  <w:instrText xml:space="preserve"> PAGE  \* MERGEFORMAT </w:instrText>
                </w:r>
                <w:r>
                  <w:fldChar w:fldCharType="separate"/>
                </w:r>
                <w:r w:rsidR="006F5D4A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17B" w:rsidRDefault="00FB017B" w:rsidP="006D74FD">
      <w:r>
        <w:separator/>
      </w:r>
    </w:p>
  </w:footnote>
  <w:footnote w:type="continuationSeparator" w:id="0">
    <w:p w:rsidR="00FB017B" w:rsidRDefault="00FB017B" w:rsidP="006D7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36D32A"/>
    <w:multiLevelType w:val="singleLevel"/>
    <w:tmpl w:val="8536D32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4FB94DF"/>
    <w:multiLevelType w:val="singleLevel"/>
    <w:tmpl w:val="A4FB94DF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docVars>
    <w:docVar w:name="commondata" w:val="eyJoZGlkIjoiYThhM2RkM2M2YjQ0ZDI0NTlmMjU0YjJkODZiZDc2NzMifQ=="/>
  </w:docVars>
  <w:rsids>
    <w:rsidRoot w:val="58F827D2"/>
    <w:rsid w:val="001864ED"/>
    <w:rsid w:val="00465A39"/>
    <w:rsid w:val="004664C1"/>
    <w:rsid w:val="0046680A"/>
    <w:rsid w:val="0047272C"/>
    <w:rsid w:val="00494E31"/>
    <w:rsid w:val="006D74FD"/>
    <w:rsid w:val="006F5D4A"/>
    <w:rsid w:val="006F63CC"/>
    <w:rsid w:val="0076022B"/>
    <w:rsid w:val="008155F9"/>
    <w:rsid w:val="00B70ECC"/>
    <w:rsid w:val="00CB15CB"/>
    <w:rsid w:val="00D41CCA"/>
    <w:rsid w:val="00EF41BC"/>
    <w:rsid w:val="00FB017B"/>
    <w:rsid w:val="00FE2E00"/>
    <w:rsid w:val="016025FC"/>
    <w:rsid w:val="01E054EB"/>
    <w:rsid w:val="02B22A5C"/>
    <w:rsid w:val="037A7FB6"/>
    <w:rsid w:val="039708F0"/>
    <w:rsid w:val="0689070B"/>
    <w:rsid w:val="087B5F6E"/>
    <w:rsid w:val="0C2030B4"/>
    <w:rsid w:val="0E5E7EC3"/>
    <w:rsid w:val="102E38C6"/>
    <w:rsid w:val="10F36962"/>
    <w:rsid w:val="13D45A91"/>
    <w:rsid w:val="14F00B99"/>
    <w:rsid w:val="16236884"/>
    <w:rsid w:val="17B11A0C"/>
    <w:rsid w:val="17DF472D"/>
    <w:rsid w:val="187622AE"/>
    <w:rsid w:val="18D4409A"/>
    <w:rsid w:val="19F811CC"/>
    <w:rsid w:val="1C564641"/>
    <w:rsid w:val="1D3F7112"/>
    <w:rsid w:val="1D97229B"/>
    <w:rsid w:val="21036977"/>
    <w:rsid w:val="257007B0"/>
    <w:rsid w:val="28717098"/>
    <w:rsid w:val="2C3F0EDD"/>
    <w:rsid w:val="2E376A70"/>
    <w:rsid w:val="30F7631A"/>
    <w:rsid w:val="31E33A9D"/>
    <w:rsid w:val="34A423DB"/>
    <w:rsid w:val="38F20100"/>
    <w:rsid w:val="39A71643"/>
    <w:rsid w:val="3BE91E26"/>
    <w:rsid w:val="3CA20C5E"/>
    <w:rsid w:val="3CD96218"/>
    <w:rsid w:val="3CD97AFF"/>
    <w:rsid w:val="405E5684"/>
    <w:rsid w:val="40D169B8"/>
    <w:rsid w:val="419347D7"/>
    <w:rsid w:val="41A20999"/>
    <w:rsid w:val="43993299"/>
    <w:rsid w:val="449A749D"/>
    <w:rsid w:val="458D44E1"/>
    <w:rsid w:val="459F301E"/>
    <w:rsid w:val="45B82711"/>
    <w:rsid w:val="45D24718"/>
    <w:rsid w:val="46ED1809"/>
    <w:rsid w:val="47A86305"/>
    <w:rsid w:val="490E76E3"/>
    <w:rsid w:val="4BDF46DB"/>
    <w:rsid w:val="4C944268"/>
    <w:rsid w:val="4EAA6232"/>
    <w:rsid w:val="5043249A"/>
    <w:rsid w:val="54E81862"/>
    <w:rsid w:val="5746213C"/>
    <w:rsid w:val="58AF03AE"/>
    <w:rsid w:val="58F827D2"/>
    <w:rsid w:val="5A192095"/>
    <w:rsid w:val="5BD07BA4"/>
    <w:rsid w:val="5E565696"/>
    <w:rsid w:val="61023CAB"/>
    <w:rsid w:val="635A799A"/>
    <w:rsid w:val="658A795C"/>
    <w:rsid w:val="658B0713"/>
    <w:rsid w:val="687D1368"/>
    <w:rsid w:val="68C424BD"/>
    <w:rsid w:val="694D575B"/>
    <w:rsid w:val="6B4E2499"/>
    <w:rsid w:val="6D631076"/>
    <w:rsid w:val="72823FD3"/>
    <w:rsid w:val="73EE0653"/>
    <w:rsid w:val="76295E58"/>
    <w:rsid w:val="768A40CF"/>
    <w:rsid w:val="78A059E2"/>
    <w:rsid w:val="79C008CD"/>
    <w:rsid w:val="7A1545F8"/>
    <w:rsid w:val="7AB7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F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sid w:val="006D74FD"/>
    <w:pPr>
      <w:spacing w:before="20" w:line="222" w:lineRule="auto"/>
    </w:pPr>
    <w:rPr>
      <w:rFonts w:ascii="仿宋" w:eastAsia="仿宋" w:hAnsi="仿宋" w:cs="仿宋"/>
      <w:sz w:val="35"/>
      <w:szCs w:val="35"/>
    </w:rPr>
  </w:style>
  <w:style w:type="paragraph" w:styleId="a4">
    <w:name w:val="footer"/>
    <w:basedOn w:val="a"/>
    <w:link w:val="Char0"/>
    <w:uiPriority w:val="99"/>
    <w:qFormat/>
    <w:rsid w:val="006D74FD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rsid w:val="006D74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Char">
    <w:name w:val="正文文本 Char"/>
    <w:basedOn w:val="a0"/>
    <w:link w:val="a3"/>
    <w:uiPriority w:val="99"/>
    <w:semiHidden/>
    <w:qFormat/>
    <w:rsid w:val="006D74FD"/>
    <w:rPr>
      <w:rFonts w:ascii="Arial" w:hAnsi="Arial" w:cs="Arial"/>
      <w:color w:val="000000"/>
      <w:kern w:val="0"/>
      <w:szCs w:val="21"/>
      <w:lang w:eastAsia="en-US"/>
    </w:rPr>
  </w:style>
  <w:style w:type="character" w:customStyle="1" w:styleId="Char0">
    <w:name w:val="页脚 Char"/>
    <w:basedOn w:val="a0"/>
    <w:link w:val="a4"/>
    <w:uiPriority w:val="99"/>
    <w:semiHidden/>
    <w:qFormat/>
    <w:rsid w:val="006D74FD"/>
    <w:rPr>
      <w:rFonts w:ascii="Arial" w:hAnsi="Arial" w:cs="Arial"/>
      <w:color w:val="000000"/>
      <w:kern w:val="0"/>
      <w:sz w:val="18"/>
      <w:szCs w:val="18"/>
      <w:lang w:eastAsia="en-US"/>
    </w:rPr>
  </w:style>
  <w:style w:type="paragraph" w:styleId="a6">
    <w:name w:val="List Paragraph"/>
    <w:basedOn w:val="a"/>
    <w:uiPriority w:val="99"/>
    <w:qFormat/>
    <w:rsid w:val="006D74FD"/>
    <w:pPr>
      <w:ind w:firstLineChars="200" w:firstLine="420"/>
    </w:pPr>
  </w:style>
  <w:style w:type="table" w:customStyle="1" w:styleId="TableNormal1">
    <w:name w:val="Table Normal1"/>
    <w:uiPriority w:val="99"/>
    <w:semiHidden/>
    <w:qFormat/>
    <w:rsid w:val="006D74FD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300</Words>
  <Characters>1712</Characters>
  <Application>Microsoft Office Word</Application>
  <DocSecurity>0</DocSecurity>
  <Lines>14</Lines>
  <Paragraphs>4</Paragraphs>
  <ScaleCrop>false</ScaleCrop>
  <Company>微软中国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2024-06-17T02:58:00Z</cp:lastPrinted>
  <dcterms:created xsi:type="dcterms:W3CDTF">2024-04-16T07:36:00Z</dcterms:created>
  <dcterms:modified xsi:type="dcterms:W3CDTF">2025-10-11T08:03:00Z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DEE5E5019B104430B10D6ACE5F681EB4_13</vt:lpwstr>
  </property>
  <property fmtid="{D5CDD505-2E9C-101B-9397-08002B2CF9AE}" pid="4" name="KSOTemplateDocerSaveRecord">
    <vt:lpwstr>eyJoZGlkIjoiOGRkODA4NThhNGVjZjhlNzMxOGU4NjgxOTJjODBjY2IiLCJ1c2VySWQiOiIzMDc4MTU5MDgifQ==</vt:lpwstr>
  </property>
</Properties>
</file>