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岳阳县特殊教育学校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332143">
      <w:pPr>
        <w:rPr>
          <w:rFonts w:ascii="微软雅黑" w:eastAsia="微软雅黑" w:hAnsi="微软雅黑" w:cs="微软雅黑"/>
        </w:rPr>
      </w:pPr>
    </w:p>
    <w:p w:rsidR="00332143" w:rsidRDefault="008B6A32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332143" w:rsidRDefault="00332143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332143" w:rsidRDefault="008B6A3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岳阳县特殊教育学校部门（单位）概况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332143" w:rsidRDefault="008B6A3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332143" w:rsidRDefault="008B6A3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332143" w:rsidRDefault="008B6A3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332143" w:rsidRDefault="008B6A3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332143" w:rsidRDefault="008B6A3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332143" w:rsidRDefault="008B6A32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岳阳县特殊教育学校部门（单位）概况</w:t>
      </w: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8B6A32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332143" w:rsidRDefault="008B6A32">
      <w:pPr>
        <w:spacing w:line="360" w:lineRule="auto"/>
        <w:ind w:firstLineChars="250" w:firstLine="800"/>
        <w:jc w:val="lef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负责全县特殊教育</w:t>
      </w:r>
    </w:p>
    <w:p w:rsidR="00332143" w:rsidRDefault="008B6A32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332143" w:rsidRDefault="008B6A3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/>
          <w:sz w:val="32"/>
        </w:rPr>
        <w:t>岳阳县</w:t>
      </w:r>
      <w:r>
        <w:rPr>
          <w:rFonts w:ascii="微软雅黑" w:eastAsia="微软雅黑" w:hAnsi="微软雅黑" w:cs="微软雅黑" w:hint="eastAsia"/>
          <w:sz w:val="32"/>
        </w:rPr>
        <w:t>特殊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 w:hint="eastAsia"/>
          <w:sz w:val="32"/>
        </w:rPr>
        <w:t>学校</w:t>
      </w:r>
      <w:r>
        <w:rPr>
          <w:rFonts w:ascii="微软雅黑" w:eastAsia="微软雅黑" w:hAnsi="微软雅黑" w:cs="微软雅黑"/>
          <w:sz w:val="32"/>
        </w:rPr>
        <w:t>单位内设机构包括：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办公室、教导处、财务室、党建办公室等。</w:t>
      </w:r>
    </w:p>
    <w:p w:rsidR="00332143" w:rsidRDefault="008B6A32">
      <w:pPr>
        <w:widowControl/>
        <w:spacing w:line="360" w:lineRule="auto"/>
        <w:rPr>
          <w:rFonts w:ascii="微软雅黑" w:eastAsia="微软雅黑" w:hAnsi="微软雅黑" w:cs="微软雅黑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/>
          <w:sz w:val="32"/>
        </w:rPr>
        <w:t>岳阳县教育教</w:t>
      </w:r>
      <w:r>
        <w:rPr>
          <w:rFonts w:ascii="微软雅黑" w:eastAsia="微软雅黑" w:hAnsi="微软雅黑" w:cs="微软雅黑" w:hint="eastAsia"/>
          <w:sz w:val="32"/>
        </w:rPr>
        <w:t>学校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2024年部门决算汇总公开单位构成包括：</w:t>
      </w:r>
      <w:r>
        <w:rPr>
          <w:rFonts w:ascii="微软雅黑" w:eastAsia="微软雅黑" w:hAnsi="微软雅黑" w:cs="微软雅黑"/>
          <w:sz w:val="32"/>
        </w:rPr>
        <w:t>岳阳县教育教</w:t>
      </w:r>
      <w:r>
        <w:rPr>
          <w:rFonts w:ascii="微软雅黑" w:eastAsia="微软雅黑" w:hAnsi="微软雅黑" w:cs="微软雅黑" w:hint="eastAsia"/>
          <w:sz w:val="32"/>
        </w:rPr>
        <w:t>学校</w:t>
      </w:r>
      <w:r>
        <w:rPr>
          <w:rFonts w:ascii="微软雅黑" w:eastAsia="微软雅黑" w:hAnsi="微软雅黑" w:cs="微软雅黑"/>
          <w:sz w:val="32"/>
        </w:rPr>
        <w:t>本级</w:t>
      </w:r>
      <w:r>
        <w:rPr>
          <w:rFonts w:ascii="微软雅黑" w:eastAsia="微软雅黑" w:hAnsi="微软雅黑" w:cs="微软雅黑" w:hint="eastAsia"/>
          <w:sz w:val="32"/>
        </w:rPr>
        <w:t>，无下属单位或机构。</w:t>
      </w:r>
    </w:p>
    <w:p w:rsidR="00332143" w:rsidRDefault="00332143">
      <w:pPr>
        <w:widowControl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24"/>
          <w:highlight w:val="white"/>
        </w:rPr>
        <w:sectPr w:rsidR="00332143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332143" w:rsidRDefault="008B6A32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332143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>
        <w:rPr>
          <w:rFonts w:ascii="微软雅黑" w:eastAsia="微软雅黑" w:hAnsi="微软雅黑" w:cs="微软雅黑"/>
          <w:sz w:val="32"/>
        </w:rPr>
        <w:t>697.71万元。与上年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</w:t>
      </w:r>
      <w:r w:rsidR="00344783">
        <w:rPr>
          <w:rFonts w:ascii="微软雅黑" w:eastAsia="微软雅黑" w:hAnsi="微软雅黑" w:cs="微软雅黑" w:hint="eastAsia"/>
          <w:sz w:val="32"/>
          <w:szCs w:val="32"/>
        </w:rPr>
        <w:t>减少9.25</w:t>
      </w:r>
      <w:r w:rsidR="00344783">
        <w:rPr>
          <w:rFonts w:ascii="微软雅黑" w:eastAsia="微软雅黑" w:hAnsi="微软雅黑" w:cs="微软雅黑"/>
          <w:sz w:val="32"/>
        </w:rPr>
        <w:t>万元，</w:t>
      </w:r>
      <w:r w:rsidR="00344783">
        <w:rPr>
          <w:rFonts w:ascii="微软雅黑" w:eastAsia="微软雅黑" w:hAnsi="微软雅黑" w:cs="微软雅黑" w:hint="eastAsia"/>
          <w:sz w:val="32"/>
        </w:rPr>
        <w:t>减少1.31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344783">
        <w:rPr>
          <w:rFonts w:ascii="微软雅黑" w:eastAsia="微软雅黑" w:hAnsi="微软雅黑" w:cs="微软雅黑" w:hint="eastAsia"/>
          <w:sz w:val="32"/>
        </w:rPr>
        <w:t>本年度教育支出减少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697.71万元，其中：财政拨款收入</w:t>
      </w:r>
      <w:r>
        <w:rPr>
          <w:rFonts w:ascii="微软雅黑" w:eastAsia="微软雅黑" w:hAnsi="微软雅黑" w:cs="微软雅黑"/>
          <w:sz w:val="32"/>
        </w:rPr>
        <w:t>697.71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万元，占100.00%；上级补助收入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年度支出合计697.71万元，其中：基本支出697.71万元，占100.00%；项目支出0万元，占0%；上缴上级支出0万元，占0%；经营支出0万元，占0%；对附属单位补助支出0万元，占0%。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332143" w:rsidRDefault="008B6A32" w:rsidP="00344783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年度财政拨款收、支总计697.71万元，与上年相比，</w:t>
      </w:r>
      <w:r w:rsidR="00344783">
        <w:rPr>
          <w:rFonts w:ascii="微软雅黑" w:eastAsia="微软雅黑" w:hAnsi="微软雅黑" w:cs="微软雅黑" w:hint="eastAsia"/>
          <w:sz w:val="32"/>
          <w:szCs w:val="32"/>
        </w:rPr>
        <w:t>减少9.25</w:t>
      </w:r>
      <w:r w:rsidR="00344783">
        <w:rPr>
          <w:rFonts w:ascii="微软雅黑" w:eastAsia="微软雅黑" w:hAnsi="微软雅黑" w:cs="微软雅黑"/>
          <w:sz w:val="32"/>
        </w:rPr>
        <w:t>万元，</w:t>
      </w:r>
      <w:r w:rsidR="00344783">
        <w:rPr>
          <w:rFonts w:ascii="微软雅黑" w:eastAsia="微软雅黑" w:hAnsi="微软雅黑" w:cs="微软雅黑" w:hint="eastAsia"/>
          <w:sz w:val="32"/>
        </w:rPr>
        <w:t>减少1.31</w:t>
      </w:r>
      <w:r w:rsidR="00344783">
        <w:rPr>
          <w:rFonts w:ascii="微软雅黑" w:eastAsia="微软雅黑" w:hAnsi="微软雅黑" w:cs="微软雅黑"/>
          <w:sz w:val="32"/>
        </w:rPr>
        <w:t>%，主要是因为</w:t>
      </w:r>
      <w:r w:rsidR="00344783">
        <w:rPr>
          <w:rFonts w:ascii="微软雅黑" w:eastAsia="微软雅黑" w:hAnsi="微软雅黑" w:cs="微软雅黑" w:hint="eastAsia"/>
          <w:sz w:val="32"/>
        </w:rPr>
        <w:t>本单位本年度教育支出减少。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344783" w:rsidRDefault="008B6A32" w:rsidP="00344783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年度财政拨款支出697.71万元，占本年支出合计的100.00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 w:rsidR="00344783">
        <w:rPr>
          <w:rFonts w:ascii="微软雅黑" w:eastAsia="微软雅黑" w:hAnsi="微软雅黑" w:cs="微软雅黑" w:hint="eastAsia"/>
          <w:sz w:val="32"/>
          <w:szCs w:val="32"/>
        </w:rPr>
        <w:t>减少9.25</w:t>
      </w:r>
      <w:r w:rsidR="00344783">
        <w:rPr>
          <w:rFonts w:ascii="微软雅黑" w:eastAsia="微软雅黑" w:hAnsi="微软雅黑" w:cs="微软雅黑"/>
          <w:sz w:val="32"/>
        </w:rPr>
        <w:t>万元，</w:t>
      </w:r>
      <w:r w:rsidR="00344783">
        <w:rPr>
          <w:rFonts w:ascii="微软雅黑" w:eastAsia="微软雅黑" w:hAnsi="微软雅黑" w:cs="微软雅黑" w:hint="eastAsia"/>
          <w:sz w:val="32"/>
        </w:rPr>
        <w:t>减少1.31</w:t>
      </w:r>
      <w:r w:rsidR="00344783">
        <w:rPr>
          <w:rFonts w:ascii="微软雅黑" w:eastAsia="微软雅黑" w:hAnsi="微软雅黑" w:cs="微软雅黑"/>
          <w:sz w:val="32"/>
        </w:rPr>
        <w:t>%，主要是因为</w:t>
      </w:r>
      <w:r w:rsidR="00344783">
        <w:rPr>
          <w:rFonts w:ascii="微软雅黑" w:eastAsia="微软雅黑" w:hAnsi="微软雅黑" w:cs="微软雅黑" w:hint="eastAsia"/>
          <w:sz w:val="32"/>
        </w:rPr>
        <w:t>本单位本年度特殊学校教育费用减少。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年度财政拨款支出697.71万元，主要用于以下方面：</w:t>
      </w:r>
      <w:r>
        <w:rPr>
          <w:rFonts w:ascii="微软雅黑" w:eastAsia="微软雅黑" w:hAnsi="微软雅黑" w:cs="微软雅黑" w:hint="eastAsia"/>
          <w:sz w:val="32"/>
          <w:szCs w:val="32"/>
        </w:rPr>
        <w:t>教育（类）支出</w:t>
      </w:r>
      <w:r>
        <w:rPr>
          <w:rFonts w:ascii="微软雅黑" w:eastAsia="微软雅黑" w:hAnsi="微软雅黑" w:cs="微软雅黑"/>
          <w:sz w:val="32"/>
        </w:rPr>
        <w:t>697.71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100.00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年度财政拨款支出年初预算数为318.59万元，支出决算数为</w:t>
      </w:r>
      <w:r>
        <w:rPr>
          <w:rFonts w:ascii="微软雅黑" w:eastAsia="微软雅黑" w:hAnsi="微软雅黑" w:cs="微软雅黑"/>
          <w:sz w:val="32"/>
        </w:rPr>
        <w:lastRenderedPageBreak/>
        <w:t>697.71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219.00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1、教育支出（类）特殊教育（款）特殊学校教育（项）。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>
        <w:rPr>
          <w:rFonts w:ascii="微软雅黑" w:eastAsia="微软雅黑" w:hAnsi="微软雅黑" w:cs="微软雅黑"/>
          <w:sz w:val="32"/>
        </w:rPr>
        <w:t>318.59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697.71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219.00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%，决算数大于年初预算数的主要原因是：人员调动，基本工资增加。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年度财政拨款基本支出697.71万元，其中：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488.83万元，占基本支出的70.06%,主要包括基本工资、津贴补贴、奖金、伙食补助费</w:t>
      </w:r>
      <w:r>
        <w:rPr>
          <w:rFonts w:ascii="微软雅黑" w:eastAsia="微软雅黑" w:hAnsi="微软雅黑" w:cs="微软雅黑" w:hint="eastAsia"/>
          <w:sz w:val="32"/>
        </w:rPr>
        <w:t>、绩效工资、机关事业单位基本养老保险缴费、职工基本医疗保险缴费、其他社会保障缴费、住房公积金、其他工资福利支出</w:t>
      </w:r>
      <w:r>
        <w:rPr>
          <w:rFonts w:ascii="微软雅黑" w:eastAsia="微软雅黑" w:hAnsi="微软雅黑" w:cs="微软雅黑"/>
          <w:sz w:val="32"/>
        </w:rPr>
        <w:t>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208.88万元，占基本支出的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29.94%，主要包括办公费、印刷费、咨询费、手续费、水费、电费、邮电费、差旅费、维修（护）费、培训费、其他商品和服务支出、办公设备购置、其他资本性支出。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332143" w:rsidRDefault="008B6A32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年度政府性基金预算财政拨款收入0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万元。具体情况如下：：</w:t>
      </w:r>
      <w:r>
        <w:rPr>
          <w:rFonts w:ascii="微软雅黑" w:eastAsia="微软雅黑" w:hAnsi="微软雅黑" w:cs="微软雅黑" w:hint="eastAsia"/>
          <w:i/>
          <w:iCs/>
          <w:color w:val="auto"/>
          <w:sz w:val="32"/>
          <w:szCs w:val="32"/>
        </w:rPr>
        <w:t>本单位无政府性基金收支。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年度国有资本经营预算财政拨款支出0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i/>
          <w:iCs/>
          <w:color w:val="auto"/>
          <w:sz w:val="32"/>
          <w:szCs w:val="32"/>
        </w:rPr>
        <w:t>本单位无国有资本经营预算财政拨款支出。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332143" w:rsidRDefault="008B6A32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332143" w:rsidRDefault="008B6A32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lastRenderedPageBreak/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预算数的主要原因是本单位无因公出国（境）费用，与上年相比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%,的主要原因</w:t>
      </w:r>
      <w:r w:rsidR="005845AE" w:rsidRPr="0095256E">
        <w:rPr>
          <w:rFonts w:ascii="微软雅黑" w:eastAsia="微软雅黑" w:hAnsi="微软雅黑" w:cs="微软雅黑" w:hint="eastAsia"/>
          <w:sz w:val="32"/>
        </w:rPr>
        <w:t>本单位</w:t>
      </w:r>
      <w:r w:rsidR="005845AE" w:rsidRPr="002A6523">
        <w:rPr>
          <w:rFonts w:ascii="微软雅黑" w:eastAsia="微软雅黑" w:hAnsi="微软雅黑" w:cs="微软雅黑" w:hint="eastAsia"/>
          <w:sz w:val="32"/>
        </w:rPr>
        <w:t>未安排外事出访活动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332143" w:rsidRDefault="008B6A32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预算数的主要原因是本单位无公务接待费，与上年相比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5845AE" w:rsidRPr="0095256E">
        <w:rPr>
          <w:rFonts w:ascii="微软雅黑" w:eastAsia="微软雅黑" w:hAnsi="微软雅黑" w:cs="微软雅黑" w:hint="eastAsia"/>
          <w:sz w:val="32"/>
        </w:rPr>
        <w:t>本单位</w:t>
      </w:r>
      <w:r w:rsidR="005845AE">
        <w:rPr>
          <w:rFonts w:ascii="微软雅黑" w:eastAsia="微软雅黑" w:hAnsi="微软雅黑" w:cs="微软雅黑" w:hint="eastAsia"/>
          <w:sz w:val="32"/>
        </w:rPr>
        <w:t>未接待公务活动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5845AE">
        <w:rPr>
          <w:rFonts w:ascii="微软雅黑" w:eastAsia="微软雅黑" w:hAnsi="微软雅黑" w:cs="微软雅黑" w:hint="eastAsia"/>
          <w:sz w:val="32"/>
          <w:szCs w:val="32"/>
        </w:rPr>
        <w:t>本单位无公务用车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5845AE">
        <w:rPr>
          <w:rFonts w:ascii="微软雅黑" w:eastAsia="微软雅黑" w:hAnsi="微软雅黑" w:cs="微软雅黑" w:hint="eastAsia"/>
          <w:sz w:val="32"/>
          <w:szCs w:val="32"/>
        </w:rPr>
        <w:t>本单位无公务用车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。</w:t>
      </w:r>
    </w:p>
    <w:p w:rsidR="00332143" w:rsidRDefault="008B6A32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万元，全年共接待来访团组0个、来宾0人次。</w:t>
      </w:r>
    </w:p>
    <w:p w:rsidR="00332143" w:rsidRDefault="008B6A32">
      <w:pPr>
        <w:spacing w:line="360" w:lineRule="auto"/>
        <w:ind w:firstLineChars="250" w:firstLine="800"/>
        <w:rPr>
          <w:rFonts w:ascii="微软雅黑" w:eastAsia="微软雅黑" w:hAnsi="微软雅黑" w:cs="微软雅黑"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岳阳县</w:t>
      </w:r>
      <w:r>
        <w:rPr>
          <w:rFonts w:ascii="微软雅黑" w:eastAsia="微软雅黑" w:hAnsi="微软雅黑" w:cs="微软雅黑" w:hint="eastAsia"/>
          <w:sz w:val="32"/>
        </w:rPr>
        <w:t>特殊教育学校</w:t>
      </w:r>
      <w:r>
        <w:rPr>
          <w:rFonts w:ascii="微软雅黑" w:eastAsia="微软雅黑" w:hAnsi="微软雅黑" w:cs="微软雅黑"/>
          <w:sz w:val="32"/>
        </w:rPr>
        <w:t>（单位本级或某二级机构）更新公务用车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万元，截至2024年12月31日，我单位开支财政拨款的公务用车保有量为0辆。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332143" w:rsidRDefault="005845A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 w:rsidRPr="002A6523">
        <w:rPr>
          <w:rFonts w:ascii="微软雅黑" w:eastAsia="微软雅黑" w:hAnsi="微软雅黑" w:cs="微软雅黑" w:hint="eastAsia"/>
          <w:iCs/>
          <w:sz w:val="32"/>
          <w:szCs w:val="32"/>
        </w:rPr>
        <w:lastRenderedPageBreak/>
        <w:t>本级为事业单位，按照机关运行经费的口径，本年度机关运行经费为0</w:t>
      </w:r>
      <w:r w:rsidR="008B6A32">
        <w:rPr>
          <w:rFonts w:ascii="微软雅黑" w:eastAsia="微软雅黑" w:hAnsi="微软雅黑" w:cs="微软雅黑" w:hint="eastAsia"/>
          <w:sz w:val="32"/>
        </w:rPr>
        <w:t>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2.50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万元，用于召开学生六一儿童节庆祝会议，人数240人，内容为“同在一片蓝天下，折翼天使也飞翔”，举办学校趣味运动会等；开支培训费</w:t>
      </w:r>
      <w:r>
        <w:rPr>
          <w:rFonts w:ascii="微软雅黑" w:eastAsia="微软雅黑" w:hAnsi="微软雅黑" w:cs="微软雅黑"/>
          <w:sz w:val="32"/>
        </w:rPr>
        <w:t>18.00万元，用于开展</w:t>
      </w:r>
      <w:r>
        <w:rPr>
          <w:rFonts w:ascii="微软雅黑" w:eastAsia="微软雅黑" w:hAnsi="微软雅黑" w:cs="微软雅黑" w:hint="eastAsia"/>
          <w:sz w:val="32"/>
        </w:rPr>
        <w:t>国培</w:t>
      </w:r>
      <w:r>
        <w:rPr>
          <w:rFonts w:ascii="微软雅黑" w:eastAsia="微软雅黑" w:hAnsi="微软雅黑" w:cs="微软雅黑"/>
          <w:sz w:val="32"/>
        </w:rPr>
        <w:t>培训，人数</w:t>
      </w:r>
      <w:r>
        <w:rPr>
          <w:rFonts w:ascii="微软雅黑" w:eastAsia="微软雅黑" w:hAnsi="微软雅黑" w:cs="微软雅黑" w:hint="eastAsia"/>
          <w:sz w:val="32"/>
        </w:rPr>
        <w:t>10</w:t>
      </w:r>
      <w:r>
        <w:rPr>
          <w:rFonts w:ascii="微软雅黑" w:eastAsia="微软雅黑" w:hAnsi="微软雅黑" w:cs="微软雅黑"/>
          <w:sz w:val="32"/>
        </w:rPr>
        <w:t>人，内容为</w:t>
      </w:r>
      <w:r>
        <w:rPr>
          <w:rFonts w:ascii="微软雅黑" w:eastAsia="微软雅黑" w:hAnsi="微软雅黑" w:cs="微软雅黑" w:hint="eastAsia"/>
          <w:sz w:val="32"/>
        </w:rPr>
        <w:t>音乐、体育、劳动技能等骨干教师培训，开展专业教师培训10，内容为医教协同骨干教师研修、中式面点骨干教师培训等</w:t>
      </w:r>
      <w:r>
        <w:rPr>
          <w:rFonts w:ascii="微软雅黑" w:eastAsia="微软雅黑" w:hAnsi="微软雅黑" w:cs="微软雅黑"/>
          <w:sz w:val="32"/>
        </w:rPr>
        <w:t>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本部门2024年度政府采购支出总额70万元，其中：政府采购货物支出34 万元、政府采购工程支出34万元、政府采购服务支出2万元。授予中小企业合同金额70万元，占政府采购支出总额的100%，其中：授予小微企业合同金额0万元，占授予中小企业合同金额的0%。货物采购授予中小企业合同金额占货物支出金额的100%，工程采购授予中小企业合同金额占工程支出金额的100%，服务采购授予中小企业合同金额占服务支出金额的100%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  <w:bookmarkStart w:id="0" w:name="_GoBack"/>
      <w:bookmarkEnd w:id="0"/>
    </w:p>
    <w:p w:rsidR="00332143" w:rsidRDefault="008B6A3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0辆，其中，主要领导干部用车0辆，机要通信用车0辆、应急保障用车0辆、执法执勤用车0辆、特种专业技术用车0辆、其他用车0辆，0；单位价值50万元以上通用设备0台（套）；单位价值100万元以上专用设备0台（套）。</w:t>
      </w:r>
    </w:p>
    <w:p w:rsidR="00332143" w:rsidRDefault="008B6A3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个政府性基金</w:t>
      </w:r>
      <w:r>
        <w:rPr>
          <w:rFonts w:ascii="微软雅黑" w:eastAsia="微软雅黑" w:hAnsi="微软雅黑" w:cs="微软雅黑"/>
          <w:color w:val="000000"/>
          <w:sz w:val="32"/>
        </w:rPr>
        <w:lastRenderedPageBreak/>
        <w:t>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万元，占政府性基金预算项目支出总额的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组织对0个项目开展了部门评价，涉及一般公共预算支出0万元，政府性基金预算支出0万元，国有资本经营预算支出0万元。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组织对“岳阳县特殊教育学校”1个单位开展整体支出绩效评价，涉及一般公共预算支出697.71万元，政府性基金预算支出0万元。</w:t>
      </w:r>
      <w:r w:rsidRPr="008B6A3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从评价情况来看，部门整体支出绩效自评得分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94.5</w:t>
      </w:r>
      <w:r w:rsidRPr="008B6A3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，评价等级为“优秀”。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100" w:firstLine="32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无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100" w:firstLine="32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332143" w:rsidRDefault="008B6A3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332143" w:rsidRDefault="008B6A32">
      <w:pPr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332143" w:rsidRDefault="00332143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332143" w:rsidRDefault="00332143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332143" w:rsidRDefault="008B6A3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332143" w:rsidRDefault="00332143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32143" w:rsidRDefault="008B6A3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332143" w:rsidRDefault="008B6A3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332143" w:rsidRDefault="00332143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332143" w:rsidRDefault="008B6A32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332143" w:rsidRDefault="0033214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332143" w:rsidRDefault="00332143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332143" w:rsidRDefault="008B6A3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332143" w:rsidRDefault="00332143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332143" w:rsidRDefault="008B6A3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332143" w:rsidRDefault="008B6A3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332143" w:rsidSect="00332143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32143"/>
    <w:rsid w:val="00344783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845AE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8B6A32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24D0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2F602876"/>
    <w:rsid w:val="306F0E15"/>
    <w:rsid w:val="31B77767"/>
    <w:rsid w:val="33E12879"/>
    <w:rsid w:val="34095384"/>
    <w:rsid w:val="34325484"/>
    <w:rsid w:val="34E24AFB"/>
    <w:rsid w:val="36E96615"/>
    <w:rsid w:val="3ACC0024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3C1FFD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6FB97C2B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32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2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2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321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214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32143"/>
    <w:rPr>
      <w:sz w:val="18"/>
      <w:szCs w:val="18"/>
    </w:rPr>
  </w:style>
  <w:style w:type="character" w:customStyle="1" w:styleId="font11">
    <w:name w:val="font11"/>
    <w:basedOn w:val="a0"/>
    <w:qFormat/>
    <w:rsid w:val="003321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321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32143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33214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321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69</cp:revision>
  <cp:lastPrinted>2023-08-15T09:28:00Z</cp:lastPrinted>
  <dcterms:created xsi:type="dcterms:W3CDTF">2020-07-04T18:32:00Z</dcterms:created>
  <dcterms:modified xsi:type="dcterms:W3CDTF">2025-10-23T02:29:00Z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661ABA64067A42B98A18CBAF8FC9F9FC_13</vt:lpwstr>
  </property>
  <property fmtid="{D5CDD505-2E9C-101B-9397-08002B2CF9AE}" pid="4" name="KSOTemplateDocerSaveRecord">
    <vt:lpwstr>eyJoZGlkIjoiOGRkODA4NThhNGVjZjhlNzMxOGU4NjgxOTJjODBjY2IiLCJ1c2VySWQiOiIzMDc4MTU5MDgifQ==</vt:lpwstr>
  </property>
</Properties>
</file>