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3A" w:rsidRDefault="00CD743A">
      <w:pPr>
        <w:pStyle w:val="a3"/>
        <w:spacing w:line="287" w:lineRule="auto"/>
        <w:rPr>
          <w:rFonts w:eastAsiaTheme="minorEastAsia"/>
          <w:lang w:eastAsia="zh-CN"/>
        </w:rPr>
      </w:pPr>
    </w:p>
    <w:p w:rsidR="00DA04BE" w:rsidRDefault="00DA04BE">
      <w:pPr>
        <w:pStyle w:val="a3"/>
        <w:spacing w:line="287" w:lineRule="auto"/>
        <w:rPr>
          <w:rFonts w:eastAsiaTheme="minorEastAsia"/>
          <w:lang w:eastAsia="zh-CN"/>
        </w:rPr>
      </w:pPr>
    </w:p>
    <w:p w:rsidR="00DA04BE" w:rsidRDefault="00DA04BE">
      <w:pPr>
        <w:pStyle w:val="a3"/>
        <w:spacing w:line="287" w:lineRule="auto"/>
        <w:rPr>
          <w:rFonts w:eastAsiaTheme="minorEastAsia"/>
          <w:lang w:eastAsia="zh-CN"/>
        </w:rPr>
      </w:pPr>
    </w:p>
    <w:p w:rsidR="00DA04BE" w:rsidRPr="00DA04BE" w:rsidRDefault="00DA04BE">
      <w:pPr>
        <w:pStyle w:val="a3"/>
        <w:spacing w:line="287" w:lineRule="auto"/>
        <w:rPr>
          <w:rFonts w:eastAsiaTheme="minorEastAsia"/>
          <w:lang w:eastAsia="zh-CN"/>
        </w:rPr>
      </w:pPr>
    </w:p>
    <w:p w:rsidR="00CD743A" w:rsidRDefault="00CD743A">
      <w:pPr>
        <w:pStyle w:val="a3"/>
        <w:spacing w:line="287" w:lineRule="auto"/>
      </w:pPr>
    </w:p>
    <w:p w:rsidR="00CD743A" w:rsidRDefault="0021793F">
      <w:pPr>
        <w:spacing w:before="91" w:line="219" w:lineRule="auto"/>
        <w:ind w:left="5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附件4</w:t>
      </w:r>
    </w:p>
    <w:p w:rsidR="00B74F35" w:rsidRDefault="0021793F" w:rsidP="00B74F35">
      <w:pPr>
        <w:spacing w:before="160" w:line="283" w:lineRule="auto"/>
        <w:ind w:right="540" w:firstLine="960"/>
        <w:jc w:val="center"/>
        <w:rPr>
          <w:rFonts w:ascii="宋体" w:eastAsia="宋体" w:hAnsi="宋体" w:cs="宋体"/>
          <w:b/>
          <w:bCs/>
          <w:spacing w:val="-6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202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4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年度</w:t>
      </w:r>
      <w:r w:rsidR="00B74F35"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岳阳县荣湾湖小学</w:t>
      </w:r>
    </w:p>
    <w:p w:rsidR="00CD743A" w:rsidRDefault="0021793F" w:rsidP="00B74F35">
      <w:pPr>
        <w:spacing w:before="160" w:line="283" w:lineRule="auto"/>
        <w:ind w:right="540" w:firstLine="960"/>
        <w:jc w:val="center"/>
        <w:rPr>
          <w:rFonts w:ascii="宋体" w:eastAsia="宋体" w:hAnsi="宋体" w:cs="宋体"/>
          <w:sz w:val="43"/>
          <w:szCs w:val="43"/>
        </w:rPr>
      </w:pP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部门</w:t>
      </w:r>
      <w:proofErr w:type="spellEnd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(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单位</w:t>
      </w:r>
      <w:proofErr w:type="spellEnd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)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整体支出</w:t>
      </w:r>
      <w:bookmarkStart w:id="0" w:name="_GoBack"/>
      <w:r>
        <w:rPr>
          <w:rFonts w:ascii="宋体" w:eastAsia="宋体" w:hAnsi="宋体" w:cs="宋体"/>
          <w:b/>
          <w:bCs/>
          <w:spacing w:val="6"/>
          <w:sz w:val="43"/>
          <w:szCs w:val="43"/>
        </w:rPr>
        <w:t>绩效自评报告</w:t>
      </w:r>
      <w:bookmarkEnd w:id="0"/>
      <w:proofErr w:type="spellEnd"/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Pr="00DA04BE" w:rsidRDefault="00CD743A">
      <w:pPr>
        <w:pStyle w:val="a3"/>
        <w:spacing w:line="241" w:lineRule="auto"/>
        <w:rPr>
          <w:rFonts w:eastAsiaTheme="minorEastAsia"/>
          <w:lang w:eastAsia="zh-CN"/>
        </w:rPr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CD743A">
      <w:pPr>
        <w:pStyle w:val="a3"/>
        <w:spacing w:line="241" w:lineRule="auto"/>
      </w:pPr>
    </w:p>
    <w:p w:rsidR="00CD743A" w:rsidRDefault="0021793F" w:rsidP="00DA04BE">
      <w:pPr>
        <w:spacing w:before="91" w:line="224" w:lineRule="auto"/>
        <w:ind w:firstLineChars="900" w:firstLine="2503"/>
        <w:rPr>
          <w:rFonts w:ascii="楷体" w:eastAsia="楷体" w:hAnsi="楷体" w:cs="楷体"/>
          <w:sz w:val="28"/>
          <w:szCs w:val="28"/>
        </w:rPr>
      </w:pP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部门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单位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)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名称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：</w:t>
      </w:r>
      <w:r w:rsidR="00DA04BE">
        <w:rPr>
          <w:rFonts w:ascii="楷体" w:eastAsia="楷体" w:hAnsi="楷体" w:cs="楷体" w:hint="eastAsia"/>
          <w:b/>
          <w:bCs/>
          <w:spacing w:val="-3"/>
          <w:sz w:val="28"/>
          <w:szCs w:val="28"/>
          <w:lang w:eastAsia="zh-CN"/>
        </w:rPr>
        <w:t>岳阳县</w:t>
      </w:r>
      <w:r w:rsidR="00640F41">
        <w:rPr>
          <w:rFonts w:ascii="楷体" w:eastAsia="楷体" w:hAnsi="楷体" w:cs="楷体" w:hint="eastAsia"/>
          <w:b/>
          <w:bCs/>
          <w:spacing w:val="-3"/>
          <w:sz w:val="28"/>
          <w:szCs w:val="28"/>
          <w:lang w:eastAsia="zh-CN"/>
        </w:rPr>
        <w:t>荣湾湖小学</w:t>
      </w:r>
      <w:r>
        <w:rPr>
          <w:rFonts w:ascii="楷体" w:eastAsia="楷体" w:hAnsi="楷体" w:cs="楷体"/>
          <w:spacing w:val="-66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-76"/>
          <w:sz w:val="28"/>
          <w:szCs w:val="28"/>
          <w:u w:val="single"/>
        </w:rPr>
        <w:t xml:space="preserve"> </w:t>
      </w:r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盖章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)</w:t>
      </w:r>
    </w:p>
    <w:p w:rsidR="00CD743A" w:rsidRDefault="00DA04BE">
      <w:pPr>
        <w:spacing w:before="281" w:line="225" w:lineRule="auto"/>
        <w:ind w:left="374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pacing w:val="-15"/>
          <w:sz w:val="28"/>
          <w:szCs w:val="28"/>
          <w:lang w:eastAsia="zh-CN"/>
        </w:rPr>
        <w:t>2025</w:t>
      </w:r>
      <w:r w:rsidR="0021793F">
        <w:rPr>
          <w:rFonts w:ascii="楷体" w:eastAsia="楷体" w:hAnsi="楷体" w:cs="楷体"/>
          <w:b/>
          <w:bCs/>
          <w:spacing w:val="-15"/>
          <w:sz w:val="28"/>
          <w:szCs w:val="28"/>
        </w:rPr>
        <w:t>年</w:t>
      </w:r>
      <w:r w:rsidR="0021793F">
        <w:rPr>
          <w:rFonts w:ascii="楷体" w:eastAsia="楷体" w:hAnsi="楷体" w:cs="楷体"/>
          <w:spacing w:val="3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pacing w:val="30"/>
          <w:sz w:val="28"/>
          <w:szCs w:val="28"/>
          <w:lang w:eastAsia="zh-CN"/>
        </w:rPr>
        <w:t>5</w:t>
      </w:r>
      <w:r w:rsidR="0021793F">
        <w:rPr>
          <w:rFonts w:ascii="楷体" w:eastAsia="楷体" w:hAnsi="楷体" w:cs="楷体"/>
          <w:spacing w:val="30"/>
          <w:sz w:val="28"/>
          <w:szCs w:val="28"/>
        </w:rPr>
        <w:t xml:space="preserve"> </w:t>
      </w:r>
      <w:r w:rsidR="0021793F">
        <w:rPr>
          <w:rFonts w:ascii="楷体" w:eastAsia="楷体" w:hAnsi="楷体" w:cs="楷体"/>
          <w:b/>
          <w:bCs/>
          <w:spacing w:val="-15"/>
          <w:sz w:val="28"/>
          <w:szCs w:val="28"/>
        </w:rPr>
        <w:t>月</w:t>
      </w:r>
      <w:r w:rsidR="0021793F">
        <w:rPr>
          <w:rFonts w:ascii="楷体" w:eastAsia="楷体" w:hAnsi="楷体" w:cs="楷体"/>
          <w:spacing w:val="26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pacing w:val="26"/>
          <w:sz w:val="28"/>
          <w:szCs w:val="28"/>
          <w:lang w:eastAsia="zh-CN"/>
        </w:rPr>
        <w:t>21</w:t>
      </w:r>
      <w:r w:rsidR="0021793F">
        <w:rPr>
          <w:rFonts w:ascii="楷体" w:eastAsia="楷体" w:hAnsi="楷体" w:cs="楷体"/>
          <w:spacing w:val="26"/>
          <w:sz w:val="28"/>
          <w:szCs w:val="28"/>
        </w:rPr>
        <w:t xml:space="preserve">  </w:t>
      </w:r>
      <w:r w:rsidR="0021793F">
        <w:rPr>
          <w:rFonts w:ascii="楷体" w:eastAsia="楷体" w:hAnsi="楷体" w:cs="楷体"/>
          <w:b/>
          <w:bCs/>
          <w:spacing w:val="-15"/>
          <w:sz w:val="28"/>
          <w:szCs w:val="28"/>
        </w:rPr>
        <w:t>日</w:t>
      </w:r>
    </w:p>
    <w:p w:rsidR="00CD743A" w:rsidRDefault="00CD743A">
      <w:pPr>
        <w:spacing w:line="230" w:lineRule="auto"/>
        <w:rPr>
          <w:rFonts w:ascii="楷体" w:eastAsia="楷体" w:hAnsi="楷体" w:cs="楷体"/>
          <w:sz w:val="28"/>
          <w:szCs w:val="28"/>
        </w:rPr>
        <w:sectPr w:rsidR="00CD743A">
          <w:footerReference w:type="default" r:id="rId6"/>
          <w:pgSz w:w="11900" w:h="16830"/>
          <w:pgMar w:top="1430" w:right="1785" w:bottom="2010" w:left="1489" w:header="0" w:footer="1647" w:gutter="0"/>
          <w:cols w:space="720"/>
        </w:sectPr>
      </w:pPr>
    </w:p>
    <w:p w:rsidR="00CD743A" w:rsidRDefault="00CD743A">
      <w:pPr>
        <w:pStyle w:val="a3"/>
        <w:spacing w:line="298" w:lineRule="auto"/>
      </w:pPr>
    </w:p>
    <w:p w:rsidR="00CD743A" w:rsidRDefault="00CD743A">
      <w:pPr>
        <w:pStyle w:val="a3"/>
        <w:spacing w:line="299" w:lineRule="auto"/>
      </w:pPr>
    </w:p>
    <w:p w:rsidR="00470993" w:rsidRDefault="0021793F" w:rsidP="00470993">
      <w:pPr>
        <w:spacing w:before="101" w:line="222" w:lineRule="auto"/>
        <w:ind w:left="639"/>
        <w:rPr>
          <w:rFonts w:ascii="黑体" w:eastAsia="黑体" w:hAnsi="黑体" w:cs="黑体"/>
          <w:spacing w:val="-7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7"/>
          <w:sz w:val="31"/>
          <w:szCs w:val="31"/>
        </w:rPr>
        <w:t>一</w:t>
      </w:r>
      <w:r>
        <w:rPr>
          <w:rFonts w:ascii="黑体" w:eastAsia="黑体" w:hAnsi="黑体" w:cs="黑体"/>
          <w:spacing w:val="-9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7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部门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(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单位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)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基本情况</w:t>
      </w:r>
      <w:proofErr w:type="spellEnd"/>
    </w:p>
    <w:p w:rsidR="00470993" w:rsidRDefault="00470993" w:rsidP="00470993">
      <w:pPr>
        <w:spacing w:before="101" w:line="300" w:lineRule="auto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黑体" w:hint="eastAsia"/>
          <w:spacing w:val="-7"/>
          <w:sz w:val="31"/>
          <w:szCs w:val="31"/>
          <w:lang w:eastAsia="zh-CN"/>
        </w:rPr>
        <w:t xml:space="preserve">       </w:t>
      </w:r>
      <w:proofErr w:type="spellStart"/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本单位负责</w:t>
      </w:r>
      <w:proofErr w:type="spellEnd"/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全面落实国家教育方针，负责划分区域范围内义务教育阶段小学教育教学工作，</w:t>
      </w:r>
      <w:proofErr w:type="spellStart"/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确保教学质量和效果</w:t>
      </w:r>
      <w:proofErr w:type="spellEnd"/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。</w:t>
      </w:r>
    </w:p>
    <w:p w:rsidR="0074240F" w:rsidRPr="0074240F" w:rsidRDefault="0074240F" w:rsidP="0074240F">
      <w:pPr>
        <w:spacing w:line="560" w:lineRule="exact"/>
        <w:ind w:firstLineChars="200" w:firstLine="640"/>
        <w:rPr>
          <w:rFonts w:ascii="仿宋_GB2312" w:eastAsia="仿宋_GB2312" w:hAnsi="宋体"/>
          <w:snapToGrid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本单位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2024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部门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整体支出共计</w:t>
      </w:r>
      <w:r w:rsidR="003A2F0A" w:rsidRPr="003A2F0A"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  <w:t>1786.6181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万元，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其中：一般公共预算支出</w:t>
      </w:r>
      <w:r w:rsidR="003A2F0A" w:rsidRPr="003A2F0A"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  <w:t>1516.4097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万元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，政府性基金</w:t>
      </w:r>
      <w:r w:rsidR="002919D6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预算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支出20万元，纳入专户管理的非税</w:t>
      </w:r>
      <w:r w:rsidR="002919D6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预算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支出</w:t>
      </w:r>
      <w:r w:rsidR="003A2F0A" w:rsidRPr="003A2F0A"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  <w:t>250.2084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万元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。按支出性质分为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基本支出</w:t>
      </w:r>
      <w:r w:rsidR="003A2F0A" w:rsidRPr="003A2F0A"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  <w:t>1776.6181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万元，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项目支出10万元；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其中人员经费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1313.8332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万元，日常公用经费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462.7849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，项目支出10万元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。</w:t>
      </w:r>
    </w:p>
    <w:p w:rsidR="00CD743A" w:rsidRDefault="0021793F" w:rsidP="00DA04BE">
      <w:pPr>
        <w:spacing w:before="194" w:line="221" w:lineRule="auto"/>
        <w:ind w:left="639"/>
        <w:jc w:val="both"/>
        <w:rPr>
          <w:rFonts w:ascii="黑体" w:eastAsia="黑体" w:hAnsi="黑体" w:cs="黑体"/>
          <w:spacing w:val="6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spacing w:val="6"/>
          <w:sz w:val="31"/>
          <w:szCs w:val="31"/>
        </w:rPr>
        <w:t>二、一般公共预算支出情况</w:t>
      </w:r>
      <w:proofErr w:type="spellEnd"/>
    </w:p>
    <w:p w:rsidR="0074240F" w:rsidRDefault="0074240F" w:rsidP="00DA04BE">
      <w:pPr>
        <w:spacing w:before="194" w:line="221" w:lineRule="auto"/>
        <w:ind w:left="639"/>
        <w:jc w:val="both"/>
        <w:rPr>
          <w:rFonts w:ascii="黑体" w:eastAsia="黑体" w:hAnsi="黑体" w:cs="黑体"/>
          <w:spacing w:val="6"/>
          <w:sz w:val="31"/>
          <w:szCs w:val="31"/>
          <w:lang w:eastAsia="zh-CN"/>
        </w:rPr>
      </w:pP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一般公共预算支出</w:t>
      </w:r>
      <w:r w:rsidR="003A2F0A" w:rsidRPr="003A2F0A"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  <w:t>1516.4097</w:t>
      </w:r>
      <w:r w:rsidRPr="00470993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万元。</w:t>
      </w:r>
    </w:p>
    <w:p w:rsidR="00CD743A" w:rsidRDefault="0074240F">
      <w:pPr>
        <w:spacing w:before="228" w:line="226" w:lineRule="auto"/>
        <w:ind w:left="804"/>
        <w:rPr>
          <w:rFonts w:ascii="仿宋" w:eastAsia="仿宋" w:hAnsi="仿宋" w:cs="仿宋"/>
          <w:spacing w:val="1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1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b/>
          <w:bCs/>
          <w:spacing w:val="1"/>
          <w:sz w:val="31"/>
          <w:szCs w:val="31"/>
        </w:rPr>
        <w:t>(</w:t>
      </w:r>
      <w:r w:rsidR="0021793F">
        <w:rPr>
          <w:rFonts w:ascii="楷体" w:eastAsia="楷体" w:hAnsi="楷体" w:cs="楷体"/>
          <w:spacing w:val="-31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b/>
          <w:bCs/>
          <w:spacing w:val="1"/>
          <w:sz w:val="31"/>
          <w:szCs w:val="31"/>
        </w:rPr>
        <w:t>一</w:t>
      </w:r>
      <w:r w:rsidR="0021793F">
        <w:rPr>
          <w:rFonts w:ascii="楷体" w:eastAsia="楷体" w:hAnsi="楷体" w:cs="楷体"/>
          <w:spacing w:val="-41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b/>
          <w:bCs/>
          <w:spacing w:val="1"/>
          <w:sz w:val="31"/>
          <w:szCs w:val="31"/>
        </w:rPr>
        <w:t>)</w:t>
      </w:r>
      <w:proofErr w:type="spellStart"/>
      <w:r w:rsidR="0021793F">
        <w:rPr>
          <w:rFonts w:ascii="仿宋" w:eastAsia="仿宋" w:hAnsi="仿宋" w:cs="仿宋"/>
          <w:spacing w:val="1"/>
          <w:sz w:val="31"/>
          <w:szCs w:val="31"/>
        </w:rPr>
        <w:t>基本支出情况</w:t>
      </w:r>
      <w:proofErr w:type="spellEnd"/>
    </w:p>
    <w:p w:rsidR="0074240F" w:rsidRPr="0074240F" w:rsidRDefault="0074240F" w:rsidP="0074240F">
      <w:pPr>
        <w:spacing w:line="560" w:lineRule="exact"/>
        <w:ind w:firstLineChars="200" w:firstLine="640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基本支出共计</w:t>
      </w:r>
      <w:r w:rsidR="003A2F0A"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  <w:t>15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0</w:t>
      </w:r>
      <w:r w:rsidR="003A2F0A" w:rsidRPr="003A2F0A"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  <w:t>6.4097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。其中：</w:t>
      </w:r>
    </w:p>
    <w:p w:rsidR="0074240F" w:rsidRPr="0074240F" w:rsidRDefault="0074240F" w:rsidP="008C1B54">
      <w:pPr>
        <w:spacing w:line="560" w:lineRule="exact"/>
        <w:ind w:firstLineChars="200" w:firstLine="640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</w:rPr>
      </w:pP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人员经费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1213.8332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万元，主要包括：按国家规定支出的基本工资、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奖金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绩效工资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proofErr w:type="spellStart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机关事业单位基本养老保险缴费</w:t>
      </w:r>
      <w:proofErr w:type="spellEnd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r w:rsidR="008C1B5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职工基本医疗保险缴费、其他社会保险缴费、住房公积金、</w:t>
      </w:r>
      <w:proofErr w:type="spellStart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其他工资福利支出</w:t>
      </w:r>
      <w:proofErr w:type="spellEnd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、</w:t>
      </w:r>
      <w:r w:rsidR="008C1B54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抚恤金、生活补助、奖励金、</w:t>
      </w:r>
      <w:proofErr w:type="spellStart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其他对个人和家庭的补助支出</w:t>
      </w:r>
      <w:proofErr w:type="spellEnd"/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；</w:t>
      </w:r>
    </w:p>
    <w:p w:rsidR="0074240F" w:rsidRPr="008C1B54" w:rsidRDefault="0074240F" w:rsidP="008C1B54">
      <w:pPr>
        <w:spacing w:line="560" w:lineRule="exact"/>
        <w:ind w:firstLineChars="200" w:firstLine="640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日常公用经费</w:t>
      </w:r>
      <w:r w:rsidR="003A2F0A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292.5765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，主要包括：办公费、印刷费、水费、电费、邮电费、差旅费、维修（护）费、培训费、其他商品和服务支出、办公设备购置、其他资本性支出。</w:t>
      </w:r>
    </w:p>
    <w:p w:rsidR="00DA04BE" w:rsidRDefault="0074240F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spacing w:val="2"/>
          <w:sz w:val="31"/>
          <w:szCs w:val="31"/>
        </w:rPr>
        <w:t>(</w:t>
      </w:r>
      <w:r w:rsidR="0021793F">
        <w:rPr>
          <w:rFonts w:ascii="楷体" w:eastAsia="楷体" w:hAnsi="楷体" w:cs="楷体"/>
          <w:spacing w:val="-30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spacing w:val="2"/>
          <w:sz w:val="31"/>
          <w:szCs w:val="31"/>
        </w:rPr>
        <w:t>二</w:t>
      </w:r>
      <w:r w:rsidR="0021793F">
        <w:rPr>
          <w:rFonts w:ascii="楷体" w:eastAsia="楷体" w:hAnsi="楷体" w:cs="楷体"/>
          <w:spacing w:val="-36"/>
          <w:sz w:val="31"/>
          <w:szCs w:val="31"/>
        </w:rPr>
        <w:t xml:space="preserve"> </w:t>
      </w:r>
      <w:r w:rsidR="0021793F">
        <w:rPr>
          <w:rFonts w:ascii="楷体" w:eastAsia="楷体" w:hAnsi="楷体" w:cs="楷体"/>
          <w:spacing w:val="2"/>
          <w:sz w:val="31"/>
          <w:szCs w:val="31"/>
        </w:rPr>
        <w:t>)</w:t>
      </w:r>
      <w:proofErr w:type="spellStart"/>
      <w:r w:rsidR="0021793F">
        <w:rPr>
          <w:rFonts w:ascii="仿宋" w:eastAsia="仿宋" w:hAnsi="仿宋" w:cs="仿宋"/>
          <w:spacing w:val="2"/>
          <w:sz w:val="31"/>
          <w:szCs w:val="31"/>
        </w:rPr>
        <w:t>项目支出情况</w:t>
      </w:r>
      <w:proofErr w:type="spellEnd"/>
    </w:p>
    <w:p w:rsidR="003A2F0A" w:rsidRPr="002919D6" w:rsidRDefault="003A2F0A" w:rsidP="002919D6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</w:rPr>
      </w:pP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lastRenderedPageBreak/>
        <w:t>项目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支出共计</w:t>
      </w:r>
      <w:r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  <w:t>1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0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，主要包括：</w:t>
      </w:r>
      <w:r w:rsidR="002919D6">
        <w:rPr>
          <w:rFonts w:ascii="仿宋" w:eastAsia="仿宋" w:hAnsi="仿宋" w:cs="仿宋" w:hint="eastAsia"/>
          <w:sz w:val="30"/>
          <w:szCs w:val="30"/>
          <w:lang w:eastAsia="zh-CN"/>
        </w:rPr>
        <w:t>业务工作经费项目</w:t>
      </w:r>
      <w:r w:rsidRPr="0074240F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。</w:t>
      </w:r>
    </w:p>
    <w:p w:rsidR="00CD743A" w:rsidRDefault="0021793F">
      <w:pPr>
        <w:spacing w:before="207" w:line="222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三、政府性基金预算支出情况</w:t>
      </w:r>
      <w:proofErr w:type="spellEnd"/>
    </w:p>
    <w:p w:rsidR="00DA04BE" w:rsidRPr="00DA04BE" w:rsidRDefault="00DA04BE" w:rsidP="002919D6">
      <w:pPr>
        <w:spacing w:before="220" w:line="360" w:lineRule="auto"/>
        <w:ind w:firstLineChars="200" w:firstLine="624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政府性基金预算支出</w:t>
      </w:r>
      <w:r w:rsidR="002919D6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20万元，主要包括：办公设备购置，专用设备购置。</w:t>
      </w:r>
    </w:p>
    <w:p w:rsidR="00CD743A" w:rsidRDefault="0021793F">
      <w:pPr>
        <w:spacing w:before="23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四、国有资本经营预算支出情况</w:t>
      </w:r>
      <w:proofErr w:type="spellEnd"/>
    </w:p>
    <w:p w:rsidR="00DA04BE" w:rsidRPr="00DA04BE" w:rsidRDefault="00DA04BE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本单位本年度无国有资本经营预算支出。</w:t>
      </w:r>
    </w:p>
    <w:p w:rsidR="00CD743A" w:rsidRDefault="0021793F">
      <w:pPr>
        <w:spacing w:before="22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五、社会保险基金预算支出情况</w:t>
      </w:r>
      <w:proofErr w:type="spellEnd"/>
    </w:p>
    <w:p w:rsidR="00DA04BE" w:rsidRPr="00DA04BE" w:rsidRDefault="00DA04BE" w:rsidP="00DA04BE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本单位本年度无社会保险基金预算支出。</w:t>
      </w:r>
    </w:p>
    <w:p w:rsidR="00CD743A" w:rsidRDefault="0021793F" w:rsidP="002919D6">
      <w:pPr>
        <w:spacing w:before="227" w:line="360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六、部门整体支出绩效情况</w:t>
      </w:r>
      <w:proofErr w:type="spellEnd"/>
    </w:p>
    <w:p w:rsidR="0019561F" w:rsidRPr="0019561F" w:rsidRDefault="002919D6" w:rsidP="002919D6">
      <w:pPr>
        <w:shd w:val="clear" w:color="auto" w:fill="FFFFFF"/>
        <w:spacing w:line="360" w:lineRule="auto"/>
        <w:ind w:firstLine="560"/>
        <w:textAlignment w:val="center"/>
        <w:rPr>
          <w:rFonts w:ascii="仿宋_GB2312" w:eastAsia="仿宋_GB2312" w:hAnsi="宋体" w:cs="仿宋_GB2312"/>
          <w:snapToGrid/>
          <w:color w:val="333333"/>
          <w:sz w:val="32"/>
          <w:szCs w:val="32"/>
          <w:shd w:val="clear" w:color="auto" w:fill="FFFFFF"/>
          <w:lang w:eastAsia="zh-CN"/>
        </w:rPr>
      </w:pPr>
      <w:bookmarkStart w:id="1" w:name="OLE_LINK5"/>
      <w:bookmarkStart w:id="2" w:name="OLE_LINK6"/>
      <w:r w:rsidRPr="002919D6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我校对部门整体支出的预算执行高度重视。一是大力提倡勤俭节约，坚持把有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限的经费用在学校教育事业发展项目上；二是坚持集体理财，</w:t>
      </w:r>
      <w:r w:rsidRPr="002919D6"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重大收支计划需经</w:t>
      </w:r>
      <w:r>
        <w:rPr>
          <w:rFonts w:ascii="仿宋_GB2312" w:eastAsia="仿宋_GB2312" w:hAnsi="宋体" w:cs="仿宋_GB2312" w:hint="eastAsia"/>
          <w:snapToGrid/>
          <w:color w:val="333333"/>
          <w:sz w:val="32"/>
          <w:szCs w:val="32"/>
          <w:shd w:val="clear" w:color="auto" w:fill="FFFFFF"/>
          <w:lang w:eastAsia="zh-CN"/>
        </w:rPr>
        <w:t>会议审定后执行，并且每月开支预算执行情况调度，合理分配资金。</w:t>
      </w:r>
    </w:p>
    <w:bookmarkEnd w:id="1"/>
    <w:bookmarkEnd w:id="2"/>
    <w:p w:rsidR="002919D6" w:rsidRDefault="002919D6" w:rsidP="00DF2329">
      <w:pPr>
        <w:spacing w:before="15" w:line="360" w:lineRule="auto"/>
        <w:ind w:firstLineChars="200" w:firstLine="626"/>
        <w:outlineLvl w:val="2"/>
        <w:rPr>
          <w:rFonts w:ascii="仿宋" w:eastAsia="仿宋" w:hAnsi="仿宋" w:cs="仿宋"/>
          <w:spacing w:val="3"/>
          <w:sz w:val="31"/>
          <w:szCs w:val="31"/>
          <w:lang w:eastAsia="zh-CN"/>
        </w:rPr>
      </w:pPr>
      <w:r w:rsidRPr="002919D6">
        <w:rPr>
          <w:rFonts w:ascii="仿宋" w:eastAsia="仿宋" w:hAnsi="仿宋" w:cs="仿宋" w:hint="eastAsia"/>
          <w:spacing w:val="3"/>
          <w:sz w:val="31"/>
          <w:szCs w:val="31"/>
        </w:rPr>
        <w:t>根据定量分析及定性分析，综合考评得分为</w:t>
      </w:r>
      <w:r>
        <w:rPr>
          <w:rFonts w:ascii="仿宋" w:eastAsia="仿宋" w:hAnsi="仿宋" w:cs="仿宋"/>
          <w:spacing w:val="3"/>
          <w:sz w:val="31"/>
          <w:szCs w:val="31"/>
        </w:rPr>
        <w:t>9</w:t>
      </w:r>
      <w:r>
        <w:rPr>
          <w:rFonts w:ascii="仿宋" w:eastAsia="仿宋" w:hAnsi="仿宋" w:cs="仿宋" w:hint="eastAsia"/>
          <w:spacing w:val="3"/>
          <w:sz w:val="31"/>
          <w:szCs w:val="31"/>
          <w:lang w:eastAsia="zh-CN"/>
        </w:rPr>
        <w:t>9</w:t>
      </w:r>
      <w:r w:rsidRPr="002919D6">
        <w:rPr>
          <w:rFonts w:ascii="仿宋" w:eastAsia="仿宋" w:hAnsi="仿宋" w:cs="仿宋" w:hint="eastAsia"/>
          <w:spacing w:val="3"/>
          <w:sz w:val="31"/>
          <w:szCs w:val="31"/>
        </w:rPr>
        <w:t>分，评价等次确定为优。</w:t>
      </w:r>
    </w:p>
    <w:p w:rsidR="00CD743A" w:rsidRDefault="0021793F" w:rsidP="002919D6">
      <w:pPr>
        <w:spacing w:before="15" w:line="360" w:lineRule="auto"/>
        <w:ind w:left="644"/>
        <w:outlineLvl w:val="2"/>
        <w:rPr>
          <w:rFonts w:ascii="黑体" w:eastAsia="黑体" w:hAnsi="黑体" w:cs="黑体"/>
          <w:b/>
          <w:bCs/>
          <w:spacing w:val="2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2"/>
          <w:sz w:val="31"/>
          <w:szCs w:val="31"/>
        </w:rPr>
        <w:t>七、存在的问题及原因分析</w:t>
      </w:r>
      <w:proofErr w:type="spellEnd"/>
    </w:p>
    <w:p w:rsidR="002919D6" w:rsidRDefault="002919D6" w:rsidP="002919D6">
      <w:pPr>
        <w:spacing w:before="1" w:line="360" w:lineRule="auto"/>
        <w:ind w:firstLineChars="200" w:firstLine="646"/>
        <w:rPr>
          <w:rFonts w:ascii="仿宋" w:eastAsia="仿宋" w:hAnsi="仿宋" w:cs="仿宋"/>
          <w:spacing w:val="13"/>
          <w:sz w:val="31"/>
          <w:szCs w:val="31"/>
          <w:lang w:eastAsia="zh-CN"/>
        </w:rPr>
      </w:pPr>
      <w:proofErr w:type="spellStart"/>
      <w:r w:rsidRPr="002919D6">
        <w:rPr>
          <w:rFonts w:ascii="仿宋" w:eastAsia="仿宋" w:hAnsi="仿宋" w:cs="仿宋" w:hint="eastAsia"/>
          <w:spacing w:val="13"/>
          <w:sz w:val="31"/>
          <w:szCs w:val="31"/>
        </w:rPr>
        <w:t>因部门整体支出的资金安排和使用上具有不可预见性，在科学设置预算绩效指标上还需进一步加强</w:t>
      </w:r>
      <w:proofErr w:type="spellEnd"/>
      <w:r w:rsidRPr="002919D6">
        <w:rPr>
          <w:rFonts w:ascii="仿宋" w:eastAsia="仿宋" w:hAnsi="仿宋" w:cs="仿宋" w:hint="eastAsia"/>
          <w:spacing w:val="13"/>
          <w:sz w:val="31"/>
          <w:szCs w:val="31"/>
        </w:rPr>
        <w:t>。</w:t>
      </w:r>
    </w:p>
    <w:p w:rsidR="00CD743A" w:rsidRDefault="0021793F" w:rsidP="002919D6">
      <w:pPr>
        <w:spacing w:before="1" w:line="360" w:lineRule="auto"/>
        <w:ind w:left="644"/>
        <w:rPr>
          <w:rFonts w:ascii="黑体" w:eastAsia="黑体" w:hAnsi="黑体" w:cs="黑体"/>
          <w:b/>
          <w:bCs/>
          <w:spacing w:val="5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t>八、下一步改进措施</w:t>
      </w:r>
      <w:proofErr w:type="spellEnd"/>
    </w:p>
    <w:p w:rsidR="008C1B54" w:rsidRPr="00DF2329" w:rsidRDefault="00DF2329" w:rsidP="00DF2329">
      <w:pPr>
        <w:spacing w:before="1" w:line="360" w:lineRule="auto"/>
        <w:ind w:firstLineChars="200" w:firstLine="600"/>
        <w:rPr>
          <w:rFonts w:ascii="黑体" w:eastAsia="黑体" w:hAnsi="黑体" w:cs="黑体"/>
          <w:b/>
          <w:bCs/>
          <w:spacing w:val="5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lastRenderedPageBreak/>
        <w:t>高度重视财务人员队伍建设，加强对财务人员业务工作指导和规范化培训，尤其是加强新《预算法》、《政府会计制度》等学习培训。规范部门预算收支核算。落实预算执行分析，及时了解预算执行差异，合理调整、纠正预算执行偏差，切实提高部门预算收支管理水平。</w:t>
      </w:r>
    </w:p>
    <w:p w:rsidR="00CD743A" w:rsidRDefault="0021793F">
      <w:pPr>
        <w:spacing w:before="226" w:line="221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九、部门整体支出绩效自评结果拟应用和公开情况</w:t>
      </w:r>
      <w:proofErr w:type="spellEnd"/>
    </w:p>
    <w:p w:rsidR="00DF2329" w:rsidRPr="00DF2329" w:rsidRDefault="00DF2329" w:rsidP="00DF2329">
      <w:pPr>
        <w:spacing w:before="219" w:line="360" w:lineRule="auto"/>
        <w:ind w:firstLineChars="200" w:firstLine="648"/>
        <w:rPr>
          <w:rFonts w:ascii="仿宋" w:eastAsia="仿宋" w:hAnsi="仿宋" w:cs="仿宋"/>
          <w:spacing w:val="14"/>
          <w:sz w:val="31"/>
          <w:szCs w:val="31"/>
        </w:rPr>
      </w:pPr>
      <w:r w:rsidRPr="00DF2329">
        <w:rPr>
          <w:rFonts w:ascii="仿宋" w:eastAsia="仿宋" w:hAnsi="仿宋" w:cs="仿宋"/>
          <w:spacing w:val="14"/>
          <w:sz w:val="31"/>
          <w:szCs w:val="31"/>
        </w:rPr>
        <w:t>1.</w:t>
      </w:r>
      <w:r w:rsidRPr="00DF2329">
        <w:rPr>
          <w:rFonts w:ascii="仿宋" w:eastAsia="仿宋" w:hAnsi="仿宋" w:cs="仿宋" w:hint="eastAsia"/>
          <w:spacing w:val="14"/>
          <w:sz w:val="31"/>
          <w:szCs w:val="31"/>
        </w:rPr>
        <w:t>通过对部门整体支出绩效自评结果的分析和应用，了解部门工作完成情况，针对发现的问题和瓶颈，适时地调整工作方向，提高整个部门的绩效水平。另外，借助绩效自评结果，进行绩效考核和激励，创造更好的工作氛围和激励机制。</w:t>
      </w:r>
    </w:p>
    <w:p w:rsidR="00DF2329" w:rsidRDefault="00DF2329" w:rsidP="00DF2329">
      <w:pPr>
        <w:spacing w:before="219" w:line="360" w:lineRule="auto"/>
        <w:ind w:firstLineChars="200" w:firstLine="648"/>
        <w:rPr>
          <w:rFonts w:ascii="仿宋" w:eastAsia="仿宋" w:hAnsi="仿宋" w:cs="仿宋"/>
          <w:spacing w:val="14"/>
          <w:sz w:val="31"/>
          <w:szCs w:val="31"/>
          <w:lang w:eastAsia="zh-CN"/>
        </w:rPr>
      </w:pPr>
      <w:r w:rsidRPr="00DF2329">
        <w:rPr>
          <w:rFonts w:ascii="仿宋" w:eastAsia="仿宋" w:hAnsi="仿宋" w:cs="仿宋"/>
          <w:spacing w:val="14"/>
          <w:sz w:val="31"/>
          <w:szCs w:val="31"/>
        </w:rPr>
        <w:t>2.</w:t>
      </w:r>
      <w:r w:rsidRPr="00DF2329">
        <w:rPr>
          <w:rFonts w:ascii="仿宋" w:eastAsia="仿宋" w:hAnsi="仿宋" w:cs="仿宋" w:hint="eastAsia"/>
          <w:spacing w:val="14"/>
          <w:sz w:val="31"/>
          <w:szCs w:val="31"/>
        </w:rPr>
        <w:t>适时公开部门整体支出绩效自评结果，让教职工了解我部门的绩效评价标准和结果，有利于建立公平公正的绩效考核制度，激发教职工的工作热情和积极性，提高整体绩效水平。</w:t>
      </w:r>
    </w:p>
    <w:p w:rsidR="008C1B54" w:rsidRPr="008C1B54" w:rsidRDefault="0021793F" w:rsidP="00DF2329">
      <w:pPr>
        <w:spacing w:before="219" w:line="360" w:lineRule="auto"/>
        <w:ind w:firstLineChars="200" w:firstLine="628"/>
        <w:rPr>
          <w:rFonts w:ascii="黑体" w:eastAsia="黑体" w:hAnsi="黑体" w:cs="黑体"/>
          <w:b/>
          <w:bCs/>
          <w:spacing w:val="4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4"/>
          <w:sz w:val="31"/>
          <w:szCs w:val="31"/>
        </w:rPr>
        <w:t>十、其他需要说明的情况</w:t>
      </w:r>
      <w:proofErr w:type="spellEnd"/>
    </w:p>
    <w:p w:rsidR="0019561F" w:rsidRDefault="008C1B54" w:rsidP="0019561F">
      <w:pPr>
        <w:spacing w:line="360" w:lineRule="auto"/>
        <w:rPr>
          <w:rFonts w:ascii="仿宋" w:eastAsia="仿宋" w:hAnsi="仿宋" w:cs="仿宋"/>
          <w:spacing w:val="14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z w:val="31"/>
          <w:szCs w:val="31"/>
          <w:lang w:eastAsia="zh-CN"/>
        </w:rPr>
        <w:t xml:space="preserve">    </w:t>
      </w:r>
      <w:r w:rsidRPr="008C1B54">
        <w:rPr>
          <w:rFonts w:ascii="仿宋" w:eastAsia="仿宋" w:hAnsi="仿宋" w:cs="仿宋" w:hint="eastAsia"/>
          <w:spacing w:val="14"/>
          <w:sz w:val="31"/>
          <w:szCs w:val="31"/>
        </w:rPr>
        <w:t xml:space="preserve">  无</w:t>
      </w:r>
    </w:p>
    <w:p w:rsidR="0019561F" w:rsidRDefault="0019561F" w:rsidP="0019561F">
      <w:pPr>
        <w:spacing w:line="360" w:lineRule="auto"/>
        <w:ind w:firstLineChars="150" w:firstLine="486"/>
        <w:rPr>
          <w:rFonts w:ascii="仿宋" w:eastAsia="仿宋" w:hAnsi="仿宋" w:cs="仿宋"/>
          <w:spacing w:val="14"/>
          <w:sz w:val="31"/>
          <w:szCs w:val="31"/>
          <w:lang w:eastAsia="zh-CN"/>
        </w:rPr>
      </w:pPr>
    </w:p>
    <w:p w:rsidR="0019561F" w:rsidRDefault="0019561F" w:rsidP="0019561F">
      <w:pPr>
        <w:spacing w:line="360" w:lineRule="auto"/>
        <w:ind w:firstLineChars="150" w:firstLine="486"/>
        <w:rPr>
          <w:rFonts w:ascii="仿宋" w:eastAsia="仿宋" w:hAnsi="仿宋" w:cs="仿宋"/>
          <w:spacing w:val="14"/>
          <w:sz w:val="31"/>
          <w:szCs w:val="31"/>
          <w:lang w:eastAsia="zh-CN"/>
        </w:rPr>
      </w:pPr>
    </w:p>
    <w:p w:rsidR="00CD743A" w:rsidRDefault="00CD743A" w:rsidP="006D4B9C">
      <w:pPr>
        <w:spacing w:before="239" w:line="221" w:lineRule="auto"/>
        <w:rPr>
          <w:rFonts w:ascii="仿宋" w:eastAsia="仿宋" w:hAnsi="仿宋" w:cs="仿宋" w:hint="eastAsia"/>
          <w:sz w:val="30"/>
          <w:szCs w:val="30"/>
          <w:lang w:eastAsia="zh-CN"/>
        </w:rPr>
      </w:pPr>
    </w:p>
    <w:sectPr w:rsidR="00CD743A" w:rsidSect="00CD743A">
      <w:footerReference w:type="default" r:id="rId7"/>
      <w:pgSz w:w="11900" w:h="16830"/>
      <w:pgMar w:top="1430" w:right="1572" w:bottom="1987" w:left="1785" w:header="0" w:footer="15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64D" w:rsidRDefault="0088564D">
      <w:r>
        <w:separator/>
      </w:r>
    </w:p>
  </w:endnote>
  <w:endnote w:type="continuationSeparator" w:id="0">
    <w:p w:rsidR="0088564D" w:rsidRDefault="00885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3A" w:rsidRDefault="0021793F">
    <w:pPr>
      <w:spacing w:before="1" w:line="232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—9—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3A" w:rsidRDefault="0021793F">
    <w:pPr>
      <w:spacing w:before="1" w:line="234" w:lineRule="auto"/>
      <w:jc w:val="right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9"/>
        <w:sz w:val="30"/>
        <w:szCs w:val="30"/>
      </w:rPr>
      <w:t>—11—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64D" w:rsidRDefault="0088564D">
      <w:r>
        <w:separator/>
      </w:r>
    </w:p>
  </w:footnote>
  <w:footnote w:type="continuationSeparator" w:id="0">
    <w:p w:rsidR="0088564D" w:rsidRDefault="008856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CD743A"/>
    <w:rsid w:val="000875E2"/>
    <w:rsid w:val="0019561F"/>
    <w:rsid w:val="0021793F"/>
    <w:rsid w:val="002919D6"/>
    <w:rsid w:val="002D485F"/>
    <w:rsid w:val="003A2F0A"/>
    <w:rsid w:val="00470993"/>
    <w:rsid w:val="004A3CB1"/>
    <w:rsid w:val="00640F41"/>
    <w:rsid w:val="006D4B9C"/>
    <w:rsid w:val="0074240F"/>
    <w:rsid w:val="0088564D"/>
    <w:rsid w:val="008C1B54"/>
    <w:rsid w:val="00B74F35"/>
    <w:rsid w:val="00CD63F1"/>
    <w:rsid w:val="00CD743A"/>
    <w:rsid w:val="00DA04BE"/>
    <w:rsid w:val="00DF2329"/>
    <w:rsid w:val="00E028D7"/>
    <w:rsid w:val="00E326A3"/>
    <w:rsid w:val="2797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D743A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CD743A"/>
  </w:style>
  <w:style w:type="table" w:customStyle="1" w:styleId="TableNormal">
    <w:name w:val="Table Normal"/>
    <w:semiHidden/>
    <w:unhideWhenUsed/>
    <w:qFormat/>
    <w:rsid w:val="00CD74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DA04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04BE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DA04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A04BE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2025-05-23T06:11:00Z</dcterms:created>
  <dcterms:modified xsi:type="dcterms:W3CDTF">2025-09-25T11:21:00Z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2025-05-20T08:21:08Z</vt:filetime>
  </property>
  <property fmtid="{D5CDD505-2E9C-101B-9397-08002B2CF9AE}" pid="4" name="UsrData">
    <vt:lpwstr>682bcaf25e7b0b001f76405dwl</vt:lpwstr>
  </property>
  <property fmtid="{D5CDD505-2E9C-101B-9397-08002B2CF9AE}" pid="5" name="KSOTemplateDocerSaveRecord">
    <vt:lpwstr>eyJoZGlkIjoiMmZmZmU2YmNiYmQwMDBhZDg1MWRjNTZmOTk1MjU3MjEiLCJ1c2VySWQiOiIxNjY1NTQ4Nzk3In0=</vt:lpwstr>
  </property>
  <property fmtid="{D5CDD505-2E9C-101B-9397-08002B2CF9AE}" pid="6" name="KSOProductBuildVer">
    <vt:lpwstr>2052-12.1.0.19770</vt:lpwstr>
  </property>
  <property fmtid="{D5CDD505-2E9C-101B-9397-08002B2CF9AE}" pid="7" name="ICV">
    <vt:lpwstr>82ED3EABC45A4EF4AABA46D416CBCA09_13</vt:lpwstr>
  </property>
</Properties>
</file>