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042" w:rsidRDefault="00CA5042">
      <w:pPr>
        <w:pStyle w:val="Default"/>
        <w:jc w:val="center"/>
        <w:rPr>
          <w:rFonts w:ascii="微软雅黑" w:eastAsia="微软雅黑" w:hAnsi="微软雅黑" w:cs="微软雅黑"/>
          <w:sz w:val="56"/>
          <w:szCs w:val="56"/>
        </w:rPr>
      </w:pPr>
    </w:p>
    <w:p w:rsidR="00CA5042" w:rsidRDefault="00CA5042">
      <w:pPr>
        <w:pStyle w:val="Default"/>
        <w:jc w:val="center"/>
        <w:rPr>
          <w:rFonts w:ascii="微软雅黑" w:eastAsia="微软雅黑" w:hAnsi="微软雅黑" w:cs="微软雅黑"/>
          <w:sz w:val="56"/>
          <w:szCs w:val="56"/>
        </w:rPr>
      </w:pPr>
    </w:p>
    <w:p w:rsidR="00CA5042" w:rsidRDefault="00CA5042">
      <w:pPr>
        <w:pStyle w:val="Default"/>
        <w:jc w:val="center"/>
        <w:rPr>
          <w:rFonts w:ascii="微软雅黑" w:eastAsia="微软雅黑" w:hAnsi="微软雅黑" w:cs="微软雅黑"/>
          <w:sz w:val="84"/>
          <w:szCs w:val="84"/>
        </w:rPr>
      </w:pPr>
    </w:p>
    <w:p w:rsidR="00CA5042" w:rsidRDefault="00CA5042">
      <w:pPr>
        <w:pStyle w:val="Default"/>
        <w:jc w:val="center"/>
        <w:rPr>
          <w:rFonts w:ascii="微软雅黑" w:eastAsia="微软雅黑" w:hAnsi="微软雅黑" w:cs="微软雅黑"/>
          <w:sz w:val="84"/>
          <w:szCs w:val="84"/>
        </w:rPr>
      </w:pPr>
    </w:p>
    <w:p w:rsidR="00CA5042" w:rsidRDefault="00AE6512">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CA5042" w:rsidRDefault="00AE6512">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岳阳县张谷英镇中心学校</w:t>
      </w:r>
      <w:r>
        <w:rPr>
          <w:rFonts w:ascii="微软雅黑" w:eastAsia="微软雅黑" w:hAnsi="微软雅黑" w:cs="微软雅黑"/>
          <w:b/>
          <w:sz w:val="84"/>
        </w:rPr>
        <w:t>部门（单位）部门决算</w:t>
      </w:r>
    </w:p>
    <w:p w:rsidR="00CA5042" w:rsidRDefault="00CA5042">
      <w:pPr>
        <w:pStyle w:val="Default"/>
        <w:jc w:val="center"/>
        <w:rPr>
          <w:rFonts w:ascii="微软雅黑" w:eastAsia="微软雅黑" w:hAnsi="微软雅黑" w:cs="微软雅黑"/>
          <w:sz w:val="84"/>
          <w:szCs w:val="84"/>
        </w:rPr>
      </w:pPr>
    </w:p>
    <w:p w:rsidR="00CA5042" w:rsidRDefault="00CA5042">
      <w:pPr>
        <w:pStyle w:val="Default"/>
        <w:jc w:val="center"/>
        <w:rPr>
          <w:rFonts w:ascii="微软雅黑" w:eastAsia="微软雅黑" w:hAnsi="微软雅黑" w:cs="微软雅黑"/>
          <w:sz w:val="84"/>
          <w:szCs w:val="84"/>
        </w:rPr>
      </w:pPr>
    </w:p>
    <w:p w:rsidR="00CA5042" w:rsidRDefault="00CA5042">
      <w:pPr>
        <w:pStyle w:val="Default"/>
        <w:jc w:val="center"/>
        <w:rPr>
          <w:rFonts w:ascii="微软雅黑" w:eastAsia="微软雅黑" w:hAnsi="微软雅黑" w:cs="微软雅黑"/>
          <w:sz w:val="84"/>
          <w:szCs w:val="84"/>
        </w:rPr>
      </w:pPr>
    </w:p>
    <w:p w:rsidR="00CA5042" w:rsidRDefault="00CA5042">
      <w:pPr>
        <w:pStyle w:val="Default"/>
        <w:jc w:val="center"/>
        <w:rPr>
          <w:rFonts w:ascii="微软雅黑" w:eastAsia="微软雅黑" w:hAnsi="微软雅黑" w:cs="微软雅黑"/>
          <w:sz w:val="84"/>
          <w:szCs w:val="84"/>
        </w:rPr>
      </w:pPr>
    </w:p>
    <w:p w:rsidR="00CA5042" w:rsidRDefault="00CA5042">
      <w:pPr>
        <w:rPr>
          <w:rFonts w:ascii="微软雅黑" w:eastAsia="微软雅黑" w:hAnsi="微软雅黑" w:cs="微软雅黑"/>
        </w:rPr>
      </w:pPr>
    </w:p>
    <w:p w:rsidR="00CA5042" w:rsidRDefault="00AE6512">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CA5042" w:rsidRDefault="00CA5042">
      <w:pPr>
        <w:pStyle w:val="Default"/>
        <w:spacing w:line="500" w:lineRule="exact"/>
        <w:jc w:val="center"/>
        <w:rPr>
          <w:rFonts w:ascii="微软雅黑" w:eastAsia="微软雅黑" w:hAnsi="微软雅黑" w:cs="微软雅黑"/>
          <w:b/>
          <w:sz w:val="36"/>
          <w:szCs w:val="28"/>
        </w:rPr>
      </w:pPr>
    </w:p>
    <w:p w:rsidR="00CA5042" w:rsidRDefault="00AE6512">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 岳阳县张谷英镇中心学校部门（单位）概况</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CA5042" w:rsidRDefault="00AE6512">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 部门决算表</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CA5042" w:rsidRDefault="00AE6512">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 部门决算情况说明</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六、一般公共预算财政拨款基本支出决算情况说明</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七、政府性基金预算收入支出决算情况</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八、国有资本经营预算财政拨款支出决算情况</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九、财政拨款三公经费支出决算情况说明</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CA5042" w:rsidRDefault="00AE6512">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十四、关于2024</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rsidR="00CA5042" w:rsidRDefault="00AE6512">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 名词解释</w:t>
      </w:r>
    </w:p>
    <w:p w:rsidR="00CA5042" w:rsidRDefault="00AE6512">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 附件</w:t>
      </w:r>
    </w:p>
    <w:p w:rsidR="00CA5042" w:rsidRDefault="00AE6512">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CA5042" w:rsidRDefault="00CA5042">
      <w:pPr>
        <w:jc w:val="center"/>
        <w:rPr>
          <w:rFonts w:ascii="微软雅黑" w:eastAsia="微软雅黑" w:hAnsi="微软雅黑" w:cs="微软雅黑"/>
          <w:sz w:val="72"/>
          <w:szCs w:val="72"/>
        </w:rPr>
      </w:pPr>
    </w:p>
    <w:p w:rsidR="00CA5042" w:rsidRDefault="00CA5042">
      <w:pPr>
        <w:jc w:val="center"/>
        <w:rPr>
          <w:rFonts w:ascii="微软雅黑" w:eastAsia="微软雅黑" w:hAnsi="微软雅黑" w:cs="微软雅黑"/>
          <w:sz w:val="72"/>
          <w:szCs w:val="72"/>
        </w:rPr>
      </w:pPr>
    </w:p>
    <w:p w:rsidR="00CA5042" w:rsidRDefault="00CA5042">
      <w:pPr>
        <w:jc w:val="center"/>
        <w:rPr>
          <w:rFonts w:ascii="微软雅黑" w:eastAsia="微软雅黑" w:hAnsi="微软雅黑" w:cs="微软雅黑"/>
          <w:sz w:val="72"/>
          <w:szCs w:val="72"/>
        </w:rPr>
      </w:pPr>
    </w:p>
    <w:p w:rsidR="00CA5042" w:rsidRDefault="00CA5042">
      <w:pPr>
        <w:jc w:val="center"/>
        <w:rPr>
          <w:rFonts w:ascii="微软雅黑" w:eastAsia="微软雅黑" w:hAnsi="微软雅黑" w:cs="微软雅黑"/>
          <w:sz w:val="72"/>
          <w:szCs w:val="72"/>
        </w:rPr>
      </w:pPr>
    </w:p>
    <w:p w:rsidR="00CA5042" w:rsidRDefault="00AE6512">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 xml:space="preserve">第一部分 </w:t>
      </w:r>
    </w:p>
    <w:p w:rsidR="00CA5042" w:rsidRDefault="00CA5042">
      <w:pPr>
        <w:pStyle w:val="Default"/>
        <w:jc w:val="center"/>
        <w:rPr>
          <w:rFonts w:ascii="微软雅黑" w:eastAsia="微软雅黑" w:hAnsi="微软雅黑" w:cs="微软雅黑"/>
          <w:b/>
          <w:bCs/>
          <w:sz w:val="84"/>
          <w:szCs w:val="84"/>
        </w:rPr>
      </w:pPr>
    </w:p>
    <w:p w:rsidR="00CA5042" w:rsidRDefault="00AE6512">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岳阳县张谷英镇中心学校部门（单位）概况</w:t>
      </w:r>
    </w:p>
    <w:p w:rsidR="00CA5042" w:rsidRDefault="00CA5042">
      <w:pPr>
        <w:jc w:val="center"/>
        <w:rPr>
          <w:rFonts w:ascii="微软雅黑" w:eastAsia="微软雅黑" w:hAnsi="微软雅黑" w:cs="微软雅黑"/>
          <w:sz w:val="72"/>
          <w:szCs w:val="72"/>
        </w:rPr>
      </w:pPr>
    </w:p>
    <w:p w:rsidR="00CA5042" w:rsidRDefault="00CA5042">
      <w:pPr>
        <w:jc w:val="center"/>
        <w:rPr>
          <w:rFonts w:ascii="微软雅黑" w:eastAsia="微软雅黑" w:hAnsi="微软雅黑" w:cs="微软雅黑"/>
          <w:sz w:val="72"/>
          <w:szCs w:val="72"/>
        </w:rPr>
      </w:pPr>
    </w:p>
    <w:p w:rsidR="00CA5042" w:rsidRDefault="00CA5042">
      <w:pPr>
        <w:jc w:val="center"/>
        <w:rPr>
          <w:rFonts w:ascii="微软雅黑" w:eastAsia="微软雅黑" w:hAnsi="微软雅黑" w:cs="微软雅黑"/>
          <w:sz w:val="72"/>
          <w:szCs w:val="72"/>
        </w:rPr>
      </w:pPr>
    </w:p>
    <w:p w:rsidR="00CA5042" w:rsidRDefault="00CA5042">
      <w:pPr>
        <w:jc w:val="center"/>
        <w:rPr>
          <w:rFonts w:ascii="微软雅黑" w:eastAsia="微软雅黑" w:hAnsi="微软雅黑" w:cs="微软雅黑"/>
          <w:sz w:val="72"/>
          <w:szCs w:val="72"/>
        </w:rPr>
      </w:pPr>
    </w:p>
    <w:p w:rsidR="00CA5042" w:rsidRDefault="00CA5042">
      <w:pPr>
        <w:jc w:val="center"/>
        <w:rPr>
          <w:rFonts w:ascii="微软雅黑" w:eastAsia="微软雅黑" w:hAnsi="微软雅黑" w:cs="微软雅黑"/>
          <w:sz w:val="72"/>
          <w:szCs w:val="72"/>
        </w:rPr>
      </w:pPr>
    </w:p>
    <w:p w:rsidR="00CA5042" w:rsidRDefault="00AE6512">
      <w:pPr>
        <w:pStyle w:val="a7"/>
        <w:ind w:firstLineChars="0"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一、部门职责</w:t>
      </w:r>
    </w:p>
    <w:p w:rsidR="00CA5042" w:rsidRDefault="00AE6512">
      <w:pPr>
        <w:widowControl/>
        <w:spacing w:line="600" w:lineRule="exact"/>
        <w:rPr>
          <w:rFonts w:ascii="Times New Roman" w:eastAsia="仿宋_GB2312" w:hAnsi="Times New Roman" w:cs="仿宋_GB2312"/>
          <w:bCs/>
          <w:kern w:val="0"/>
          <w:sz w:val="32"/>
          <w:szCs w:val="32"/>
        </w:rPr>
      </w:pPr>
      <w:r>
        <w:rPr>
          <w:rFonts w:ascii="Times New Roman" w:eastAsia="仿宋_GB2312" w:hAnsi="Times New Roman" w:cs="仿宋_GB2312" w:hint="eastAsia"/>
          <w:sz w:val="32"/>
          <w:szCs w:val="32"/>
        </w:rPr>
        <w:t>（一）</w:t>
      </w:r>
      <w:r>
        <w:rPr>
          <w:rFonts w:ascii="Times New Roman" w:eastAsia="仿宋_GB2312" w:hAnsi="Times New Roman" w:cs="仿宋_GB2312" w:hint="eastAsia"/>
          <w:bCs/>
          <w:kern w:val="0"/>
          <w:sz w:val="32"/>
          <w:szCs w:val="32"/>
        </w:rPr>
        <w:t>正确贯彻执行党和国家的教育方针、政策、法规。</w:t>
      </w:r>
      <w:r>
        <w:rPr>
          <w:rFonts w:ascii="Times New Roman" w:eastAsia="仿宋_GB2312" w:hAnsi="Times New Roman" w:cs="仿宋_GB2312" w:hint="eastAsia"/>
          <w:bCs/>
          <w:kern w:val="0"/>
          <w:sz w:val="32"/>
          <w:szCs w:val="32"/>
        </w:rPr>
        <w:t> </w:t>
      </w:r>
    </w:p>
    <w:p w:rsidR="00CA5042" w:rsidRDefault="00AE6512">
      <w:pPr>
        <w:widowControl/>
        <w:spacing w:line="600" w:lineRule="exac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（二）维护学校的教学秩序，为学生创造良好的学习环境。</w:t>
      </w:r>
    </w:p>
    <w:p w:rsidR="00CA5042" w:rsidRDefault="00AE6512">
      <w:pPr>
        <w:widowControl/>
        <w:spacing w:line="600" w:lineRule="exac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（三）积极稳妥地推进教育改革，按教育规律办事，不断提高教育质量。</w:t>
      </w:r>
    </w:p>
    <w:p w:rsidR="00CA5042" w:rsidRDefault="00AE6512">
      <w:pPr>
        <w:widowControl/>
        <w:spacing w:line="600" w:lineRule="exac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（四）根据学校规模，设置学校管理机构，建立健全各项规章制度和岗位责任制。</w:t>
      </w:r>
    </w:p>
    <w:p w:rsidR="00CA5042" w:rsidRDefault="00AE6512">
      <w:pPr>
        <w:widowControl/>
        <w:spacing w:line="600" w:lineRule="exac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（五）坚持教书育人，服务育人，环境育人方针，加强对学生的思想品德教育，使学生的德智体全面发展。</w:t>
      </w:r>
    </w:p>
    <w:p w:rsidR="00CA5042" w:rsidRDefault="00AE6512">
      <w:pPr>
        <w:widowControl/>
        <w:spacing w:line="600" w:lineRule="exac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（六）抓好教师队伍建设，使每个教师都热心于教育事业。</w:t>
      </w:r>
      <w:r>
        <w:rPr>
          <w:rFonts w:ascii="Times New Roman" w:eastAsia="仿宋_GB2312" w:hAnsi="Times New Roman" w:cs="仿宋_GB2312" w:hint="eastAsia"/>
          <w:bCs/>
          <w:kern w:val="0"/>
          <w:sz w:val="32"/>
          <w:szCs w:val="32"/>
        </w:rPr>
        <w:t> </w:t>
      </w:r>
    </w:p>
    <w:p w:rsidR="00CA5042" w:rsidRDefault="00AE6512">
      <w:pPr>
        <w:widowControl/>
        <w:spacing w:line="600" w:lineRule="exac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（七）做好安全防范，保证学生的人身安全。</w:t>
      </w:r>
    </w:p>
    <w:p w:rsidR="00CA5042" w:rsidRDefault="00AE6512">
      <w:pPr>
        <w:widowControl/>
        <w:spacing w:line="600" w:lineRule="exact"/>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t>二、机构设置及决算单位构成</w:t>
      </w:r>
    </w:p>
    <w:p w:rsidR="00CA5042" w:rsidRDefault="00AE6512">
      <w:pPr>
        <w:jc w:val="lef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（一）内设机构设置。岳阳县张谷英镇中心学校单位内设机构包括：办公室，德育办公室，教导处，后勤处，工会等</w:t>
      </w:r>
      <w:r>
        <w:rPr>
          <w:rFonts w:ascii="Times New Roman" w:eastAsia="仿宋_GB2312" w:hAnsi="Times New Roman" w:cs="仿宋_GB2312" w:hint="eastAsia"/>
          <w:bCs/>
          <w:kern w:val="0"/>
          <w:sz w:val="32"/>
          <w:szCs w:val="32"/>
        </w:rPr>
        <w:t>5</w:t>
      </w:r>
      <w:r>
        <w:rPr>
          <w:rFonts w:ascii="Times New Roman" w:eastAsia="仿宋_GB2312" w:hAnsi="Times New Roman" w:cs="仿宋_GB2312" w:hint="eastAsia"/>
          <w:bCs/>
          <w:kern w:val="0"/>
          <w:sz w:val="32"/>
          <w:szCs w:val="32"/>
        </w:rPr>
        <w:t>个处室。岳阳县张谷英镇中心学校包括本校及下属幼儿园、小学、中学。我校隶属岳阳县教育直属事业单位，组织机构</w:t>
      </w:r>
      <w:r>
        <w:rPr>
          <w:rFonts w:ascii="Times New Roman" w:eastAsia="仿宋_GB2312" w:hAnsi="Times New Roman" w:cs="仿宋_GB2312" w:hint="eastAsia"/>
          <w:bCs/>
          <w:kern w:val="0"/>
          <w:sz w:val="32"/>
          <w:szCs w:val="32"/>
        </w:rPr>
        <w:t>1</w:t>
      </w:r>
      <w:r>
        <w:rPr>
          <w:rFonts w:ascii="Times New Roman" w:eastAsia="仿宋_GB2312" w:hAnsi="Times New Roman" w:cs="仿宋_GB2312" w:hint="eastAsia"/>
          <w:bCs/>
          <w:kern w:val="0"/>
          <w:sz w:val="32"/>
          <w:szCs w:val="32"/>
        </w:rPr>
        <w:t>个，为财政全额补助拨款单位，按要求实施财务独立核算。现有在职在编教职工</w:t>
      </w:r>
      <w:r>
        <w:rPr>
          <w:rFonts w:ascii="Times New Roman" w:eastAsia="仿宋_GB2312" w:hAnsi="Times New Roman" w:cs="仿宋_GB2312" w:hint="eastAsia"/>
          <w:bCs/>
          <w:kern w:val="0"/>
          <w:sz w:val="32"/>
          <w:szCs w:val="32"/>
        </w:rPr>
        <w:t>223</w:t>
      </w:r>
      <w:r>
        <w:rPr>
          <w:rFonts w:ascii="Times New Roman" w:eastAsia="仿宋_GB2312" w:hAnsi="Times New Roman" w:cs="仿宋_GB2312" w:hint="eastAsia"/>
          <w:bCs/>
          <w:kern w:val="0"/>
          <w:sz w:val="32"/>
          <w:szCs w:val="32"/>
        </w:rPr>
        <w:t>人，退休教师</w:t>
      </w:r>
      <w:r>
        <w:rPr>
          <w:rFonts w:ascii="Times New Roman" w:eastAsia="仿宋_GB2312" w:hAnsi="Times New Roman" w:cs="仿宋_GB2312" w:hint="eastAsia"/>
          <w:bCs/>
          <w:kern w:val="0"/>
          <w:sz w:val="32"/>
          <w:szCs w:val="32"/>
        </w:rPr>
        <w:t>176</w:t>
      </w:r>
      <w:r>
        <w:rPr>
          <w:rFonts w:ascii="Times New Roman" w:eastAsia="仿宋_GB2312" w:hAnsi="Times New Roman" w:cs="仿宋_GB2312" w:hint="eastAsia"/>
          <w:bCs/>
          <w:kern w:val="0"/>
          <w:sz w:val="32"/>
          <w:szCs w:val="32"/>
        </w:rPr>
        <w:t>人，年末在校学生数为</w:t>
      </w:r>
      <w:r>
        <w:rPr>
          <w:rFonts w:ascii="Times New Roman" w:eastAsia="仿宋_GB2312" w:hAnsi="Times New Roman" w:cs="仿宋_GB2312" w:hint="eastAsia"/>
          <w:bCs/>
          <w:kern w:val="0"/>
          <w:sz w:val="32"/>
          <w:szCs w:val="32"/>
        </w:rPr>
        <w:t>2394</w:t>
      </w:r>
      <w:r>
        <w:rPr>
          <w:rFonts w:ascii="Times New Roman" w:eastAsia="仿宋_GB2312" w:hAnsi="Times New Roman" w:cs="仿宋_GB2312" w:hint="eastAsia"/>
          <w:bCs/>
          <w:kern w:val="0"/>
          <w:sz w:val="32"/>
          <w:szCs w:val="32"/>
        </w:rPr>
        <w:t>人。</w:t>
      </w:r>
    </w:p>
    <w:p w:rsidR="00CA5042" w:rsidRDefault="00AE6512">
      <w:pPr>
        <w:jc w:val="left"/>
        <w:rPr>
          <w:rFonts w:ascii="微软雅黑" w:eastAsia="微软雅黑" w:hAnsi="微软雅黑" w:cs="微软雅黑"/>
          <w:sz w:val="72"/>
          <w:szCs w:val="72"/>
        </w:rPr>
      </w:pPr>
      <w:r>
        <w:rPr>
          <w:rFonts w:ascii="Times New Roman" w:eastAsia="仿宋_GB2312" w:hAnsi="Times New Roman" w:cs="仿宋_GB2312" w:hint="eastAsia"/>
          <w:bCs/>
          <w:kern w:val="0"/>
          <w:sz w:val="32"/>
          <w:szCs w:val="32"/>
        </w:rPr>
        <w:t>（二）决算单位构成。岳阳县张谷英镇中心学校单位</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年部门决算汇总公开单位构成包括：本单位无独立核算的下属单位，</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年度部门决算汇总公开单位仅包括岳阳县张谷英镇中心学校单位本级。</w:t>
      </w:r>
      <w:bookmarkStart w:id="0" w:name="_GoBack"/>
      <w:bookmarkEnd w:id="0"/>
    </w:p>
    <w:p w:rsidR="00CA5042" w:rsidRDefault="00CA5042">
      <w:pPr>
        <w:jc w:val="center"/>
        <w:rPr>
          <w:rFonts w:ascii="微软雅黑" w:eastAsia="微软雅黑" w:hAnsi="微软雅黑" w:cs="微软雅黑"/>
          <w:sz w:val="72"/>
          <w:szCs w:val="72"/>
        </w:rPr>
      </w:pPr>
    </w:p>
    <w:p w:rsidR="00CA5042" w:rsidRDefault="00CA5042">
      <w:pPr>
        <w:jc w:val="center"/>
        <w:rPr>
          <w:rFonts w:ascii="微软雅黑" w:eastAsia="微软雅黑" w:hAnsi="微软雅黑" w:cs="微软雅黑"/>
          <w:sz w:val="72"/>
          <w:szCs w:val="72"/>
        </w:rPr>
      </w:pPr>
    </w:p>
    <w:p w:rsidR="00CA5042" w:rsidRDefault="00CA5042">
      <w:pPr>
        <w:pStyle w:val="Default"/>
        <w:jc w:val="center"/>
        <w:rPr>
          <w:rFonts w:ascii="微软雅黑" w:eastAsia="微软雅黑" w:hAnsi="微软雅黑" w:cs="微软雅黑"/>
          <w:sz w:val="84"/>
          <w:szCs w:val="84"/>
        </w:rPr>
      </w:pPr>
    </w:p>
    <w:p w:rsidR="00CA5042" w:rsidRDefault="00AE6512">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CA5042" w:rsidRDefault="00CA5042">
      <w:pPr>
        <w:pStyle w:val="Default"/>
        <w:jc w:val="center"/>
        <w:rPr>
          <w:rFonts w:ascii="微软雅黑" w:eastAsia="微软雅黑" w:hAnsi="微软雅黑" w:cs="微软雅黑"/>
          <w:b/>
          <w:bCs/>
          <w:sz w:val="72"/>
          <w:szCs w:val="72"/>
        </w:rPr>
      </w:pPr>
    </w:p>
    <w:p w:rsidR="00CA5042" w:rsidRDefault="00AE6512">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CA5042" w:rsidRDefault="00AE6512">
      <w:pPr>
        <w:jc w:val="center"/>
        <w:rPr>
          <w:rFonts w:ascii="微软雅黑" w:eastAsia="微软雅黑" w:hAnsi="微软雅黑" w:cs="微软雅黑"/>
          <w:b/>
          <w:bCs/>
          <w:sz w:val="72"/>
          <w:szCs w:val="72"/>
        </w:rPr>
        <w:sectPr w:rsidR="00CA5042">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CA5042" w:rsidRDefault="00CA5042">
      <w:pPr>
        <w:pStyle w:val="Default"/>
        <w:jc w:val="center"/>
        <w:rPr>
          <w:rFonts w:ascii="微软雅黑" w:eastAsia="微软雅黑" w:hAnsi="微软雅黑" w:cs="微软雅黑"/>
          <w:sz w:val="72"/>
          <w:szCs w:val="72"/>
        </w:rPr>
      </w:pPr>
    </w:p>
    <w:p w:rsidR="00CA5042" w:rsidRDefault="00CA5042">
      <w:pPr>
        <w:pStyle w:val="Default"/>
        <w:jc w:val="center"/>
        <w:rPr>
          <w:rFonts w:ascii="微软雅黑" w:eastAsia="微软雅黑" w:hAnsi="微软雅黑" w:cs="微软雅黑"/>
          <w:sz w:val="72"/>
          <w:szCs w:val="72"/>
        </w:rPr>
      </w:pPr>
    </w:p>
    <w:p w:rsidR="00CA5042" w:rsidRDefault="00CA5042">
      <w:pPr>
        <w:pStyle w:val="Default"/>
        <w:jc w:val="center"/>
        <w:rPr>
          <w:rFonts w:ascii="微软雅黑" w:eastAsia="微软雅黑" w:hAnsi="微软雅黑" w:cs="微软雅黑"/>
          <w:sz w:val="72"/>
          <w:szCs w:val="72"/>
        </w:rPr>
      </w:pPr>
    </w:p>
    <w:p w:rsidR="00CA5042" w:rsidRDefault="00CA5042">
      <w:pPr>
        <w:pStyle w:val="Default"/>
        <w:jc w:val="center"/>
        <w:rPr>
          <w:rFonts w:ascii="微软雅黑" w:eastAsia="微软雅黑" w:hAnsi="微软雅黑" w:cs="微软雅黑"/>
          <w:sz w:val="72"/>
          <w:szCs w:val="72"/>
        </w:rPr>
      </w:pPr>
    </w:p>
    <w:p w:rsidR="00CA5042" w:rsidRDefault="00AE6512">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CA5042" w:rsidRDefault="00CA5042">
      <w:pPr>
        <w:pStyle w:val="Default"/>
        <w:jc w:val="center"/>
        <w:rPr>
          <w:rFonts w:ascii="微软雅黑" w:eastAsia="微软雅黑" w:hAnsi="微软雅黑" w:cs="微软雅黑"/>
          <w:b/>
          <w:bCs/>
          <w:sz w:val="70"/>
          <w:szCs w:val="70"/>
        </w:rPr>
      </w:pPr>
    </w:p>
    <w:p w:rsidR="00CA5042" w:rsidRDefault="00AE6512">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2024年度部门决算情况说明</w:t>
      </w:r>
    </w:p>
    <w:p w:rsidR="00CA5042" w:rsidRDefault="00CA5042">
      <w:pPr>
        <w:pStyle w:val="Default"/>
        <w:jc w:val="center"/>
        <w:rPr>
          <w:rFonts w:ascii="微软雅黑" w:eastAsia="微软雅黑" w:hAnsi="微软雅黑" w:cs="微软雅黑"/>
          <w:sz w:val="70"/>
          <w:szCs w:val="70"/>
        </w:rPr>
      </w:pPr>
    </w:p>
    <w:p w:rsidR="00CA5042" w:rsidRDefault="00CA5042">
      <w:pPr>
        <w:pStyle w:val="Default"/>
        <w:jc w:val="center"/>
        <w:rPr>
          <w:rFonts w:ascii="微软雅黑" w:eastAsia="微软雅黑" w:hAnsi="微软雅黑" w:cs="微软雅黑"/>
          <w:sz w:val="70"/>
          <w:szCs w:val="70"/>
        </w:rPr>
      </w:pPr>
    </w:p>
    <w:p w:rsidR="00CA5042" w:rsidRDefault="00CA5042">
      <w:pPr>
        <w:pStyle w:val="Default"/>
        <w:jc w:val="center"/>
        <w:rPr>
          <w:rFonts w:ascii="微软雅黑" w:eastAsia="微软雅黑" w:hAnsi="微软雅黑" w:cs="微软雅黑"/>
          <w:sz w:val="70"/>
          <w:szCs w:val="70"/>
        </w:rPr>
      </w:pPr>
    </w:p>
    <w:p w:rsidR="00CA5042" w:rsidRDefault="00CA5042">
      <w:pPr>
        <w:pStyle w:val="Default"/>
        <w:jc w:val="center"/>
        <w:rPr>
          <w:rFonts w:ascii="微软雅黑" w:eastAsia="微软雅黑" w:hAnsi="微软雅黑" w:cs="微软雅黑"/>
          <w:sz w:val="70"/>
          <w:szCs w:val="70"/>
        </w:rPr>
      </w:pPr>
    </w:p>
    <w:p w:rsidR="00CA5042" w:rsidRDefault="00CA5042">
      <w:pPr>
        <w:pStyle w:val="Default"/>
        <w:jc w:val="center"/>
        <w:rPr>
          <w:rFonts w:ascii="微软雅黑" w:eastAsia="微软雅黑" w:hAnsi="微软雅黑" w:cs="微软雅黑"/>
          <w:sz w:val="70"/>
          <w:szCs w:val="70"/>
        </w:rPr>
      </w:pPr>
    </w:p>
    <w:p w:rsidR="00CA5042" w:rsidRDefault="00AE651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CA5042" w:rsidRDefault="00AE6512">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2024年度收、支总计4,287.42万元。与上年相比，增长</w:t>
      </w:r>
      <w:r w:rsidR="005F61CF">
        <w:rPr>
          <w:rFonts w:ascii="宋体" w:hAnsi="宋体" w:cs="黑体" w:hint="eastAsia"/>
          <w:color w:val="000000"/>
          <w:kern w:val="0"/>
          <w:sz w:val="32"/>
          <w:szCs w:val="32"/>
        </w:rPr>
        <w:t>530.92</w:t>
      </w:r>
      <w:r>
        <w:rPr>
          <w:rFonts w:ascii="宋体" w:hAnsi="宋体" w:cs="黑体" w:hint="eastAsia"/>
          <w:color w:val="000000"/>
          <w:kern w:val="0"/>
          <w:sz w:val="32"/>
          <w:szCs w:val="32"/>
        </w:rPr>
        <w:t>万元，增长</w:t>
      </w:r>
      <w:r w:rsidR="005F61CF">
        <w:rPr>
          <w:rFonts w:ascii="宋体" w:hAnsi="宋体" w:cs="黑体" w:hint="eastAsia"/>
          <w:color w:val="000000"/>
          <w:kern w:val="0"/>
          <w:sz w:val="32"/>
          <w:szCs w:val="32"/>
        </w:rPr>
        <w:t>14.13</w:t>
      </w:r>
      <w:r>
        <w:rPr>
          <w:rFonts w:ascii="宋体" w:hAnsi="宋体" w:cs="黑体" w:hint="eastAsia"/>
          <w:color w:val="000000"/>
          <w:kern w:val="0"/>
          <w:sz w:val="32"/>
          <w:szCs w:val="32"/>
        </w:rPr>
        <w:t>%，主要是因为</w:t>
      </w:r>
      <w:r w:rsidR="00CF6B5D" w:rsidRPr="00CF6B5D">
        <w:rPr>
          <w:rFonts w:ascii="宋体" w:hAnsi="宋体" w:cs="黑体" w:hint="eastAsia"/>
          <w:color w:val="000000"/>
          <w:kern w:val="0"/>
          <w:sz w:val="32"/>
          <w:szCs w:val="32"/>
        </w:rPr>
        <w:t>本单位</w:t>
      </w:r>
      <w:r w:rsidR="005F61CF">
        <w:rPr>
          <w:rFonts w:ascii="宋体" w:hAnsi="宋体" w:cs="黑体" w:hint="eastAsia"/>
          <w:color w:val="000000"/>
          <w:kern w:val="0"/>
          <w:sz w:val="32"/>
          <w:szCs w:val="32"/>
        </w:rPr>
        <w:t>本年度教育支出费用增加</w:t>
      </w:r>
      <w:r w:rsidR="00CF6B5D" w:rsidRPr="00CF6B5D">
        <w:rPr>
          <w:rFonts w:ascii="宋体" w:hAnsi="宋体" w:cs="黑体" w:hint="eastAsia"/>
          <w:color w:val="000000"/>
          <w:kern w:val="0"/>
          <w:sz w:val="32"/>
          <w:szCs w:val="32"/>
        </w:rPr>
        <w:t>。</w:t>
      </w:r>
    </w:p>
    <w:p w:rsidR="00CA5042" w:rsidRDefault="00AE651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CA5042" w:rsidRDefault="00AE6512">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2024年度收入合计4,287.42万元，其中：财政拨款收入3998.04万元，占93.25%；上级补助收入0万元，占0%；事业收入289.37万元，占6.75%；经营收入0万元，占0%；附属单位上缴收入0万元，占0%；其他收入0万元，占0%。</w:t>
      </w:r>
    </w:p>
    <w:p w:rsidR="00CA5042" w:rsidRDefault="00AE651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CA5042" w:rsidRDefault="00AE6512">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2024年度支出合计4,287.42万元，其中：基本支出4,287.42万元，占100.00%；项目支出0万元，占0%；上缴上级支出0万元，占0%；经营支出0万元，占0%；对附属单位补助支出0万元，占0%。</w:t>
      </w:r>
    </w:p>
    <w:p w:rsidR="00CA5042" w:rsidRDefault="00AE651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CF6B5D" w:rsidRDefault="00AE6512" w:rsidP="00CF6B5D">
      <w:pPr>
        <w:pStyle w:val="Default"/>
        <w:spacing w:line="600" w:lineRule="exact"/>
        <w:ind w:firstLine="630"/>
        <w:rPr>
          <w:rFonts w:ascii="宋体" w:eastAsia="宋体" w:hAnsi="宋体"/>
          <w:sz w:val="32"/>
          <w:szCs w:val="32"/>
        </w:rPr>
      </w:pPr>
      <w:r>
        <w:rPr>
          <w:rFonts w:ascii="宋体" w:eastAsia="宋体" w:hAnsi="宋体" w:hint="eastAsia"/>
          <w:sz w:val="32"/>
          <w:szCs w:val="32"/>
        </w:rPr>
        <w:t>2024年度财政拨款收、支总计3,998.04万元，与上年相比，增长</w:t>
      </w:r>
      <w:r w:rsidR="005F61CF">
        <w:rPr>
          <w:rFonts w:ascii="宋体" w:eastAsia="宋体" w:hAnsi="宋体" w:hint="eastAsia"/>
          <w:sz w:val="32"/>
          <w:szCs w:val="32"/>
        </w:rPr>
        <w:t>388.84</w:t>
      </w:r>
      <w:r>
        <w:rPr>
          <w:rFonts w:ascii="宋体" w:eastAsia="宋体" w:hAnsi="宋体" w:hint="eastAsia"/>
          <w:sz w:val="32"/>
          <w:szCs w:val="32"/>
        </w:rPr>
        <w:t>万元,增长</w:t>
      </w:r>
      <w:r w:rsidR="005F61CF">
        <w:rPr>
          <w:rFonts w:ascii="宋体" w:eastAsia="宋体" w:hAnsi="宋体" w:hint="eastAsia"/>
          <w:sz w:val="32"/>
          <w:szCs w:val="32"/>
        </w:rPr>
        <w:t>10.77</w:t>
      </w:r>
      <w:r>
        <w:rPr>
          <w:rFonts w:ascii="宋体" w:eastAsia="宋体" w:hAnsi="宋体" w:hint="eastAsia"/>
          <w:sz w:val="32"/>
          <w:szCs w:val="32"/>
        </w:rPr>
        <w:t>%，主要是因为</w:t>
      </w:r>
      <w:r w:rsidR="00CF6B5D" w:rsidRPr="00CF6B5D">
        <w:rPr>
          <w:rFonts w:ascii="宋体" w:eastAsia="宋体" w:hAnsi="宋体" w:hint="eastAsia"/>
          <w:sz w:val="32"/>
          <w:szCs w:val="32"/>
        </w:rPr>
        <w:t>本单位</w:t>
      </w:r>
      <w:r w:rsidR="005F61CF">
        <w:rPr>
          <w:rFonts w:ascii="宋体" w:eastAsia="宋体" w:hAnsi="宋体" w:hint="eastAsia"/>
          <w:sz w:val="32"/>
          <w:szCs w:val="32"/>
        </w:rPr>
        <w:t>本年度教育支出费用增加</w:t>
      </w:r>
      <w:r w:rsidR="00CF6B5D" w:rsidRPr="00CF6B5D">
        <w:rPr>
          <w:rFonts w:ascii="宋体" w:eastAsia="宋体" w:hAnsi="宋体" w:hint="eastAsia"/>
          <w:sz w:val="32"/>
          <w:szCs w:val="32"/>
        </w:rPr>
        <w:t>。</w:t>
      </w:r>
    </w:p>
    <w:p w:rsidR="00CA5042" w:rsidRDefault="00AE6512" w:rsidP="00CF6B5D">
      <w:pPr>
        <w:pStyle w:val="Default"/>
        <w:spacing w:line="600" w:lineRule="exact"/>
        <w:ind w:firstLine="63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CA5042" w:rsidRDefault="00AE6512">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CA5042" w:rsidRDefault="00AE6512">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2024年度财政拨款支出3,983.04万元，占本年支出合计的92.90%，与上年相比，财政拨款支出增长</w:t>
      </w:r>
      <w:r w:rsidR="005F61CF">
        <w:rPr>
          <w:rFonts w:ascii="宋体" w:hAnsi="宋体" w:cs="黑体" w:hint="eastAsia"/>
          <w:color w:val="000000"/>
          <w:kern w:val="0"/>
          <w:sz w:val="32"/>
          <w:szCs w:val="32"/>
        </w:rPr>
        <w:t>373.84</w:t>
      </w:r>
      <w:r>
        <w:rPr>
          <w:rFonts w:ascii="宋体" w:hAnsi="宋体" w:cs="黑体" w:hint="eastAsia"/>
          <w:color w:val="000000"/>
          <w:kern w:val="0"/>
          <w:sz w:val="32"/>
          <w:szCs w:val="32"/>
        </w:rPr>
        <w:t>万元，增长</w:t>
      </w:r>
      <w:r w:rsidR="005F61CF">
        <w:rPr>
          <w:rFonts w:ascii="宋体" w:hAnsi="宋体" w:cs="黑体" w:hint="eastAsia"/>
          <w:color w:val="000000"/>
          <w:kern w:val="0"/>
          <w:sz w:val="32"/>
          <w:szCs w:val="32"/>
        </w:rPr>
        <w:t>10.36</w:t>
      </w:r>
      <w:r>
        <w:rPr>
          <w:rFonts w:ascii="宋体" w:hAnsi="宋体" w:cs="黑体" w:hint="eastAsia"/>
          <w:color w:val="000000"/>
          <w:kern w:val="0"/>
          <w:sz w:val="32"/>
          <w:szCs w:val="32"/>
        </w:rPr>
        <w:t>%，主要是因为</w:t>
      </w:r>
      <w:r w:rsidR="005F61CF" w:rsidRPr="00CF6B5D">
        <w:rPr>
          <w:rFonts w:ascii="宋体" w:hAnsi="宋体" w:hint="eastAsia"/>
          <w:sz w:val="32"/>
          <w:szCs w:val="32"/>
        </w:rPr>
        <w:t>本单位</w:t>
      </w:r>
      <w:r w:rsidR="005F61CF">
        <w:rPr>
          <w:rFonts w:ascii="宋体" w:hAnsi="宋体" w:hint="eastAsia"/>
          <w:sz w:val="32"/>
          <w:szCs w:val="32"/>
        </w:rPr>
        <w:t>本年度教育支出费用增加</w:t>
      </w:r>
      <w:r w:rsidR="00CF6B5D" w:rsidRPr="00CF6B5D">
        <w:rPr>
          <w:rFonts w:ascii="宋体" w:hAnsi="宋体" w:cs="黑体" w:hint="eastAsia"/>
          <w:color w:val="000000"/>
          <w:kern w:val="0"/>
          <w:sz w:val="32"/>
          <w:szCs w:val="32"/>
        </w:rPr>
        <w:t>。</w:t>
      </w:r>
    </w:p>
    <w:p w:rsidR="00CA5042" w:rsidRDefault="00AE6512">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CA5042" w:rsidRDefault="00AE6512">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2024年度财政拨款支出3,983.04万元，主要用于以下方面：一般公共服务（类）支出0万元，占0%；教育（类）支出3,983.04万元，占100.00%。</w:t>
      </w:r>
    </w:p>
    <w:p w:rsidR="00CA5042" w:rsidRDefault="00AE6512">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（三）财政拨款支出决算具体情况</w:t>
      </w:r>
    </w:p>
    <w:p w:rsidR="00CA5042" w:rsidRDefault="00AE6512">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2024年度财政拨款支出年初预算数为1,991.72万元，支出决算数为</w:t>
      </w:r>
      <w:r>
        <w:rPr>
          <w:rFonts w:ascii="宋体" w:hAnsi="宋体" w:cs="黑体" w:hint="eastAsia"/>
          <w:color w:val="000000"/>
          <w:kern w:val="0"/>
          <w:sz w:val="32"/>
          <w:szCs w:val="32"/>
        </w:rPr>
        <w:lastRenderedPageBreak/>
        <w:t>3,983.04万元，完成年初预算的199.98%，其中：</w:t>
      </w:r>
    </w:p>
    <w:p w:rsidR="00CA5042" w:rsidRDefault="00AE651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、教育（类）普通教育（款）学前教育（项）。</w:t>
      </w:r>
    </w:p>
    <w:p w:rsidR="00CA5042" w:rsidRDefault="00AE651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165.5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398.3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240.66%</w:t>
      </w:r>
      <w:r>
        <w:rPr>
          <w:rFonts w:ascii="Times New Roman" w:eastAsia="仿宋_GB2312" w:hAnsi="Times New Roman" w:hint="eastAsia"/>
          <w:sz w:val="32"/>
          <w:szCs w:val="32"/>
        </w:rPr>
        <w:t>，决算数大于年初预算数的主要原因是：项目建设。</w:t>
      </w:r>
    </w:p>
    <w:p w:rsidR="00CA5042" w:rsidRDefault="00AE651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、教育（类）普通教育（款）小学教育（项）。</w:t>
      </w:r>
    </w:p>
    <w:p w:rsidR="00CA5042" w:rsidRDefault="00AE651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827.5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1991.52</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240.67%</w:t>
      </w:r>
      <w:r>
        <w:rPr>
          <w:rFonts w:ascii="Times New Roman" w:eastAsia="仿宋_GB2312" w:hAnsi="Times New Roman" w:hint="eastAsia"/>
          <w:sz w:val="32"/>
          <w:szCs w:val="32"/>
        </w:rPr>
        <w:t>，决算数大于年初预算数的主要原因是：项目建设及人员增加。</w:t>
      </w:r>
    </w:p>
    <w:p w:rsidR="00CA5042" w:rsidRDefault="00AE651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、教育（类）普通教育（款）初中教育（项）。</w:t>
      </w:r>
    </w:p>
    <w:p w:rsidR="00CA5042" w:rsidRDefault="00AE651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672.01</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1593.22</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237.08%</w:t>
      </w:r>
      <w:r>
        <w:rPr>
          <w:rFonts w:ascii="Times New Roman" w:eastAsia="仿宋_GB2312" w:hAnsi="Times New Roman" w:hint="eastAsia"/>
          <w:sz w:val="32"/>
          <w:szCs w:val="32"/>
        </w:rPr>
        <w:t>，决算数大于年初预算数的主要原因是：项目建设及人员增加。</w:t>
      </w:r>
    </w:p>
    <w:p w:rsidR="00CA5042" w:rsidRDefault="00AE651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、社会保障和就业（类）行政事业单位养老支出（款）机关事业单位基本养老保险缴费支出（项）。</w:t>
      </w:r>
    </w:p>
    <w:p w:rsidR="00892C35" w:rsidRDefault="00AE651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197.26</w:t>
      </w:r>
      <w:r>
        <w:rPr>
          <w:rFonts w:ascii="Times New Roman" w:eastAsia="仿宋_GB2312" w:hAnsi="Times New Roman" w:hint="eastAsia"/>
          <w:sz w:val="32"/>
          <w:szCs w:val="32"/>
        </w:rPr>
        <w:t>万元，支出决算为</w:t>
      </w:r>
      <w:r w:rsidR="00892C35">
        <w:rPr>
          <w:rFonts w:ascii="Times New Roman" w:eastAsia="仿宋_GB2312" w:hAnsi="Times New Roman" w:hint="eastAsia"/>
          <w:sz w:val="32"/>
          <w:szCs w:val="32"/>
        </w:rPr>
        <w:t>0</w:t>
      </w:r>
      <w:r>
        <w:rPr>
          <w:rFonts w:ascii="Times New Roman" w:eastAsia="仿宋_GB2312" w:hAnsi="Times New Roman" w:hint="eastAsia"/>
          <w:sz w:val="32"/>
          <w:szCs w:val="32"/>
        </w:rPr>
        <w:t>万元，完成年初预算的</w:t>
      </w:r>
      <w:r w:rsidR="00892C35">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，决算数大于年初预算数的主要原因是：</w:t>
      </w:r>
      <w:r w:rsidR="00892C35">
        <w:rPr>
          <w:rFonts w:ascii="Times New Roman" w:eastAsia="仿宋_GB2312" w:hAnsi="Times New Roman" w:hint="eastAsia"/>
          <w:sz w:val="32"/>
          <w:szCs w:val="32"/>
        </w:rPr>
        <w:t>决算未单独列支该项开支。</w:t>
      </w:r>
    </w:p>
    <w:p w:rsidR="00CA5042" w:rsidRDefault="00AE651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、社会保障和就业（类）其他社会保障和就业支出（款）其他社会保障和就业支出（项）。</w:t>
      </w:r>
    </w:p>
    <w:p w:rsidR="00CA5042" w:rsidRDefault="00AE651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12.33</w:t>
      </w:r>
      <w:r>
        <w:rPr>
          <w:rFonts w:ascii="Times New Roman" w:eastAsia="仿宋_GB2312" w:hAnsi="Times New Roman" w:hint="eastAsia"/>
          <w:sz w:val="32"/>
          <w:szCs w:val="32"/>
        </w:rPr>
        <w:t>万元，支出决算为</w:t>
      </w:r>
      <w:r w:rsidR="00892C35">
        <w:rPr>
          <w:rFonts w:ascii="Times New Roman" w:eastAsia="仿宋_GB2312" w:hAnsi="Times New Roman" w:hint="eastAsia"/>
          <w:sz w:val="32"/>
          <w:szCs w:val="32"/>
        </w:rPr>
        <w:t>0</w:t>
      </w:r>
      <w:r>
        <w:rPr>
          <w:rFonts w:ascii="Times New Roman" w:eastAsia="仿宋_GB2312" w:hAnsi="Times New Roman" w:hint="eastAsia"/>
          <w:sz w:val="32"/>
          <w:szCs w:val="32"/>
        </w:rPr>
        <w:t>万元，完成年初预算的</w:t>
      </w:r>
      <w:r w:rsidR="00892C35">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，决算数小于年初预算数的主要原因是：</w:t>
      </w:r>
      <w:r w:rsidR="00892C35">
        <w:rPr>
          <w:rFonts w:ascii="Times New Roman" w:eastAsia="仿宋_GB2312" w:hAnsi="Times New Roman" w:hint="eastAsia"/>
          <w:sz w:val="32"/>
          <w:szCs w:val="32"/>
        </w:rPr>
        <w:t>决算未单独列支该项开支。</w:t>
      </w:r>
    </w:p>
    <w:p w:rsidR="00CA5042" w:rsidRDefault="00AE651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、卫生健康支出（类）行政事业单位医疗（款）事业单位医疗（项）。</w:t>
      </w:r>
    </w:p>
    <w:p w:rsidR="00CA5042" w:rsidRDefault="00AE651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104.79</w:t>
      </w:r>
      <w:r>
        <w:rPr>
          <w:rFonts w:ascii="Times New Roman" w:eastAsia="仿宋_GB2312" w:hAnsi="Times New Roman" w:hint="eastAsia"/>
          <w:sz w:val="32"/>
          <w:szCs w:val="32"/>
        </w:rPr>
        <w:t>万元，支出决算为</w:t>
      </w:r>
      <w:r w:rsidR="00892C35">
        <w:rPr>
          <w:rFonts w:ascii="Times New Roman" w:eastAsia="仿宋_GB2312" w:hAnsi="Times New Roman" w:hint="eastAsia"/>
          <w:sz w:val="32"/>
          <w:szCs w:val="32"/>
        </w:rPr>
        <w:t>0</w:t>
      </w:r>
      <w:r>
        <w:rPr>
          <w:rFonts w:ascii="Times New Roman" w:eastAsia="仿宋_GB2312" w:hAnsi="Times New Roman" w:hint="eastAsia"/>
          <w:sz w:val="32"/>
          <w:szCs w:val="32"/>
        </w:rPr>
        <w:t>万元，完成年初预算的</w:t>
      </w:r>
      <w:r w:rsidR="008F2CF9">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t>，决算数大于年初预算数的主要原因是：</w:t>
      </w:r>
      <w:r w:rsidR="00892C35">
        <w:rPr>
          <w:rFonts w:ascii="Times New Roman" w:eastAsia="仿宋_GB2312" w:hAnsi="Times New Roman" w:hint="eastAsia"/>
          <w:sz w:val="32"/>
          <w:szCs w:val="32"/>
        </w:rPr>
        <w:t>决算未单独列支该项开支。</w:t>
      </w:r>
    </w:p>
    <w:p w:rsidR="00CA5042" w:rsidRDefault="00AE651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、卫生健康支出（类）行政事业单位医疗（款）公务员医疗补助（项）。</w:t>
      </w:r>
    </w:p>
    <w:p w:rsidR="00CA5042" w:rsidRDefault="00AE6512" w:rsidP="00892C3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12.33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w:t>
      </w:r>
      <w:r>
        <w:rPr>
          <w:rFonts w:ascii="Times New Roman" w:eastAsia="仿宋_GB2312" w:hAnsi="Times New Roman" w:hint="eastAsia"/>
          <w:sz w:val="32"/>
          <w:szCs w:val="32"/>
        </w:rPr>
        <w:t>，决算数小于年初预算数的主要原因是：决算未单独列支该项开支。</w:t>
      </w:r>
    </w:p>
    <w:p w:rsidR="00CA5042" w:rsidRDefault="00AE651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CA5042" w:rsidRDefault="00AE6512">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lastRenderedPageBreak/>
        <w:t>2024年度财政拨款基本支出3983.04万元，其中：</w:t>
      </w:r>
    </w:p>
    <w:p w:rsidR="00CA5042" w:rsidRDefault="00AE6512">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人员经费2,888.43万元，占基本支出的72.52%,主要包括基本工资、津贴补贴、奖金、绩效工资、机关事业单位基本养老保险缴费、职工基本医疗保险缴费、其他社会保障缴费、住房公积金、其他工资福利支出、抚恤金、生活补助、助学金、奖励金。</w:t>
      </w:r>
    </w:p>
    <w:p w:rsidR="00CA5042" w:rsidRDefault="00AE6512">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公用经费1,094.62万元，占基本支出的27.48%，主要包括办公费、印刷费、水费、电费、邮电费、物业管理费、维修（护）费、会议费、培训费、专用材料费、劳务费、工会经费、办公设备购置。</w:t>
      </w:r>
    </w:p>
    <w:p w:rsidR="00CA5042" w:rsidRDefault="00AE651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七、政府性基金预算收入支出决算情况</w:t>
      </w:r>
    </w:p>
    <w:p w:rsidR="00CA5042" w:rsidRDefault="00AE6512">
      <w:pPr>
        <w:ind w:firstLineChars="200" w:firstLine="640"/>
        <w:jc w:val="left"/>
        <w:rPr>
          <w:rFonts w:ascii="宋体" w:hAnsi="宋体" w:cs="黑体"/>
          <w:color w:val="000000"/>
          <w:kern w:val="0"/>
          <w:sz w:val="32"/>
          <w:szCs w:val="32"/>
        </w:rPr>
      </w:pPr>
      <w:r>
        <w:rPr>
          <w:rFonts w:ascii="微软雅黑" w:eastAsia="微软雅黑" w:hAnsi="微软雅黑" w:cs="微软雅黑" w:hint="eastAsia"/>
          <w:sz w:val="32"/>
          <w:szCs w:val="32"/>
        </w:rPr>
        <w:t xml:space="preserve"> </w:t>
      </w:r>
      <w:r>
        <w:rPr>
          <w:rFonts w:ascii="宋体" w:hAnsi="宋体" w:cs="黑体" w:hint="eastAsia"/>
          <w:color w:val="000000"/>
          <w:kern w:val="0"/>
          <w:sz w:val="32"/>
          <w:szCs w:val="32"/>
        </w:rPr>
        <w:t>2024年度政府性基金预算财政拨款收入15.00万元；年初结转和结余0万元；支出15.00万元，其中基本支出15.00万元，项目支出0万元；年末结转和结余0万元。具体情况如下：</w:t>
      </w:r>
    </w:p>
    <w:p w:rsidR="00CA5042" w:rsidRDefault="00AE6512">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年初预算为0万元，支出决算为15万元，决算数大于年初预算数的主要原因是：用于教育事业的彩票公益金支出。</w:t>
      </w:r>
    </w:p>
    <w:p w:rsidR="00CA5042" w:rsidRDefault="00AE651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八、国有资本经营预算财政拨款支出决算情况</w:t>
      </w:r>
    </w:p>
    <w:p w:rsidR="00CA5042" w:rsidRDefault="00AE6512">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2024年度国有资本经营预算财政拨款支出0万元；基本支出0万元，项目支出0万元。</w:t>
      </w:r>
    </w:p>
    <w:p w:rsidR="00CA5042" w:rsidRDefault="00AE651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九、财政拨款三公经费支出决算情况说明</w:t>
      </w:r>
    </w:p>
    <w:p w:rsidR="00CA5042" w:rsidRDefault="00AE6512">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CA5042" w:rsidRDefault="00AE651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“三公”经费财政拨款支出预算为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万元，决算数等于预算数，其中：</w:t>
      </w:r>
    </w:p>
    <w:p w:rsidR="00CA5042" w:rsidRDefault="00AE651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万元，决算数等于预算数，主要原因是我单位严格按预算执行决算，与上年一致，无增减变动，主要原因是未安排因公出国（境）活动。</w:t>
      </w:r>
    </w:p>
    <w:p w:rsidR="00CA5042" w:rsidRDefault="00AE651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万元，决算数等于预</w:t>
      </w:r>
      <w:r>
        <w:rPr>
          <w:rFonts w:ascii="Times New Roman" w:eastAsia="仿宋_GB2312" w:hAnsi="Times New Roman" w:hint="eastAsia"/>
          <w:sz w:val="32"/>
          <w:szCs w:val="32"/>
        </w:rPr>
        <w:lastRenderedPageBreak/>
        <w:t>算数，主要原因是严格执行中央八项规定；与上年一致，无增减变动，主要原因是按有关政策厉行节约，严控公务接待支出。</w:t>
      </w:r>
    </w:p>
    <w:p w:rsidR="00CA5042" w:rsidRDefault="00AE6512">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万元，决算数等于预算数，主要原因是我单位严格按预算执行决算；与上年一致，无增减变动，主要原因是两年均未购置公务用车。</w:t>
      </w:r>
    </w:p>
    <w:p w:rsidR="00CA5042" w:rsidRDefault="00AE6512">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万元，决算数等于预算数，主要原因是我单位严格按预算执行决算；与上年一致，无增减变动，主要原因是两年均无公务用车需要运行维护。</w:t>
      </w:r>
    </w:p>
    <w:p w:rsidR="00CA5042" w:rsidRDefault="00AE6512">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CA5042" w:rsidRDefault="00AE6512">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年度“三公”经费财政拨款支出决算中，公务接待费支出决算</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因公出国（境）费支出决算</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，公务用车购置费及运行维护费支出决算</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。其中：</w:t>
      </w:r>
    </w:p>
    <w:p w:rsidR="00CA5042" w:rsidRDefault="00AE6512">
      <w:pPr>
        <w:pStyle w:val="Default"/>
        <w:spacing w:line="600" w:lineRule="exact"/>
        <w:ind w:firstLineChars="250" w:firstLine="800"/>
        <w:rPr>
          <w:rFonts w:ascii="楷体" w:eastAsia="楷体" w:hAnsi="楷体" w:cs="楷体"/>
          <w:b/>
          <w:bCs/>
          <w:i/>
          <w:color w:val="auto"/>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、因公出国（境）费支出决算为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万元，全年安排因公出国（境）团组</w:t>
      </w:r>
      <w:r>
        <w:rPr>
          <w:rFonts w:ascii="Times New Roman" w:eastAsia="仿宋_GB2312" w:hAnsi="Times New Roman" w:hint="eastAsia"/>
          <w:sz w:val="32"/>
          <w:szCs w:val="32"/>
        </w:rPr>
        <w:t>0</w:t>
      </w:r>
      <w:r>
        <w:rPr>
          <w:rFonts w:ascii="Times New Roman" w:eastAsia="仿宋_GB2312" w:hAnsi="Times New Roman" w:hint="eastAsia"/>
          <w:sz w:val="32"/>
          <w:szCs w:val="32"/>
        </w:rPr>
        <w:t>个，累计</w:t>
      </w:r>
      <w:r>
        <w:rPr>
          <w:rFonts w:ascii="Times New Roman" w:eastAsia="仿宋_GB2312" w:hAnsi="Times New Roman" w:hint="eastAsia"/>
          <w:sz w:val="32"/>
          <w:szCs w:val="32"/>
        </w:rPr>
        <w:t>0</w:t>
      </w:r>
      <w:r>
        <w:rPr>
          <w:rFonts w:ascii="Times New Roman" w:eastAsia="仿宋_GB2312" w:hAnsi="Times New Roman" w:hint="eastAsia"/>
          <w:sz w:val="32"/>
          <w:szCs w:val="32"/>
        </w:rPr>
        <w:t>人次。</w:t>
      </w:r>
    </w:p>
    <w:p w:rsidR="00CA5042" w:rsidRDefault="00AE6512">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、公务接待费支出决算为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万元，全年共接待来访团组</w:t>
      </w:r>
      <w:r>
        <w:rPr>
          <w:rFonts w:ascii="Times New Roman" w:eastAsia="仿宋_GB2312" w:hAnsi="Times New Roman" w:hint="eastAsia"/>
          <w:sz w:val="32"/>
          <w:szCs w:val="32"/>
        </w:rPr>
        <w:t>0</w:t>
      </w:r>
      <w:r>
        <w:rPr>
          <w:rFonts w:ascii="Times New Roman" w:eastAsia="仿宋_GB2312" w:hAnsi="Times New Roman" w:hint="eastAsia"/>
          <w:sz w:val="32"/>
          <w:szCs w:val="32"/>
        </w:rPr>
        <w:t>个、来宾</w:t>
      </w:r>
      <w:r>
        <w:rPr>
          <w:rFonts w:ascii="Times New Roman" w:eastAsia="仿宋_GB2312" w:hAnsi="Times New Roman" w:hint="eastAsia"/>
          <w:sz w:val="32"/>
          <w:szCs w:val="32"/>
        </w:rPr>
        <w:t>0</w:t>
      </w:r>
      <w:r>
        <w:rPr>
          <w:rFonts w:ascii="Times New Roman" w:eastAsia="仿宋_GB2312" w:hAnsi="Times New Roman" w:hint="eastAsia"/>
          <w:sz w:val="32"/>
          <w:szCs w:val="32"/>
        </w:rPr>
        <w:t>人次。</w:t>
      </w:r>
    </w:p>
    <w:p w:rsidR="00CA5042" w:rsidRDefault="00AE6512" w:rsidP="00CF6B5D">
      <w:pPr>
        <w:ind w:firstLineChars="250" w:firstLine="800"/>
        <w:rPr>
          <w:rFonts w:ascii="微软雅黑" w:eastAsia="微软雅黑" w:hAnsi="微软雅黑" w:cs="微软雅黑"/>
          <w:b/>
          <w:bCs/>
          <w:iCs/>
          <w:color w:val="FF0000"/>
          <w:kern w:val="0"/>
          <w:sz w:val="40"/>
          <w:szCs w:val="40"/>
        </w:rPr>
      </w:pPr>
      <w:r>
        <w:rPr>
          <w:rFonts w:ascii="Times New Roman" w:eastAsia="仿宋_GB2312" w:hAnsi="Times New Roman" w:hint="eastAsia"/>
          <w:sz w:val="32"/>
          <w:szCs w:val="32"/>
        </w:rPr>
        <w:t>3</w:t>
      </w:r>
      <w:r>
        <w:rPr>
          <w:rFonts w:ascii="Times New Roman" w:eastAsia="仿宋_GB2312" w:hAnsi="Times New Roman" w:hint="eastAsia"/>
          <w:sz w:val="32"/>
          <w:szCs w:val="32"/>
        </w:rPr>
        <w:t>、公务用车购置费及运行维护费支出决算为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万元，其中：公务用车购置费</w:t>
      </w:r>
      <w:r>
        <w:rPr>
          <w:rFonts w:ascii="Times New Roman" w:eastAsia="仿宋_GB2312" w:hAnsi="Times New Roman" w:hint="eastAsia"/>
          <w:sz w:val="32"/>
          <w:szCs w:val="32"/>
        </w:rPr>
        <w:t>0.00</w:t>
      </w:r>
      <w:r>
        <w:rPr>
          <w:rFonts w:ascii="Times New Roman" w:eastAsia="仿宋_GB2312" w:hAnsi="Times New Roman" w:hint="eastAsia"/>
          <w:sz w:val="32"/>
          <w:szCs w:val="32"/>
        </w:rPr>
        <w:t>万元，岳阳县张谷英镇中心学校更新公务用车</w:t>
      </w:r>
      <w:r>
        <w:rPr>
          <w:rFonts w:ascii="Times New Roman" w:eastAsia="仿宋_GB2312" w:hAnsi="Times New Roman" w:hint="eastAsia"/>
          <w:sz w:val="32"/>
          <w:szCs w:val="32"/>
        </w:rPr>
        <w:t>0</w:t>
      </w:r>
      <w:r>
        <w:rPr>
          <w:rFonts w:ascii="Times New Roman" w:eastAsia="仿宋_GB2312" w:hAnsi="Times New Roman" w:hint="eastAsia"/>
          <w:sz w:val="32"/>
          <w:szCs w:val="32"/>
        </w:rPr>
        <w:t>辆</w:t>
      </w:r>
      <w:r>
        <w:rPr>
          <w:rFonts w:ascii="Times New Roman" w:eastAsia="仿宋_GB2312" w:hAnsi="Times New Roman" w:hint="eastAsia"/>
          <w:color w:val="000000"/>
          <w:sz w:val="32"/>
          <w:szCs w:val="32"/>
        </w:rPr>
        <w:t>。</w:t>
      </w:r>
      <w:r>
        <w:rPr>
          <w:rFonts w:ascii="Times New Roman" w:eastAsia="仿宋_GB2312" w:hAnsi="Times New Roman" w:hint="eastAsia"/>
          <w:sz w:val="32"/>
          <w:szCs w:val="32"/>
        </w:rPr>
        <w:t>公务用车运行维护费</w:t>
      </w:r>
      <w:r>
        <w:rPr>
          <w:rFonts w:ascii="Times New Roman" w:eastAsia="仿宋_GB2312" w:hAnsi="Times New Roman" w:hint="eastAsia"/>
          <w:sz w:val="32"/>
          <w:szCs w:val="32"/>
        </w:rPr>
        <w:t>0.00</w:t>
      </w:r>
      <w:r>
        <w:rPr>
          <w:rFonts w:ascii="Times New Roman" w:eastAsia="仿宋_GB2312" w:hAnsi="Times New Roman" w:hint="eastAsia"/>
          <w:sz w:val="32"/>
          <w:szCs w:val="32"/>
        </w:rPr>
        <w:t>万元，截至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日，我单位开支财政拨款的公务用车保有量为</w:t>
      </w:r>
      <w:r>
        <w:rPr>
          <w:rFonts w:ascii="Times New Roman" w:eastAsia="仿宋_GB2312" w:hAnsi="Times New Roman" w:hint="eastAsia"/>
          <w:sz w:val="32"/>
          <w:szCs w:val="32"/>
        </w:rPr>
        <w:t>0</w:t>
      </w:r>
      <w:r>
        <w:rPr>
          <w:rFonts w:ascii="Times New Roman" w:eastAsia="仿宋_GB2312" w:hAnsi="Times New Roman" w:hint="eastAsia"/>
          <w:sz w:val="32"/>
          <w:szCs w:val="32"/>
        </w:rPr>
        <w:t>辆。</w:t>
      </w:r>
    </w:p>
    <w:p w:rsidR="00CA5042" w:rsidRDefault="00AE651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十、关于机关运行经费支出说明</w:t>
      </w:r>
    </w:p>
    <w:p w:rsidR="00CA5042" w:rsidRDefault="00AE6512">
      <w:pPr>
        <w:pStyle w:val="Default"/>
        <w:ind w:firstLineChars="200" w:firstLine="640"/>
        <w:rPr>
          <w:rFonts w:ascii="微软雅黑" w:eastAsia="微软雅黑" w:hAnsi="微软雅黑" w:cs="微软雅黑"/>
          <w:b/>
          <w:sz w:val="32"/>
          <w:szCs w:val="32"/>
        </w:rPr>
      </w:pPr>
      <w:r>
        <w:rPr>
          <w:rFonts w:ascii="Times New Roman" w:eastAsia="仿宋_GB2312" w:hAnsi="Times New Roman" w:cs="Times New Roman" w:hint="eastAsia"/>
          <w:color w:val="auto"/>
          <w:kern w:val="2"/>
          <w:sz w:val="32"/>
          <w:szCs w:val="32"/>
        </w:rPr>
        <w:t>本级和所属单位均为事业单位，按照机关运行经费的口径，本年度机关运行经费为</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w:t>
      </w:r>
    </w:p>
    <w:p w:rsidR="00CA5042" w:rsidRDefault="00AE651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十一、一般性支出情况说明</w:t>
      </w:r>
    </w:p>
    <w:p w:rsidR="00CA5042" w:rsidRPr="00CF6B5D" w:rsidRDefault="00AE6512">
      <w:pPr>
        <w:pStyle w:val="Default"/>
        <w:spacing w:line="360" w:lineRule="auto"/>
        <w:ind w:firstLineChars="200" w:firstLine="640"/>
        <w:rPr>
          <w:rFonts w:ascii="Times New Roman" w:eastAsia="仿宋_GB2312" w:hAnsi="Times New Roman" w:cs="Times New Roman"/>
          <w:color w:val="auto"/>
          <w:kern w:val="2"/>
          <w:sz w:val="32"/>
          <w:szCs w:val="32"/>
        </w:rPr>
      </w:pPr>
      <w:r w:rsidRPr="00CF6B5D">
        <w:rPr>
          <w:rFonts w:ascii="Times New Roman" w:eastAsia="仿宋_GB2312" w:hAnsi="Times New Roman" w:cs="Times New Roman" w:hint="eastAsia"/>
          <w:color w:val="auto"/>
          <w:kern w:val="2"/>
          <w:sz w:val="32"/>
          <w:szCs w:val="32"/>
        </w:rPr>
        <w:t>2024</w:t>
      </w:r>
      <w:r w:rsidRPr="00CF6B5D">
        <w:rPr>
          <w:rFonts w:ascii="Times New Roman" w:eastAsia="仿宋_GB2312" w:hAnsi="Times New Roman" w:cs="Times New Roman" w:hint="eastAsia"/>
          <w:color w:val="auto"/>
          <w:kern w:val="2"/>
          <w:sz w:val="32"/>
          <w:szCs w:val="32"/>
        </w:rPr>
        <w:t>年本部门开支会议费</w:t>
      </w:r>
      <w:r w:rsidRPr="00CF6B5D">
        <w:rPr>
          <w:rFonts w:ascii="Times New Roman" w:eastAsia="仿宋_GB2312" w:hAnsi="Times New Roman" w:cs="Times New Roman"/>
          <w:color w:val="auto"/>
          <w:kern w:val="2"/>
          <w:sz w:val="32"/>
          <w:szCs w:val="32"/>
        </w:rPr>
        <w:t>0.00</w:t>
      </w:r>
      <w:r w:rsidRPr="00CF6B5D">
        <w:rPr>
          <w:rFonts w:ascii="Times New Roman" w:eastAsia="仿宋_GB2312" w:hAnsi="Times New Roman" w:cs="Times New Roman" w:hint="eastAsia"/>
          <w:color w:val="auto"/>
          <w:kern w:val="2"/>
          <w:sz w:val="32"/>
          <w:szCs w:val="32"/>
        </w:rPr>
        <w:t>万元。开支培训费</w:t>
      </w:r>
      <w:r w:rsidRPr="00CF6B5D">
        <w:rPr>
          <w:rFonts w:ascii="Times New Roman" w:eastAsia="仿宋_GB2312" w:hAnsi="Times New Roman" w:cs="Times New Roman"/>
          <w:color w:val="auto"/>
          <w:kern w:val="2"/>
          <w:sz w:val="32"/>
          <w:szCs w:val="32"/>
        </w:rPr>
        <w:t>6.77</w:t>
      </w:r>
      <w:r w:rsidRPr="00CF6B5D">
        <w:rPr>
          <w:rFonts w:ascii="Times New Roman" w:eastAsia="仿宋_GB2312" w:hAnsi="Times New Roman" w:cs="Times New Roman"/>
          <w:color w:val="auto"/>
          <w:kern w:val="2"/>
          <w:sz w:val="32"/>
          <w:szCs w:val="32"/>
        </w:rPr>
        <w:t>万元，用于开展</w:t>
      </w:r>
      <w:r w:rsidRPr="00CF6B5D">
        <w:rPr>
          <w:rFonts w:ascii="Times New Roman" w:eastAsia="仿宋_GB2312" w:hAnsi="Times New Roman" w:cs="Times New Roman" w:hint="eastAsia"/>
          <w:color w:val="auto"/>
          <w:kern w:val="2"/>
          <w:sz w:val="32"/>
          <w:szCs w:val="32"/>
        </w:rPr>
        <w:t>新</w:t>
      </w:r>
      <w:r w:rsidRPr="00CF6B5D">
        <w:rPr>
          <w:rFonts w:ascii="Times New Roman" w:eastAsia="仿宋_GB2312" w:hAnsi="Times New Roman" w:cs="Times New Roman" w:hint="eastAsia"/>
          <w:color w:val="auto"/>
          <w:kern w:val="2"/>
          <w:sz w:val="32"/>
          <w:szCs w:val="32"/>
        </w:rPr>
        <w:lastRenderedPageBreak/>
        <w:t>教师业务</w:t>
      </w:r>
      <w:r w:rsidRPr="00CF6B5D">
        <w:rPr>
          <w:rFonts w:ascii="Times New Roman" w:eastAsia="仿宋_GB2312" w:hAnsi="Times New Roman" w:cs="Times New Roman"/>
          <w:color w:val="auto"/>
          <w:kern w:val="2"/>
          <w:sz w:val="32"/>
          <w:szCs w:val="32"/>
        </w:rPr>
        <w:t>培训，人数</w:t>
      </w:r>
      <w:r w:rsidRPr="00CF6B5D">
        <w:rPr>
          <w:rFonts w:ascii="Times New Roman" w:eastAsia="仿宋_GB2312" w:hAnsi="Times New Roman" w:cs="Times New Roman" w:hint="eastAsia"/>
          <w:color w:val="auto"/>
          <w:kern w:val="2"/>
          <w:sz w:val="32"/>
          <w:szCs w:val="32"/>
        </w:rPr>
        <w:t>20</w:t>
      </w:r>
      <w:r w:rsidRPr="00CF6B5D">
        <w:rPr>
          <w:rFonts w:ascii="Times New Roman" w:eastAsia="仿宋_GB2312" w:hAnsi="Times New Roman" w:cs="Times New Roman"/>
          <w:color w:val="auto"/>
          <w:kern w:val="2"/>
          <w:sz w:val="32"/>
          <w:szCs w:val="32"/>
        </w:rPr>
        <w:t>人，内容为</w:t>
      </w:r>
      <w:r w:rsidRPr="00CF6B5D">
        <w:rPr>
          <w:rFonts w:ascii="Times New Roman" w:eastAsia="仿宋_GB2312" w:hAnsi="Times New Roman" w:cs="Times New Roman" w:hint="eastAsia"/>
          <w:color w:val="auto"/>
          <w:kern w:val="2"/>
          <w:sz w:val="32"/>
          <w:szCs w:val="32"/>
        </w:rPr>
        <w:t>教师青蓝工程、教师集体备课等。</w:t>
      </w:r>
    </w:p>
    <w:p w:rsidR="00CA5042" w:rsidRDefault="00AE651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十二、关于政府采购支出说明</w:t>
      </w:r>
    </w:p>
    <w:p w:rsidR="00CA5042" w:rsidRDefault="00AE6512">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10.58</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7.5</w:t>
      </w:r>
      <w:r>
        <w:rPr>
          <w:rFonts w:ascii="Times New Roman" w:eastAsia="仿宋_GB2312" w:hAnsi="Times New Roman" w:hint="eastAsia"/>
          <w:sz w:val="32"/>
          <w:szCs w:val="32"/>
        </w:rPr>
        <w:t>万元、政府采购服务支出</w:t>
      </w:r>
      <w:r>
        <w:rPr>
          <w:rFonts w:ascii="Times New Roman" w:eastAsia="仿宋_GB2312" w:hAnsi="Times New Roman" w:hint="eastAsia"/>
          <w:sz w:val="32"/>
          <w:szCs w:val="32"/>
        </w:rPr>
        <w:t>3.08</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10.58</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100.00%</w:t>
      </w:r>
      <w:r>
        <w:rPr>
          <w:rFonts w:ascii="Times New Roman" w:eastAsia="仿宋_GB2312" w:hAnsi="Times New Roman" w:hint="eastAsia"/>
          <w:sz w:val="32"/>
          <w:szCs w:val="32"/>
        </w:rPr>
        <w:t>，其中：授予小微企业合同金额</w:t>
      </w:r>
      <w:r>
        <w:rPr>
          <w:rFonts w:ascii="Times New Roman" w:eastAsia="仿宋_GB2312" w:hAnsi="Times New Roman" w:hint="eastAsia"/>
          <w:sz w:val="32"/>
          <w:szCs w:val="32"/>
        </w:rPr>
        <w:t>10.58</w:t>
      </w:r>
      <w:r>
        <w:rPr>
          <w:rFonts w:ascii="Times New Roman" w:eastAsia="仿宋_GB2312" w:hAnsi="Times New Roman" w:hint="eastAsia"/>
          <w:sz w:val="32"/>
          <w:szCs w:val="32"/>
        </w:rPr>
        <w:t>万元，占授予中小企业合同金额的</w:t>
      </w:r>
      <w:r>
        <w:rPr>
          <w:rFonts w:ascii="Times New Roman" w:eastAsia="仿宋_GB2312" w:hAnsi="Times New Roman" w:hint="eastAsia"/>
          <w:sz w:val="32"/>
          <w:szCs w:val="32"/>
        </w:rPr>
        <w:t>100.00%</w:t>
      </w:r>
      <w:r>
        <w:rPr>
          <w:rFonts w:ascii="Times New Roman" w:eastAsia="仿宋_GB2312" w:hAnsi="Times New Roman" w:hint="eastAsia"/>
          <w:sz w:val="32"/>
          <w:szCs w:val="32"/>
        </w:rPr>
        <w:t>。货物采购授予中小企业合同金额占货物支出金额的</w:t>
      </w:r>
      <w:r>
        <w:rPr>
          <w:rFonts w:ascii="Times New Roman" w:eastAsia="仿宋_GB2312" w:hAnsi="Times New Roman" w:hint="eastAsia"/>
          <w:sz w:val="32"/>
          <w:szCs w:val="32"/>
        </w:rPr>
        <w:t>100.00%</w:t>
      </w:r>
      <w:r>
        <w:rPr>
          <w:rFonts w:ascii="Times New Roman" w:eastAsia="仿宋_GB2312" w:hAnsi="Times New Roman" w:hint="eastAsia"/>
          <w:sz w:val="32"/>
          <w:szCs w:val="32"/>
        </w:rPr>
        <w:t>，服务采购授予中小企业合同金额占服务支出金额的</w:t>
      </w:r>
      <w:r>
        <w:rPr>
          <w:rFonts w:ascii="Times New Roman" w:eastAsia="仿宋_GB2312" w:hAnsi="Times New Roman" w:hint="eastAsia"/>
          <w:sz w:val="32"/>
          <w:szCs w:val="32"/>
        </w:rPr>
        <w:t>100.00%</w:t>
      </w:r>
      <w:r>
        <w:rPr>
          <w:rFonts w:ascii="Times New Roman" w:eastAsia="仿宋_GB2312" w:hAnsi="Times New Roman" w:hint="eastAsia"/>
          <w:sz w:val="32"/>
          <w:szCs w:val="32"/>
        </w:rPr>
        <w:t>。</w:t>
      </w:r>
    </w:p>
    <w:p w:rsidR="00CA5042" w:rsidRDefault="00AE651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十三、关于国有资产占用情况说明</w:t>
      </w:r>
    </w:p>
    <w:p w:rsidR="00CA5042" w:rsidRDefault="00AE6512">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截至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日，本单位共有车辆</w:t>
      </w:r>
      <w:r>
        <w:rPr>
          <w:rFonts w:ascii="Times New Roman" w:eastAsia="仿宋_GB2312" w:hAnsi="Times New Roman" w:hint="eastAsia"/>
          <w:sz w:val="32"/>
          <w:szCs w:val="32"/>
        </w:rPr>
        <w:t>0</w:t>
      </w:r>
      <w:r>
        <w:rPr>
          <w:rFonts w:ascii="Times New Roman" w:eastAsia="仿宋_GB2312" w:hAnsi="Times New Roman" w:hint="eastAsia"/>
          <w:sz w:val="32"/>
          <w:szCs w:val="32"/>
        </w:rPr>
        <w:t>辆，其中，主要领导干部用车</w:t>
      </w:r>
      <w:r>
        <w:rPr>
          <w:rFonts w:ascii="Times New Roman" w:eastAsia="仿宋_GB2312" w:hAnsi="Times New Roman" w:hint="eastAsia"/>
          <w:sz w:val="32"/>
          <w:szCs w:val="32"/>
        </w:rPr>
        <w:t>0</w:t>
      </w:r>
      <w:r>
        <w:rPr>
          <w:rFonts w:ascii="Times New Roman" w:eastAsia="仿宋_GB2312" w:hAnsi="Times New Roman" w:hint="eastAsia"/>
          <w:sz w:val="32"/>
          <w:szCs w:val="32"/>
        </w:rPr>
        <w:t>辆，机要通信用车</w:t>
      </w:r>
      <w:r>
        <w:rPr>
          <w:rFonts w:ascii="Times New Roman" w:eastAsia="仿宋_GB2312" w:hAnsi="Times New Roman" w:hint="eastAsia"/>
          <w:sz w:val="32"/>
          <w:szCs w:val="32"/>
        </w:rPr>
        <w:t>0</w:t>
      </w:r>
      <w:r>
        <w:rPr>
          <w:rFonts w:ascii="Times New Roman" w:eastAsia="仿宋_GB2312" w:hAnsi="Times New Roman" w:hint="eastAsia"/>
          <w:sz w:val="32"/>
          <w:szCs w:val="32"/>
        </w:rPr>
        <w:t>辆、应急保障用车</w:t>
      </w:r>
      <w:r>
        <w:rPr>
          <w:rFonts w:ascii="Times New Roman" w:eastAsia="仿宋_GB2312" w:hAnsi="Times New Roman" w:hint="eastAsia"/>
          <w:sz w:val="32"/>
          <w:szCs w:val="32"/>
        </w:rPr>
        <w:t>0</w:t>
      </w:r>
      <w:r>
        <w:rPr>
          <w:rFonts w:ascii="Times New Roman" w:eastAsia="仿宋_GB2312" w:hAnsi="Times New Roman" w:hint="eastAsia"/>
          <w:sz w:val="32"/>
          <w:szCs w:val="32"/>
        </w:rPr>
        <w:t>辆、执法执勤用车</w:t>
      </w:r>
      <w:r>
        <w:rPr>
          <w:rFonts w:ascii="Times New Roman" w:eastAsia="仿宋_GB2312" w:hAnsi="Times New Roman" w:hint="eastAsia"/>
          <w:sz w:val="32"/>
          <w:szCs w:val="32"/>
        </w:rPr>
        <w:t>0</w:t>
      </w:r>
      <w:r>
        <w:rPr>
          <w:rFonts w:ascii="Times New Roman" w:eastAsia="仿宋_GB2312" w:hAnsi="Times New Roman" w:hint="eastAsia"/>
          <w:sz w:val="32"/>
          <w:szCs w:val="32"/>
        </w:rPr>
        <w:t>辆、特种专业技术用车</w:t>
      </w:r>
      <w:r>
        <w:rPr>
          <w:rFonts w:ascii="Times New Roman" w:eastAsia="仿宋_GB2312" w:hAnsi="Times New Roman" w:hint="eastAsia"/>
          <w:sz w:val="32"/>
          <w:szCs w:val="32"/>
        </w:rPr>
        <w:t>0</w:t>
      </w:r>
      <w:r>
        <w:rPr>
          <w:rFonts w:ascii="Times New Roman" w:eastAsia="仿宋_GB2312" w:hAnsi="Times New Roman" w:hint="eastAsia"/>
          <w:sz w:val="32"/>
          <w:szCs w:val="32"/>
        </w:rPr>
        <w:t>辆、其他用车</w:t>
      </w:r>
      <w:r>
        <w:rPr>
          <w:rFonts w:ascii="Times New Roman" w:eastAsia="仿宋_GB2312" w:hAnsi="Times New Roman" w:hint="eastAsia"/>
          <w:sz w:val="32"/>
          <w:szCs w:val="32"/>
        </w:rPr>
        <w:t>0</w:t>
      </w:r>
      <w:r>
        <w:rPr>
          <w:rFonts w:ascii="Times New Roman" w:eastAsia="仿宋_GB2312" w:hAnsi="Times New Roman" w:hint="eastAsia"/>
          <w:sz w:val="32"/>
          <w:szCs w:val="32"/>
        </w:rPr>
        <w:t>辆，其他用车主要是无；单位价值</w:t>
      </w:r>
      <w:r>
        <w:rPr>
          <w:rFonts w:ascii="Times New Roman" w:eastAsia="仿宋_GB2312" w:hAnsi="Times New Roman" w:hint="eastAsia"/>
          <w:sz w:val="32"/>
          <w:szCs w:val="32"/>
        </w:rPr>
        <w:t>50</w:t>
      </w:r>
      <w:r>
        <w:rPr>
          <w:rFonts w:ascii="Times New Roman" w:eastAsia="仿宋_GB2312" w:hAnsi="Times New Roman" w:hint="eastAsia"/>
          <w:sz w:val="32"/>
          <w:szCs w:val="32"/>
        </w:rPr>
        <w:t>万元以上通用设备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台（套）；单位价值</w:t>
      </w:r>
      <w:r>
        <w:rPr>
          <w:rFonts w:ascii="Times New Roman" w:eastAsia="仿宋_GB2312" w:hAnsi="Times New Roman" w:hint="eastAsia"/>
          <w:sz w:val="32"/>
          <w:szCs w:val="32"/>
        </w:rPr>
        <w:t>100</w:t>
      </w:r>
      <w:r>
        <w:rPr>
          <w:rFonts w:ascii="Times New Roman" w:eastAsia="仿宋_GB2312" w:hAnsi="Times New Roman" w:hint="eastAsia"/>
          <w:sz w:val="32"/>
          <w:szCs w:val="32"/>
        </w:rPr>
        <w:t>万元以上专用设备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w:t>
      </w:r>
    </w:p>
    <w:p w:rsidR="00CA5042" w:rsidRDefault="00AE6512">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十四、关于2024年度绩效评价情况的说明</w:t>
      </w:r>
    </w:p>
    <w:p w:rsidR="00CA5042" w:rsidRDefault="00AE6512">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（1）绩效管理评价工作开展情况</w:t>
      </w:r>
      <w:r>
        <w:rPr>
          <w:rFonts w:ascii="微软雅黑" w:eastAsia="微软雅黑" w:hAnsi="微软雅黑" w:cs="微软雅黑" w:hint="eastAsia"/>
          <w:color w:val="000000"/>
          <w:kern w:val="0"/>
          <w:sz w:val="32"/>
          <w:szCs w:val="32"/>
        </w:rPr>
        <w:t>。</w:t>
      </w:r>
    </w:p>
    <w:p w:rsidR="00CA5042" w:rsidRDefault="00AE6512">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根据预算绩效管理要求，我部门组织对</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年度一般公共预算项目支出全面开展绩效自评，其中，一级项目</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个，二级项目</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个，共涉及资金</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万元，占一般公共预算项目支出总额的</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。组织对</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w:t>
      </w:r>
      <w:r w:rsidR="00CF6B5D">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个政府性基金预算项目支出开展绩效自评，共涉及资金</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万元，占政府性基金预算项目支出总额的</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。组织对</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个国有资本经营预算项目支出开展绩效自评，共涉及资金</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万元，占国有资本经营预算项目支出总额的</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w:t>
      </w:r>
    </w:p>
    <w:p w:rsidR="00CA5042" w:rsidRDefault="00AE6512">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组织对</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个项目开展了部门评价，涉及一般公共预算支出</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万元，政府性基金预算支出</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万元，国有资本经营预算支出</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w:t>
      </w:r>
    </w:p>
    <w:p w:rsidR="00CA5042" w:rsidRDefault="00AE6512">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组织对“岳阳县张谷英镇中心学校”等</w:t>
      </w:r>
      <w:r>
        <w:rPr>
          <w:rFonts w:ascii="Times New Roman" w:eastAsia="仿宋_GB2312" w:hAnsi="Times New Roman" w:cs="黑体" w:hint="eastAsia"/>
          <w:color w:val="000000"/>
          <w:kern w:val="0"/>
          <w:sz w:val="32"/>
          <w:szCs w:val="32"/>
        </w:rPr>
        <w:t>1</w:t>
      </w:r>
      <w:r>
        <w:rPr>
          <w:rFonts w:ascii="Times New Roman" w:eastAsia="仿宋_GB2312" w:hAnsi="Times New Roman" w:cs="黑体" w:hint="eastAsia"/>
          <w:color w:val="000000"/>
          <w:kern w:val="0"/>
          <w:sz w:val="32"/>
          <w:szCs w:val="32"/>
        </w:rPr>
        <w:t>个单位开展整体支出绩效评价，涉及一般公共预算支出</w:t>
      </w:r>
      <w:r>
        <w:rPr>
          <w:rFonts w:ascii="Times New Roman" w:eastAsia="仿宋_GB2312" w:hAnsi="Times New Roman" w:cs="黑体" w:hint="eastAsia"/>
          <w:color w:val="000000"/>
          <w:kern w:val="0"/>
          <w:sz w:val="32"/>
          <w:szCs w:val="32"/>
        </w:rPr>
        <w:t>3983.04</w:t>
      </w:r>
      <w:r>
        <w:rPr>
          <w:rFonts w:ascii="Times New Roman" w:eastAsia="仿宋_GB2312" w:hAnsi="Times New Roman" w:cs="黑体" w:hint="eastAsia"/>
          <w:color w:val="000000"/>
          <w:kern w:val="0"/>
          <w:sz w:val="32"/>
          <w:szCs w:val="32"/>
        </w:rPr>
        <w:t>万元，政府性基金预算支出</w:t>
      </w:r>
      <w:r>
        <w:rPr>
          <w:rFonts w:ascii="Times New Roman" w:eastAsia="仿宋_GB2312" w:hAnsi="Times New Roman" w:cs="黑体" w:hint="eastAsia"/>
          <w:color w:val="000000"/>
          <w:kern w:val="0"/>
          <w:sz w:val="32"/>
          <w:szCs w:val="32"/>
        </w:rPr>
        <w:t>15.00</w:t>
      </w:r>
      <w:r>
        <w:rPr>
          <w:rFonts w:ascii="Times New Roman" w:eastAsia="仿宋_GB2312" w:hAnsi="Times New Roman" w:cs="黑体" w:hint="eastAsia"/>
          <w:color w:val="000000"/>
          <w:kern w:val="0"/>
          <w:sz w:val="32"/>
          <w:szCs w:val="32"/>
        </w:rPr>
        <w:t>万元。从评</w:t>
      </w:r>
      <w:r>
        <w:rPr>
          <w:rFonts w:ascii="Times New Roman" w:eastAsia="仿宋_GB2312" w:hAnsi="Times New Roman" w:cs="黑体" w:hint="eastAsia"/>
          <w:color w:val="000000"/>
          <w:kern w:val="0"/>
          <w:sz w:val="32"/>
          <w:szCs w:val="32"/>
        </w:rPr>
        <w:lastRenderedPageBreak/>
        <w:t>价情况来看，部门整体支出绩效自评得分</w:t>
      </w:r>
      <w:r>
        <w:rPr>
          <w:rFonts w:ascii="Times New Roman" w:eastAsia="仿宋_GB2312" w:hAnsi="Times New Roman" w:cs="黑体" w:hint="eastAsia"/>
          <w:color w:val="000000"/>
          <w:kern w:val="0"/>
          <w:sz w:val="32"/>
          <w:szCs w:val="32"/>
        </w:rPr>
        <w:t>98</w:t>
      </w:r>
      <w:r>
        <w:rPr>
          <w:rFonts w:ascii="Times New Roman" w:eastAsia="仿宋_GB2312" w:hAnsi="Times New Roman" w:cs="黑体" w:hint="eastAsia"/>
          <w:color w:val="000000"/>
          <w:kern w:val="0"/>
          <w:sz w:val="32"/>
          <w:szCs w:val="32"/>
        </w:rPr>
        <w:t>，评价等级为“优秀”。</w:t>
      </w:r>
    </w:p>
    <w:p w:rsidR="00CA5042" w:rsidRDefault="00AE6512">
      <w:pPr>
        <w:autoSpaceDE w:val="0"/>
        <w:autoSpaceDN w:val="0"/>
        <w:adjustRightInd w:val="0"/>
        <w:spacing w:line="360" w:lineRule="auto"/>
        <w:ind w:firstLineChars="200" w:firstLine="640"/>
        <w:jc w:val="left"/>
        <w:rPr>
          <w:rFonts w:ascii="微软雅黑" w:eastAsia="微软雅黑" w:hAnsi="微软雅黑" w:cs="微软雅黑"/>
          <w:b/>
          <w:color w:val="000000"/>
          <w:kern w:val="0"/>
          <w:sz w:val="32"/>
          <w:szCs w:val="32"/>
        </w:rPr>
      </w:pPr>
      <w:r>
        <w:rPr>
          <w:rFonts w:ascii="微软雅黑" w:eastAsia="微软雅黑" w:hAnsi="微软雅黑" w:cs="微软雅黑" w:hint="eastAsia"/>
          <w:b/>
          <w:color w:val="000000"/>
          <w:kern w:val="0"/>
          <w:sz w:val="32"/>
          <w:szCs w:val="32"/>
        </w:rPr>
        <w:t>（2）部门决算中项目绩效自评结果（如有）。</w:t>
      </w:r>
    </w:p>
    <w:p w:rsidR="00CA5042" w:rsidRDefault="00AE6512">
      <w:pPr>
        <w:autoSpaceDE w:val="0"/>
        <w:autoSpaceDN w:val="0"/>
        <w:adjustRightInd w:val="0"/>
        <w:spacing w:line="360" w:lineRule="auto"/>
        <w:ind w:firstLineChars="500" w:firstLine="160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无</w:t>
      </w:r>
    </w:p>
    <w:p w:rsidR="00CA5042" w:rsidRDefault="00AE6512">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（3）部门评价项目绩效评价结果。</w:t>
      </w:r>
    </w:p>
    <w:p w:rsidR="00CA5042" w:rsidRDefault="00AE6512">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部门评价项目数量</w:t>
      </w:r>
      <w:r>
        <w:rPr>
          <w:rFonts w:ascii="Times New Roman" w:eastAsia="仿宋_GB2312" w:hAnsi="Times New Roman" w:cs="黑体" w:hint="eastAsia"/>
          <w:color w:val="000000"/>
          <w:kern w:val="0"/>
          <w:sz w:val="32"/>
          <w:szCs w:val="32"/>
        </w:rPr>
        <w:t>3</w:t>
      </w:r>
      <w:r>
        <w:rPr>
          <w:rFonts w:ascii="Times New Roman" w:eastAsia="仿宋_GB2312" w:hAnsi="Times New Roman" w:cs="黑体" w:hint="eastAsia"/>
          <w:color w:val="000000"/>
          <w:kern w:val="0"/>
          <w:sz w:val="32"/>
          <w:szCs w:val="32"/>
        </w:rPr>
        <w:t>个以内的，至少将</w:t>
      </w:r>
      <w:r w:rsidR="00CF6B5D">
        <w:rPr>
          <w:rFonts w:ascii="Times New Roman" w:eastAsia="仿宋_GB2312" w:hAnsi="Times New Roman" w:cs="黑体" w:hint="eastAsia"/>
          <w:color w:val="000000"/>
          <w:kern w:val="0"/>
          <w:sz w:val="32"/>
          <w:szCs w:val="32"/>
        </w:rPr>
        <w:t>1</w:t>
      </w:r>
      <w:r>
        <w:rPr>
          <w:rFonts w:ascii="Times New Roman" w:eastAsia="仿宋_GB2312" w:hAnsi="Times New Roman" w:cs="黑体" w:hint="eastAsia"/>
          <w:color w:val="000000"/>
          <w:kern w:val="0"/>
          <w:sz w:val="32"/>
          <w:szCs w:val="32"/>
        </w:rPr>
        <w:t>个部门评价报告向社会公开；部门评价项目数量大于</w:t>
      </w:r>
      <w:r>
        <w:rPr>
          <w:rFonts w:ascii="Times New Roman" w:eastAsia="仿宋_GB2312" w:hAnsi="Times New Roman" w:cs="黑体" w:hint="eastAsia"/>
          <w:color w:val="000000"/>
          <w:kern w:val="0"/>
          <w:sz w:val="32"/>
          <w:szCs w:val="32"/>
        </w:rPr>
        <w:t xml:space="preserve">3 </w:t>
      </w:r>
      <w:r>
        <w:rPr>
          <w:rFonts w:ascii="Times New Roman" w:eastAsia="仿宋_GB2312" w:hAnsi="Times New Roman" w:cs="黑体" w:hint="eastAsia"/>
          <w:color w:val="000000"/>
          <w:kern w:val="0"/>
          <w:sz w:val="32"/>
          <w:szCs w:val="32"/>
        </w:rPr>
        <w:t>个的，至少将</w:t>
      </w:r>
      <w:r w:rsidR="00CF6B5D">
        <w:rPr>
          <w:rFonts w:ascii="Times New Roman" w:eastAsia="仿宋_GB2312" w:hAnsi="Times New Roman" w:cs="黑体" w:hint="eastAsia"/>
          <w:color w:val="000000"/>
          <w:kern w:val="0"/>
          <w:sz w:val="32"/>
          <w:szCs w:val="32"/>
        </w:rPr>
        <w:t>2</w:t>
      </w:r>
      <w:r>
        <w:rPr>
          <w:rFonts w:ascii="Times New Roman" w:eastAsia="仿宋_GB2312" w:hAnsi="Times New Roman" w:cs="黑体" w:hint="eastAsia"/>
          <w:color w:val="000000"/>
          <w:kern w:val="0"/>
          <w:sz w:val="32"/>
          <w:szCs w:val="32"/>
        </w:rPr>
        <w:t>个部门评价报告向社会公开。报告框架可参考《项目支出绩效评价办法》（财预〔</w:t>
      </w:r>
      <w:r>
        <w:rPr>
          <w:rFonts w:ascii="Times New Roman" w:eastAsia="仿宋_GB2312" w:hAnsi="Times New Roman" w:cs="黑体" w:hint="eastAsia"/>
          <w:color w:val="000000"/>
          <w:kern w:val="0"/>
          <w:sz w:val="32"/>
          <w:szCs w:val="32"/>
        </w:rPr>
        <w:t>2020</w:t>
      </w:r>
      <w:r>
        <w:rPr>
          <w:rFonts w:ascii="Times New Roman" w:eastAsia="仿宋_GB2312" w:hAnsi="Times New Roman" w:cs="黑体" w:hint="eastAsia"/>
          <w:color w:val="000000"/>
          <w:kern w:val="0"/>
          <w:sz w:val="32"/>
          <w:szCs w:val="32"/>
        </w:rPr>
        <w:t>〕</w:t>
      </w:r>
      <w:r>
        <w:rPr>
          <w:rFonts w:ascii="Times New Roman" w:eastAsia="仿宋_GB2312" w:hAnsi="Times New Roman" w:cs="黑体" w:hint="eastAsia"/>
          <w:color w:val="000000"/>
          <w:kern w:val="0"/>
          <w:sz w:val="32"/>
          <w:szCs w:val="32"/>
        </w:rPr>
        <w:t xml:space="preserve">10 </w:t>
      </w:r>
      <w:r>
        <w:rPr>
          <w:rFonts w:ascii="Times New Roman" w:eastAsia="仿宋_GB2312" w:hAnsi="Times New Roman" w:cs="黑体" w:hint="eastAsia"/>
          <w:color w:val="000000"/>
          <w:kern w:val="0"/>
          <w:sz w:val="32"/>
          <w:szCs w:val="32"/>
        </w:rPr>
        <w:t>号）中《项目支出绩效评价报告（参考提纲）》、《湖南省预算支出绩效评价管理办法》（湘财绩〔</w:t>
      </w:r>
      <w:r>
        <w:rPr>
          <w:rFonts w:ascii="Times New Roman" w:eastAsia="仿宋_GB2312" w:hAnsi="Times New Roman" w:cs="黑体" w:hint="eastAsia"/>
          <w:color w:val="000000"/>
          <w:kern w:val="0"/>
          <w:sz w:val="32"/>
          <w:szCs w:val="32"/>
        </w:rPr>
        <w:t>2020</w:t>
      </w:r>
      <w:r>
        <w:rPr>
          <w:rFonts w:ascii="Times New Roman" w:eastAsia="仿宋_GB2312" w:hAnsi="Times New Roman" w:cs="黑体" w:hint="eastAsia"/>
          <w:color w:val="000000"/>
          <w:kern w:val="0"/>
          <w:sz w:val="32"/>
          <w:szCs w:val="32"/>
        </w:rPr>
        <w:t>〕</w:t>
      </w:r>
      <w:r>
        <w:rPr>
          <w:rFonts w:ascii="Times New Roman" w:eastAsia="仿宋_GB2312" w:hAnsi="Times New Roman" w:cs="黑体" w:hint="eastAsia"/>
          <w:color w:val="000000"/>
          <w:kern w:val="0"/>
          <w:sz w:val="32"/>
          <w:szCs w:val="32"/>
        </w:rPr>
        <w:t>7</w:t>
      </w:r>
      <w:r>
        <w:rPr>
          <w:rFonts w:ascii="Times New Roman" w:eastAsia="仿宋_GB2312" w:hAnsi="Times New Roman" w:cs="黑体" w:hint="eastAsia"/>
          <w:color w:val="000000"/>
          <w:kern w:val="0"/>
          <w:sz w:val="32"/>
          <w:szCs w:val="32"/>
        </w:rPr>
        <w:t>号）。</w:t>
      </w:r>
    </w:p>
    <w:p w:rsidR="00CA5042" w:rsidRDefault="00AE6512">
      <w:pPr>
        <w:rPr>
          <w:rFonts w:ascii="微软雅黑" w:eastAsia="微软雅黑" w:hAnsi="微软雅黑" w:cs="微软雅黑"/>
          <w:i/>
          <w:iCs/>
          <w:color w:val="FF0000"/>
          <w:sz w:val="32"/>
          <w:szCs w:val="32"/>
        </w:rPr>
      </w:pPr>
      <w:r>
        <w:rPr>
          <w:rFonts w:ascii="微软雅黑" w:eastAsia="微软雅黑" w:hAnsi="微软雅黑" w:cs="微软雅黑" w:hint="eastAsia"/>
          <w:i/>
          <w:iCs/>
          <w:color w:val="FF0000"/>
          <w:sz w:val="32"/>
          <w:szCs w:val="32"/>
        </w:rPr>
        <w:br w:type="page"/>
      </w:r>
    </w:p>
    <w:p w:rsidR="00CA5042" w:rsidRDefault="00CA5042">
      <w:pPr>
        <w:pStyle w:val="Default"/>
        <w:spacing w:line="360" w:lineRule="auto"/>
        <w:ind w:firstLineChars="200" w:firstLine="640"/>
        <w:rPr>
          <w:rFonts w:ascii="微软雅黑" w:eastAsia="微软雅黑" w:hAnsi="微软雅黑" w:cs="微软雅黑"/>
          <w:i/>
          <w:iCs/>
          <w:color w:val="FF0000"/>
          <w:sz w:val="32"/>
          <w:szCs w:val="32"/>
        </w:rPr>
      </w:pPr>
    </w:p>
    <w:p w:rsidR="00CA5042" w:rsidRDefault="00AE6512">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CA5042" w:rsidRDefault="00CA5042">
      <w:pPr>
        <w:jc w:val="center"/>
        <w:rPr>
          <w:rFonts w:ascii="微软雅黑" w:eastAsia="微软雅黑" w:hAnsi="微软雅黑" w:cs="微软雅黑"/>
          <w:b/>
          <w:bCs/>
          <w:color w:val="000000"/>
          <w:kern w:val="0"/>
          <w:sz w:val="70"/>
          <w:szCs w:val="70"/>
        </w:rPr>
      </w:pPr>
    </w:p>
    <w:p w:rsidR="00CA5042" w:rsidRDefault="00AE6512">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CA5042" w:rsidRDefault="00CA5042">
      <w:pPr>
        <w:widowControl/>
        <w:jc w:val="left"/>
        <w:rPr>
          <w:rFonts w:ascii="微软雅黑" w:eastAsia="微软雅黑" w:hAnsi="微软雅黑" w:cs="微软雅黑"/>
          <w:color w:val="000000"/>
          <w:kern w:val="0"/>
          <w:sz w:val="32"/>
          <w:szCs w:val="32"/>
        </w:rPr>
      </w:pPr>
    </w:p>
    <w:p w:rsidR="00CA5042" w:rsidRDefault="00AE6512">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CA5042" w:rsidRDefault="00AE6512">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CA5042" w:rsidRDefault="00AE6512">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三、财政拨款收入：指本级财政当年拨付的资金。</w:t>
      </w:r>
    </w:p>
    <w:p w:rsidR="00CA5042" w:rsidRDefault="00AE6512">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四、事业收入：指事业单位开展专业业务活动及辅助活动所取得的收入。</w:t>
      </w:r>
    </w:p>
    <w:p w:rsidR="00CA5042" w:rsidRDefault="00AE6512">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五、教育支出（类）：是指用于政府教育事务支出，包括保障机构正常运转、完成日常和特定的工作任务或事业发展目标的支出。</w:t>
      </w:r>
    </w:p>
    <w:p w:rsidR="00CA5042" w:rsidRDefault="00AE6512">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六、基本支出：指保障机构正常运转、完成支日常工作任务而发生的</w:t>
      </w:r>
      <w:r>
        <w:rPr>
          <w:rFonts w:ascii="宋体" w:hAnsi="宋体" w:cs="黑体" w:hint="eastAsia"/>
          <w:color w:val="000000"/>
          <w:kern w:val="0"/>
          <w:sz w:val="32"/>
          <w:szCs w:val="32"/>
        </w:rPr>
        <w:lastRenderedPageBreak/>
        <w:t>人员支出和公用支出。</w:t>
      </w:r>
    </w:p>
    <w:p w:rsidR="00CA5042" w:rsidRDefault="00AE6512">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七、项目支出：指在基本支出之外为完成特定行政任务和事业发展目标所发生的支出。</w:t>
      </w:r>
    </w:p>
    <w:p w:rsidR="00CA5042" w:rsidRDefault="00CA5042">
      <w:pPr>
        <w:pStyle w:val="Default"/>
        <w:spacing w:line="600" w:lineRule="exact"/>
        <w:ind w:firstLineChars="200" w:firstLine="640"/>
        <w:rPr>
          <w:rFonts w:ascii="微软雅黑" w:eastAsia="微软雅黑" w:hAnsi="微软雅黑" w:cs="微软雅黑"/>
          <w:b/>
          <w:bCs/>
          <w:i/>
          <w:color w:val="FF0000"/>
          <w:sz w:val="32"/>
          <w:szCs w:val="32"/>
        </w:rPr>
      </w:pPr>
    </w:p>
    <w:p w:rsidR="00CA5042" w:rsidRDefault="00AE6512">
      <w:pPr>
        <w:rPr>
          <w:rFonts w:ascii="微软雅黑" w:eastAsia="微软雅黑" w:hAnsi="微软雅黑" w:cs="微软雅黑"/>
          <w:sz w:val="72"/>
          <w:szCs w:val="72"/>
        </w:rPr>
      </w:pPr>
      <w:r>
        <w:rPr>
          <w:rFonts w:ascii="微软雅黑" w:eastAsia="微软雅黑" w:hAnsi="微软雅黑" w:cs="微软雅黑" w:hint="eastAsia"/>
          <w:sz w:val="72"/>
          <w:szCs w:val="72"/>
        </w:rPr>
        <w:br w:type="page"/>
      </w:r>
    </w:p>
    <w:p w:rsidR="00CA5042" w:rsidRDefault="00CA5042">
      <w:pPr>
        <w:pStyle w:val="Default"/>
        <w:jc w:val="center"/>
        <w:rPr>
          <w:rFonts w:ascii="微软雅黑" w:eastAsia="微软雅黑" w:hAnsi="微软雅黑" w:cs="微软雅黑"/>
          <w:sz w:val="72"/>
          <w:szCs w:val="72"/>
        </w:rPr>
      </w:pPr>
    </w:p>
    <w:p w:rsidR="00CA5042" w:rsidRDefault="00AE6512">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第五部分</w:t>
      </w:r>
    </w:p>
    <w:p w:rsidR="00CA5042" w:rsidRDefault="00CA5042">
      <w:pPr>
        <w:jc w:val="center"/>
        <w:rPr>
          <w:rFonts w:ascii="微软雅黑" w:eastAsia="微软雅黑" w:hAnsi="微软雅黑" w:cs="微软雅黑"/>
          <w:b/>
          <w:bCs/>
          <w:color w:val="000000"/>
          <w:kern w:val="0"/>
          <w:sz w:val="70"/>
          <w:szCs w:val="70"/>
        </w:rPr>
      </w:pPr>
    </w:p>
    <w:p w:rsidR="00CA5042" w:rsidRDefault="00AE6512">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CA5042" w:rsidRDefault="00CA5042">
      <w:pPr>
        <w:ind w:firstLineChars="200" w:firstLine="640"/>
        <w:jc w:val="left"/>
        <w:rPr>
          <w:rFonts w:ascii="微软雅黑" w:eastAsia="微软雅黑" w:hAnsi="微软雅黑" w:cs="微软雅黑"/>
          <w:b/>
          <w:bCs/>
          <w:color w:val="000000"/>
          <w:kern w:val="0"/>
          <w:sz w:val="32"/>
          <w:szCs w:val="32"/>
        </w:rPr>
      </w:pPr>
    </w:p>
    <w:p w:rsidR="00CA5042" w:rsidRDefault="00AE6512">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2024年部门决算公开表格</w:t>
      </w:r>
    </w:p>
    <w:p w:rsidR="00CA5042" w:rsidRDefault="00AE6512">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2、2024年度部门整体支出绩效评价报告</w:t>
      </w:r>
    </w:p>
    <w:sectPr w:rsidR="00CA5042" w:rsidSect="00CA5042">
      <w:pgSz w:w="11906" w:h="16838"/>
      <w:pgMar w:top="720" w:right="720" w:bottom="720" w:left="72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D70" w:rsidRDefault="00402D70" w:rsidP="005F61CF">
      <w:r>
        <w:separator/>
      </w:r>
    </w:p>
  </w:endnote>
  <w:endnote w:type="continuationSeparator" w:id="0">
    <w:p w:rsidR="00402D70" w:rsidRDefault="00402D70" w:rsidP="005F6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D70" w:rsidRDefault="00402D70" w:rsidP="005F61CF">
      <w:r>
        <w:separator/>
      </w:r>
    </w:p>
  </w:footnote>
  <w:footnote w:type="continuationSeparator" w:id="0">
    <w:p w:rsidR="00402D70" w:rsidRDefault="00402D70" w:rsidP="005F61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QyMjBjOTA4MDc1MzU1NGZmYTViNGI3ODJiM2Q3ZjUifQ=="/>
    <w:docVar w:name="KSO_WPS_MARK_KEY" w:val="aeeac8e3-f466-426f-889f-364d7213eb81"/>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02D70"/>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5F61CF"/>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92C35"/>
    <w:rsid w:val="008A3E8D"/>
    <w:rsid w:val="008F2CF9"/>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AE6512"/>
    <w:rsid w:val="00B33BEA"/>
    <w:rsid w:val="00B57C9F"/>
    <w:rsid w:val="00B63572"/>
    <w:rsid w:val="00B845B3"/>
    <w:rsid w:val="00B85D8B"/>
    <w:rsid w:val="00BB4A40"/>
    <w:rsid w:val="00BD6C3E"/>
    <w:rsid w:val="00BE108C"/>
    <w:rsid w:val="00BE3674"/>
    <w:rsid w:val="00C10681"/>
    <w:rsid w:val="00C3049A"/>
    <w:rsid w:val="00C31B1E"/>
    <w:rsid w:val="00C77645"/>
    <w:rsid w:val="00CA5042"/>
    <w:rsid w:val="00CE04C3"/>
    <w:rsid w:val="00CE76A0"/>
    <w:rsid w:val="00CF6B5D"/>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482261"/>
    <w:rsid w:val="062A341E"/>
    <w:rsid w:val="074309F6"/>
    <w:rsid w:val="07966D78"/>
    <w:rsid w:val="07E04F3D"/>
    <w:rsid w:val="096227F5"/>
    <w:rsid w:val="0AC57974"/>
    <w:rsid w:val="0F9016DB"/>
    <w:rsid w:val="0FE268D2"/>
    <w:rsid w:val="10565F0F"/>
    <w:rsid w:val="10A73DA4"/>
    <w:rsid w:val="11A63AC3"/>
    <w:rsid w:val="13135140"/>
    <w:rsid w:val="134641EF"/>
    <w:rsid w:val="136B7D14"/>
    <w:rsid w:val="15986B0A"/>
    <w:rsid w:val="15A64981"/>
    <w:rsid w:val="17D85E72"/>
    <w:rsid w:val="191A1185"/>
    <w:rsid w:val="1A4B623A"/>
    <w:rsid w:val="21680401"/>
    <w:rsid w:val="27B766F6"/>
    <w:rsid w:val="29701875"/>
    <w:rsid w:val="2F026361"/>
    <w:rsid w:val="2F5729E1"/>
    <w:rsid w:val="306F0E15"/>
    <w:rsid w:val="31B77767"/>
    <w:rsid w:val="33E12879"/>
    <w:rsid w:val="34095384"/>
    <w:rsid w:val="34767465"/>
    <w:rsid w:val="34E24AFB"/>
    <w:rsid w:val="36E96615"/>
    <w:rsid w:val="371D75C1"/>
    <w:rsid w:val="3B9B28AF"/>
    <w:rsid w:val="3BC62A80"/>
    <w:rsid w:val="3FD348C7"/>
    <w:rsid w:val="40C80669"/>
    <w:rsid w:val="41940D6D"/>
    <w:rsid w:val="42415557"/>
    <w:rsid w:val="42FC322C"/>
    <w:rsid w:val="441E5652"/>
    <w:rsid w:val="44AC435F"/>
    <w:rsid w:val="487D493C"/>
    <w:rsid w:val="493A4AAE"/>
    <w:rsid w:val="4C76404F"/>
    <w:rsid w:val="4D542DAB"/>
    <w:rsid w:val="4EC70B92"/>
    <w:rsid w:val="512C2F2E"/>
    <w:rsid w:val="52E579D6"/>
    <w:rsid w:val="53A5521A"/>
    <w:rsid w:val="55C63EE6"/>
    <w:rsid w:val="570F5142"/>
    <w:rsid w:val="5777D4F5"/>
    <w:rsid w:val="57D94F90"/>
    <w:rsid w:val="59743537"/>
    <w:rsid w:val="5B4F3FC2"/>
    <w:rsid w:val="5D2E44D2"/>
    <w:rsid w:val="5DA84284"/>
    <w:rsid w:val="5DB1138B"/>
    <w:rsid w:val="5E026FEC"/>
    <w:rsid w:val="5FC6BB1E"/>
    <w:rsid w:val="5FF720F1"/>
    <w:rsid w:val="62865D5A"/>
    <w:rsid w:val="63930AB7"/>
    <w:rsid w:val="643C1282"/>
    <w:rsid w:val="645753D4"/>
    <w:rsid w:val="65B05FE0"/>
    <w:rsid w:val="660109D5"/>
    <w:rsid w:val="6720463D"/>
    <w:rsid w:val="6AEB57B0"/>
    <w:rsid w:val="6BD30F4C"/>
    <w:rsid w:val="6C0528A2"/>
    <w:rsid w:val="6CCF499E"/>
    <w:rsid w:val="6D15603E"/>
    <w:rsid w:val="6D1D2BA3"/>
    <w:rsid w:val="6D340BE9"/>
    <w:rsid w:val="6E4E0530"/>
    <w:rsid w:val="70F829D5"/>
    <w:rsid w:val="71B615C9"/>
    <w:rsid w:val="72853156"/>
    <w:rsid w:val="72D57472"/>
    <w:rsid w:val="73653335"/>
    <w:rsid w:val="737D59BA"/>
    <w:rsid w:val="73D15FE7"/>
    <w:rsid w:val="743957DE"/>
    <w:rsid w:val="75063912"/>
    <w:rsid w:val="772C33D8"/>
    <w:rsid w:val="776B5ABC"/>
    <w:rsid w:val="776D2CE2"/>
    <w:rsid w:val="77C37683"/>
    <w:rsid w:val="79FF515B"/>
    <w:rsid w:val="7B2F3497"/>
    <w:rsid w:val="7C4D3A17"/>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A5042"/>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next w:val="2"/>
    <w:semiHidden/>
    <w:qFormat/>
    <w:rsid w:val="00CA5042"/>
    <w:pPr>
      <w:widowControl w:val="0"/>
      <w:snapToGrid w:val="0"/>
    </w:pPr>
    <w:rPr>
      <w:rFonts w:ascii="Calibri" w:hAnsi="Calibri"/>
      <w:kern w:val="2"/>
      <w:sz w:val="18"/>
      <w:szCs w:val="18"/>
    </w:rPr>
  </w:style>
  <w:style w:type="paragraph" w:styleId="2">
    <w:name w:val="Body Text First Indent 2"/>
    <w:next w:val="a"/>
    <w:uiPriority w:val="99"/>
    <w:unhideWhenUsed/>
    <w:qFormat/>
    <w:rsid w:val="00CA5042"/>
    <w:pPr>
      <w:spacing w:after="120"/>
      <w:ind w:leftChars="200" w:left="420" w:firstLineChars="200" w:firstLine="420"/>
    </w:pPr>
    <w:rPr>
      <w:rFonts w:ascii="宋体" w:hAnsi="宋体" w:cs="宋体"/>
      <w:sz w:val="24"/>
      <w:szCs w:val="22"/>
    </w:rPr>
  </w:style>
  <w:style w:type="paragraph" w:styleId="a4">
    <w:name w:val="Balloon Text"/>
    <w:basedOn w:val="a"/>
    <w:link w:val="Char"/>
    <w:uiPriority w:val="99"/>
    <w:unhideWhenUsed/>
    <w:qFormat/>
    <w:rsid w:val="00CA5042"/>
    <w:rPr>
      <w:sz w:val="18"/>
      <w:szCs w:val="18"/>
    </w:rPr>
  </w:style>
  <w:style w:type="paragraph" w:styleId="a5">
    <w:name w:val="footer"/>
    <w:basedOn w:val="a"/>
    <w:link w:val="Char0"/>
    <w:uiPriority w:val="99"/>
    <w:unhideWhenUsed/>
    <w:qFormat/>
    <w:rsid w:val="00CA5042"/>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CA5042"/>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1"/>
    <w:link w:val="a4"/>
    <w:uiPriority w:val="99"/>
    <w:semiHidden/>
    <w:qFormat/>
    <w:rsid w:val="00CA5042"/>
    <w:rPr>
      <w:sz w:val="18"/>
      <w:szCs w:val="18"/>
    </w:rPr>
  </w:style>
  <w:style w:type="character" w:customStyle="1" w:styleId="Char0">
    <w:name w:val="页脚 Char"/>
    <w:basedOn w:val="a1"/>
    <w:link w:val="a5"/>
    <w:uiPriority w:val="99"/>
    <w:qFormat/>
    <w:rsid w:val="00CA5042"/>
    <w:rPr>
      <w:sz w:val="18"/>
      <w:szCs w:val="18"/>
    </w:rPr>
  </w:style>
  <w:style w:type="character" w:customStyle="1" w:styleId="Char1">
    <w:name w:val="页眉 Char"/>
    <w:basedOn w:val="a1"/>
    <w:link w:val="a6"/>
    <w:uiPriority w:val="99"/>
    <w:qFormat/>
    <w:rsid w:val="00CA5042"/>
    <w:rPr>
      <w:sz w:val="18"/>
      <w:szCs w:val="18"/>
    </w:rPr>
  </w:style>
  <w:style w:type="character" w:customStyle="1" w:styleId="font11">
    <w:name w:val="font11"/>
    <w:basedOn w:val="a1"/>
    <w:qFormat/>
    <w:rsid w:val="00CA5042"/>
    <w:rPr>
      <w:rFonts w:ascii="宋体" w:eastAsia="宋体" w:hAnsi="宋体" w:cs="宋体" w:hint="eastAsia"/>
      <w:color w:val="000000"/>
      <w:sz w:val="24"/>
      <w:szCs w:val="24"/>
      <w:u w:val="none"/>
    </w:rPr>
  </w:style>
  <w:style w:type="character" w:customStyle="1" w:styleId="font21">
    <w:name w:val="font21"/>
    <w:basedOn w:val="a1"/>
    <w:qFormat/>
    <w:rsid w:val="00CA5042"/>
    <w:rPr>
      <w:rFonts w:ascii="宋体" w:eastAsia="宋体" w:hAnsi="宋体" w:cs="宋体" w:hint="eastAsia"/>
      <w:color w:val="000000"/>
      <w:sz w:val="24"/>
      <w:szCs w:val="24"/>
      <w:u w:val="none"/>
    </w:rPr>
  </w:style>
  <w:style w:type="character" w:customStyle="1" w:styleId="font01">
    <w:name w:val="font01"/>
    <w:basedOn w:val="a1"/>
    <w:qFormat/>
    <w:rsid w:val="00CA5042"/>
    <w:rPr>
      <w:rFonts w:ascii="宋体" w:eastAsia="宋体" w:hAnsi="宋体" w:cs="宋体" w:hint="eastAsia"/>
      <w:color w:val="000000"/>
      <w:sz w:val="22"/>
      <w:szCs w:val="22"/>
      <w:u w:val="none"/>
    </w:rPr>
  </w:style>
  <w:style w:type="paragraph" w:customStyle="1" w:styleId="Default">
    <w:name w:val="Default"/>
    <w:qFormat/>
    <w:rsid w:val="00CA5042"/>
    <w:pPr>
      <w:widowControl w:val="0"/>
      <w:autoSpaceDE w:val="0"/>
      <w:autoSpaceDN w:val="0"/>
      <w:adjustRightInd w:val="0"/>
    </w:pPr>
    <w:rPr>
      <w:rFonts w:ascii="黑体" w:eastAsia="黑体" w:hAnsi="Calibri" w:cs="黑体"/>
      <w:color w:val="000000"/>
      <w:sz w:val="24"/>
      <w:szCs w:val="24"/>
    </w:rPr>
  </w:style>
  <w:style w:type="paragraph" w:styleId="a7">
    <w:name w:val="List Paragraph"/>
    <w:basedOn w:val="a"/>
    <w:uiPriority w:val="34"/>
    <w:qFormat/>
    <w:rsid w:val="00CA504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16</Pages>
  <Words>809</Words>
  <Characters>4613</Characters>
  <Application>Microsoft Office Word</Application>
  <DocSecurity>0</DocSecurity>
  <Lines>38</Lines>
  <Paragraphs>10</Paragraphs>
  <ScaleCrop>false</ScaleCrop>
  <Company>Microsoft</Company>
  <LinksUpToDate>false</LinksUpToDate>
  <CharactersWithSpaces>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73</cp:revision>
  <cp:lastPrinted>2023-08-15T09:28:00Z</cp:lastPrinted>
  <dcterms:created xsi:type="dcterms:W3CDTF">2020-07-04T18:32:00Z</dcterms:created>
  <dcterms:modified xsi:type="dcterms:W3CDTF">2025-10-26T05:49:00Z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57E94831AD914B2F9FF8ED742ED861E0_13</vt:lpwstr>
  </property>
  <property fmtid="{D5CDD505-2E9C-101B-9397-08002B2CF9AE}" pid="4" name="KSOTemplateDocerSaveRecord">
    <vt:lpwstr>eyJoZGlkIjoiNzNiM2JlNzNjMmYwMDQyZDU1NWIxOTk3NmYzOGRhZTAiLCJ1c2VySWQiOiIxNjYyODk1MTQ4In0=</vt:lpwstr>
  </property>
</Properties>
</file>