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F6" w:rsidRDefault="00B12613">
      <w:pPr>
        <w:spacing w:before="51" w:line="219" w:lineRule="auto"/>
        <w:ind w:left="1059"/>
        <w:rPr>
          <w:rFonts w:ascii="SimSun" w:hAnsi="SimSun" w:cs="SimSun" w:hint="eastAsia"/>
          <w:spacing w:val="3"/>
          <w:sz w:val="26"/>
          <w:szCs w:val="26"/>
          <w:lang w:eastAsia="zh-CN"/>
        </w:rPr>
      </w:pPr>
      <w:r>
        <w:rPr>
          <w:rFonts w:ascii="SimSun" w:eastAsia="SimSun" w:hAnsi="SimSun" w:cs="SimSun"/>
          <w:spacing w:val="3"/>
          <w:sz w:val="26"/>
          <w:szCs w:val="26"/>
        </w:rPr>
        <w:t>附件</w:t>
      </w:r>
      <w:r>
        <w:rPr>
          <w:rFonts w:ascii="SimSun" w:eastAsia="SimSun" w:hAnsi="SimSun" w:cs="SimSun"/>
          <w:spacing w:val="3"/>
          <w:sz w:val="26"/>
          <w:szCs w:val="26"/>
        </w:rPr>
        <w:t>4</w:t>
      </w:r>
    </w:p>
    <w:p w:rsidR="00E14502" w:rsidRDefault="00E14502">
      <w:pPr>
        <w:spacing w:before="51" w:line="219" w:lineRule="auto"/>
        <w:ind w:left="1059"/>
        <w:rPr>
          <w:rFonts w:ascii="SimSun" w:hAnsi="SimSun" w:cs="SimSun" w:hint="eastAsia"/>
          <w:spacing w:val="3"/>
          <w:sz w:val="26"/>
          <w:szCs w:val="26"/>
          <w:lang w:eastAsia="zh-CN"/>
        </w:rPr>
      </w:pPr>
    </w:p>
    <w:p w:rsidR="00E14502" w:rsidRDefault="00E14502">
      <w:pPr>
        <w:spacing w:before="51" w:line="219" w:lineRule="auto"/>
        <w:ind w:left="1059"/>
        <w:rPr>
          <w:rFonts w:ascii="SimSun" w:hAnsi="SimSun" w:cs="SimSun" w:hint="eastAsia"/>
          <w:spacing w:val="3"/>
          <w:sz w:val="26"/>
          <w:szCs w:val="26"/>
          <w:lang w:eastAsia="zh-CN"/>
        </w:rPr>
      </w:pPr>
    </w:p>
    <w:p w:rsidR="00E14502" w:rsidRDefault="00E14502">
      <w:pPr>
        <w:spacing w:before="51" w:line="219" w:lineRule="auto"/>
        <w:ind w:left="1059"/>
        <w:rPr>
          <w:rFonts w:ascii="SimSun" w:hAnsi="SimSun" w:cs="SimSun" w:hint="eastAsia"/>
          <w:spacing w:val="3"/>
          <w:sz w:val="26"/>
          <w:szCs w:val="26"/>
          <w:lang w:eastAsia="zh-CN"/>
        </w:rPr>
      </w:pPr>
    </w:p>
    <w:p w:rsidR="00E14502" w:rsidRDefault="00E14502">
      <w:pPr>
        <w:spacing w:before="51" w:line="219" w:lineRule="auto"/>
        <w:ind w:left="1059"/>
        <w:rPr>
          <w:rFonts w:ascii="SimSun" w:hAnsi="SimSun" w:cs="SimSun" w:hint="eastAsia"/>
          <w:spacing w:val="3"/>
          <w:sz w:val="26"/>
          <w:szCs w:val="26"/>
          <w:lang w:eastAsia="zh-CN"/>
        </w:rPr>
      </w:pPr>
    </w:p>
    <w:p w:rsidR="00E14502" w:rsidRPr="00E14502" w:rsidRDefault="00E14502">
      <w:pPr>
        <w:spacing w:before="51" w:line="219" w:lineRule="auto"/>
        <w:ind w:left="1059"/>
        <w:rPr>
          <w:rFonts w:ascii="SimSun" w:hAnsi="SimSun" w:cs="SimSun" w:hint="eastAsia"/>
          <w:sz w:val="26"/>
          <w:szCs w:val="26"/>
          <w:lang w:eastAsia="zh-CN"/>
        </w:rPr>
      </w:pPr>
    </w:p>
    <w:p w:rsidR="00812CF6" w:rsidRDefault="00B12613">
      <w:pPr>
        <w:spacing w:before="211" w:line="311" w:lineRule="auto"/>
        <w:ind w:left="3246" w:right="176" w:hanging="2760"/>
        <w:rPr>
          <w:rFonts w:ascii="SimSun" w:eastAsia="SimSun" w:hAnsi="SimSun" w:cs="SimSun"/>
          <w:sz w:val="44"/>
          <w:szCs w:val="44"/>
        </w:rPr>
      </w:pPr>
      <w:r>
        <w:rPr>
          <w:rFonts w:ascii="SimSun" w:eastAsia="SimSun" w:hAnsi="SimSun" w:cs="SimSun"/>
          <w:b/>
          <w:bCs/>
          <w:spacing w:val="-4"/>
          <w:sz w:val="44"/>
          <w:szCs w:val="44"/>
        </w:rPr>
        <w:t>2024</w:t>
      </w:r>
      <w:r>
        <w:rPr>
          <w:rFonts w:ascii="SimSun" w:eastAsia="SimSun" w:hAnsi="SimSun" w:cs="SimSun"/>
          <w:b/>
          <w:bCs/>
          <w:spacing w:val="-4"/>
          <w:sz w:val="44"/>
          <w:szCs w:val="44"/>
        </w:rPr>
        <w:t>年度岳阳县麻塘街道中心学校整体支出</w:t>
      </w:r>
      <w:r>
        <w:rPr>
          <w:rFonts w:ascii="SimSun" w:eastAsia="SimSun" w:hAnsi="SimSun" w:cs="SimSun"/>
          <w:spacing w:val="16"/>
          <w:sz w:val="44"/>
          <w:szCs w:val="44"/>
        </w:rPr>
        <w:t xml:space="preserve"> </w:t>
      </w:r>
      <w:r>
        <w:rPr>
          <w:rFonts w:ascii="SimSun" w:eastAsia="SimSun" w:hAnsi="SimSun" w:cs="SimSun"/>
          <w:b/>
          <w:bCs/>
          <w:spacing w:val="3"/>
          <w:sz w:val="44"/>
          <w:szCs w:val="44"/>
        </w:rPr>
        <w:t>绩效自评报告</w:t>
      </w: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2" w:lineRule="auto"/>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Pr="00E14502" w:rsidRDefault="00812CF6">
      <w:pPr>
        <w:pStyle w:val="a3"/>
        <w:spacing w:line="243" w:lineRule="auto"/>
        <w:rPr>
          <w:rFonts w:eastAsiaTheme="minorEastAsia" w:hint="eastAsia"/>
          <w:lang w:eastAsia="zh-CN"/>
        </w:rPr>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Default="00812CF6">
      <w:pPr>
        <w:pStyle w:val="a3"/>
        <w:spacing w:line="243" w:lineRule="auto"/>
      </w:pPr>
    </w:p>
    <w:p w:rsidR="00812CF6" w:rsidRDefault="00B12613" w:rsidP="00E14502">
      <w:pPr>
        <w:spacing w:before="94" w:line="224" w:lineRule="auto"/>
        <w:ind w:left="1374" w:firstLineChars="400" w:firstLine="1121"/>
        <w:rPr>
          <w:rFonts w:ascii="KaiTi" w:eastAsia="KaiTi" w:hAnsi="KaiTi" w:cs="KaiTi" w:hint="eastAsia"/>
          <w:sz w:val="29"/>
          <w:szCs w:val="29"/>
          <w:lang w:eastAsia="zh-CN"/>
        </w:rPr>
      </w:pPr>
      <w:r>
        <w:rPr>
          <w:rFonts w:ascii="KaiTi" w:eastAsia="KaiTi" w:hAnsi="KaiTi" w:cs="KaiTi"/>
          <w:b/>
          <w:bCs/>
          <w:spacing w:val="-10"/>
          <w:sz w:val="29"/>
          <w:szCs w:val="29"/>
        </w:rPr>
        <w:t>部门</w:t>
      </w:r>
      <w:r>
        <w:rPr>
          <w:rFonts w:ascii="KaiTi" w:eastAsia="KaiTi" w:hAnsi="KaiTi" w:cs="KaiTi"/>
          <w:b/>
          <w:bCs/>
          <w:spacing w:val="-10"/>
          <w:sz w:val="29"/>
          <w:szCs w:val="29"/>
        </w:rPr>
        <w:t>(</w:t>
      </w:r>
      <w:r>
        <w:rPr>
          <w:rFonts w:ascii="KaiTi" w:eastAsia="KaiTi" w:hAnsi="KaiTi" w:cs="KaiTi"/>
          <w:b/>
          <w:bCs/>
          <w:spacing w:val="-10"/>
          <w:sz w:val="29"/>
          <w:szCs w:val="29"/>
        </w:rPr>
        <w:t>单位</w:t>
      </w:r>
      <w:r>
        <w:rPr>
          <w:rFonts w:ascii="KaiTi" w:eastAsia="KaiTi" w:hAnsi="KaiTi" w:cs="KaiTi"/>
          <w:b/>
          <w:bCs/>
          <w:spacing w:val="-10"/>
          <w:sz w:val="29"/>
          <w:szCs w:val="29"/>
        </w:rPr>
        <w:t>)</w:t>
      </w:r>
      <w:r>
        <w:rPr>
          <w:rFonts w:ascii="KaiTi" w:eastAsia="KaiTi" w:hAnsi="KaiTi" w:cs="KaiTi"/>
          <w:b/>
          <w:bCs/>
          <w:spacing w:val="-10"/>
          <w:sz w:val="29"/>
          <w:szCs w:val="29"/>
        </w:rPr>
        <w:t>名称：岳阳县麻塘街道中心学校</w:t>
      </w:r>
    </w:p>
    <w:p w:rsidR="00812CF6" w:rsidRDefault="00812CF6">
      <w:pPr>
        <w:pStyle w:val="a3"/>
        <w:spacing w:line="332" w:lineRule="auto"/>
      </w:pPr>
    </w:p>
    <w:p w:rsidR="00812CF6" w:rsidRDefault="00B12613" w:rsidP="00E14502">
      <w:pPr>
        <w:spacing w:before="94" w:line="225" w:lineRule="auto"/>
        <w:ind w:firstLineChars="1350" w:firstLine="3984"/>
        <w:rPr>
          <w:rFonts w:ascii="KaiTi" w:eastAsia="KaiTi" w:hAnsi="KaiTi" w:cs="KaiTi"/>
          <w:sz w:val="29"/>
          <w:szCs w:val="29"/>
        </w:rPr>
      </w:pPr>
      <w:r>
        <w:rPr>
          <w:rFonts w:ascii="KaiTi" w:eastAsia="KaiTi" w:hAnsi="KaiTi" w:cs="KaiTi"/>
          <w:b/>
          <w:bCs/>
          <w:spacing w:val="5"/>
          <w:sz w:val="29"/>
          <w:szCs w:val="29"/>
        </w:rPr>
        <w:t>2025</w:t>
      </w:r>
      <w:r>
        <w:rPr>
          <w:rFonts w:ascii="KaiTi" w:eastAsia="KaiTi" w:hAnsi="KaiTi" w:cs="KaiTi"/>
          <w:b/>
          <w:bCs/>
          <w:spacing w:val="5"/>
          <w:sz w:val="29"/>
          <w:szCs w:val="29"/>
        </w:rPr>
        <w:t>年</w:t>
      </w:r>
      <w:r>
        <w:rPr>
          <w:rFonts w:ascii="KaiTi" w:eastAsia="KaiTi" w:hAnsi="KaiTi" w:cs="KaiTi"/>
          <w:b/>
          <w:bCs/>
          <w:spacing w:val="5"/>
          <w:sz w:val="29"/>
          <w:szCs w:val="29"/>
        </w:rPr>
        <w:t>5</w:t>
      </w:r>
      <w:r>
        <w:rPr>
          <w:rFonts w:ascii="KaiTi" w:eastAsia="KaiTi" w:hAnsi="KaiTi" w:cs="KaiTi"/>
          <w:b/>
          <w:bCs/>
          <w:spacing w:val="5"/>
          <w:sz w:val="29"/>
          <w:szCs w:val="29"/>
        </w:rPr>
        <w:t>月</w:t>
      </w:r>
      <w:r>
        <w:rPr>
          <w:rFonts w:ascii="KaiTi" w:eastAsia="KaiTi" w:hAnsi="KaiTi" w:cs="KaiTi"/>
          <w:b/>
          <w:bCs/>
          <w:spacing w:val="5"/>
          <w:sz w:val="29"/>
          <w:szCs w:val="29"/>
        </w:rPr>
        <w:t>22</w:t>
      </w:r>
      <w:r>
        <w:rPr>
          <w:rFonts w:ascii="KaiTi" w:eastAsia="KaiTi" w:hAnsi="KaiTi" w:cs="KaiTi"/>
          <w:b/>
          <w:bCs/>
          <w:spacing w:val="5"/>
          <w:sz w:val="29"/>
          <w:szCs w:val="29"/>
        </w:rPr>
        <w:t>日</w:t>
      </w:r>
    </w:p>
    <w:p w:rsidR="00812CF6" w:rsidRDefault="00812CF6">
      <w:pPr>
        <w:pStyle w:val="a3"/>
        <w:spacing w:line="338" w:lineRule="auto"/>
      </w:pPr>
    </w:p>
    <w:p w:rsidR="00812CF6" w:rsidRDefault="00B12613" w:rsidP="00E14502">
      <w:pPr>
        <w:spacing w:before="95" w:line="230" w:lineRule="auto"/>
        <w:ind w:left="4034" w:firstLine="1"/>
        <w:rPr>
          <w:rFonts w:ascii="KaiTi" w:eastAsia="KaiTi" w:hAnsi="KaiTi" w:cs="KaiTi"/>
          <w:sz w:val="29"/>
          <w:szCs w:val="29"/>
        </w:rPr>
      </w:pPr>
      <w:r>
        <w:rPr>
          <w:rFonts w:ascii="KaiTi" w:eastAsia="KaiTi" w:hAnsi="KaiTi" w:cs="KaiTi"/>
          <w:b/>
          <w:bCs/>
          <w:spacing w:val="5"/>
          <w:sz w:val="29"/>
          <w:szCs w:val="29"/>
        </w:rPr>
        <w:t>(</w:t>
      </w:r>
      <w:r>
        <w:rPr>
          <w:rFonts w:ascii="KaiTi" w:eastAsia="KaiTi" w:hAnsi="KaiTi" w:cs="KaiTi"/>
          <w:b/>
          <w:bCs/>
          <w:spacing w:val="5"/>
          <w:sz w:val="29"/>
          <w:szCs w:val="29"/>
        </w:rPr>
        <w:t>此页为封面</w:t>
      </w:r>
      <w:r>
        <w:rPr>
          <w:rFonts w:ascii="KaiTi" w:eastAsia="KaiTi" w:hAnsi="KaiTi" w:cs="KaiTi"/>
          <w:b/>
          <w:bCs/>
          <w:spacing w:val="5"/>
          <w:sz w:val="29"/>
          <w:szCs w:val="29"/>
        </w:rPr>
        <w:t>)</w:t>
      </w:r>
    </w:p>
    <w:p w:rsidR="00812CF6" w:rsidRDefault="00812CF6">
      <w:pPr>
        <w:spacing w:line="230" w:lineRule="auto"/>
        <w:rPr>
          <w:rFonts w:ascii="KaiTi" w:eastAsia="KaiTi" w:hAnsi="KaiTi" w:cs="KaiTi"/>
          <w:sz w:val="29"/>
          <w:szCs w:val="29"/>
        </w:rPr>
        <w:sectPr w:rsidR="00812CF6">
          <w:footerReference w:type="default" r:id="rId6"/>
          <w:pgSz w:w="11910" w:h="16840"/>
          <w:pgMar w:top="977" w:right="1786" w:bottom="1895" w:left="1069" w:header="0" w:footer="1754" w:gutter="0"/>
          <w:cols w:space="720"/>
        </w:sectPr>
      </w:pPr>
    </w:p>
    <w:p w:rsidR="00812CF6" w:rsidRPr="00FB6FAB" w:rsidRDefault="00812CF6">
      <w:pPr>
        <w:pStyle w:val="a3"/>
        <w:spacing w:line="298" w:lineRule="auto"/>
        <w:rPr>
          <w:rFonts w:eastAsiaTheme="minorEastAsia" w:hint="eastAsia"/>
          <w:lang w:eastAsia="zh-CN"/>
        </w:rPr>
      </w:pPr>
    </w:p>
    <w:p w:rsidR="00812CF6" w:rsidRDefault="00812CF6">
      <w:pPr>
        <w:pStyle w:val="a3"/>
        <w:spacing w:line="298" w:lineRule="auto"/>
      </w:pPr>
    </w:p>
    <w:p w:rsidR="00812CF6" w:rsidRDefault="00B12613">
      <w:pPr>
        <w:spacing w:before="110" w:line="222" w:lineRule="auto"/>
        <w:ind w:left="624"/>
        <w:outlineLvl w:val="1"/>
        <w:rPr>
          <w:rFonts w:ascii="SimHei" w:eastAsia="SimHei" w:hAnsi="SimHei" w:cs="SimHei"/>
          <w:sz w:val="34"/>
          <w:szCs w:val="34"/>
        </w:rPr>
      </w:pPr>
      <w:r>
        <w:rPr>
          <w:rFonts w:ascii="SimHei" w:eastAsia="SimHei" w:hAnsi="SimHei" w:cs="SimHei"/>
          <w:b/>
          <w:bCs/>
          <w:spacing w:val="-15"/>
          <w:sz w:val="34"/>
          <w:szCs w:val="34"/>
        </w:rPr>
        <w:t>一</w:t>
      </w:r>
      <w:r>
        <w:rPr>
          <w:rFonts w:ascii="SimHei" w:eastAsia="SimHei" w:hAnsi="SimHei" w:cs="SimHei"/>
          <w:spacing w:val="-15"/>
          <w:sz w:val="34"/>
          <w:szCs w:val="34"/>
        </w:rPr>
        <w:t xml:space="preserve"> </w:t>
      </w:r>
      <w:r>
        <w:rPr>
          <w:rFonts w:ascii="SimHei" w:eastAsia="SimHei" w:hAnsi="SimHei" w:cs="SimHei"/>
          <w:b/>
          <w:bCs/>
          <w:spacing w:val="-15"/>
          <w:sz w:val="34"/>
          <w:szCs w:val="34"/>
        </w:rPr>
        <w:t>、部门</w:t>
      </w:r>
      <w:r>
        <w:rPr>
          <w:rFonts w:ascii="SimHei" w:eastAsia="SimHei" w:hAnsi="SimHei" w:cs="SimHei"/>
          <w:b/>
          <w:bCs/>
          <w:spacing w:val="-15"/>
          <w:sz w:val="34"/>
          <w:szCs w:val="34"/>
        </w:rPr>
        <w:t>(</w:t>
      </w:r>
      <w:r>
        <w:rPr>
          <w:rFonts w:ascii="SimHei" w:eastAsia="SimHei" w:hAnsi="SimHei" w:cs="SimHei"/>
          <w:b/>
          <w:bCs/>
          <w:spacing w:val="-15"/>
          <w:sz w:val="34"/>
          <w:szCs w:val="34"/>
        </w:rPr>
        <w:t>单位</w:t>
      </w:r>
      <w:r w:rsidR="00B82E05">
        <w:rPr>
          <w:rFonts w:ascii="SimHei" w:hAnsi="SimHei" w:cs="SimHei" w:hint="eastAsia"/>
          <w:b/>
          <w:bCs/>
          <w:spacing w:val="-15"/>
          <w:sz w:val="34"/>
          <w:szCs w:val="34"/>
          <w:lang w:eastAsia="zh-CN"/>
        </w:rPr>
        <w:t>)</w:t>
      </w:r>
      <w:r>
        <w:rPr>
          <w:rFonts w:ascii="SimHei" w:eastAsia="SimHei" w:hAnsi="SimHei" w:cs="SimHei"/>
          <w:b/>
          <w:bCs/>
          <w:spacing w:val="-15"/>
          <w:sz w:val="34"/>
          <w:szCs w:val="34"/>
        </w:rPr>
        <w:t>基本情况</w:t>
      </w:r>
    </w:p>
    <w:p w:rsidR="00812CF6" w:rsidRDefault="00B12613" w:rsidP="00B82E05">
      <w:pPr>
        <w:spacing w:before="83" w:line="404" w:lineRule="auto"/>
        <w:ind w:firstLine="620"/>
        <w:rPr>
          <w:rFonts w:ascii="FangSong" w:eastAsia="FangSong" w:hAnsi="FangSong" w:cs="FangSong"/>
          <w:sz w:val="31"/>
          <w:szCs w:val="31"/>
        </w:rPr>
      </w:pPr>
      <w:r>
        <w:rPr>
          <w:rFonts w:ascii="FangSong" w:eastAsia="FangSong" w:hAnsi="FangSong" w:cs="FangSong"/>
          <w:spacing w:val="16"/>
          <w:sz w:val="31"/>
          <w:szCs w:val="31"/>
        </w:rPr>
        <w:t>岳阳县麻塘街道中心学校包括</w:t>
      </w:r>
      <w:r>
        <w:rPr>
          <w:rFonts w:ascii="FangSong" w:eastAsia="FangSong" w:hAnsi="FangSong" w:cs="FangSong"/>
          <w:spacing w:val="16"/>
          <w:sz w:val="31"/>
          <w:szCs w:val="31"/>
        </w:rPr>
        <w:t>1</w:t>
      </w:r>
      <w:r>
        <w:rPr>
          <w:rFonts w:ascii="FangSong" w:eastAsia="FangSong" w:hAnsi="FangSong" w:cs="FangSong"/>
          <w:spacing w:val="16"/>
          <w:sz w:val="31"/>
          <w:szCs w:val="31"/>
        </w:rPr>
        <w:t>所初级中学，</w:t>
      </w:r>
      <w:r>
        <w:rPr>
          <w:rFonts w:ascii="FangSong" w:eastAsia="FangSong" w:hAnsi="FangSong" w:cs="FangSong"/>
          <w:spacing w:val="16"/>
          <w:sz w:val="31"/>
          <w:szCs w:val="31"/>
        </w:rPr>
        <w:t>1</w:t>
      </w:r>
      <w:r>
        <w:rPr>
          <w:rFonts w:ascii="FangSong" w:eastAsia="FangSong" w:hAnsi="FangSong" w:cs="FangSong"/>
          <w:spacing w:val="16"/>
          <w:sz w:val="31"/>
          <w:szCs w:val="31"/>
        </w:rPr>
        <w:t>所中心小学，</w:t>
      </w:r>
      <w:r>
        <w:rPr>
          <w:rFonts w:ascii="FangSong" w:eastAsia="FangSong" w:hAnsi="FangSong" w:cs="FangSong"/>
          <w:spacing w:val="19"/>
          <w:sz w:val="31"/>
          <w:szCs w:val="31"/>
        </w:rPr>
        <w:t>2</w:t>
      </w:r>
      <w:r>
        <w:rPr>
          <w:rFonts w:ascii="FangSong" w:eastAsia="FangSong" w:hAnsi="FangSong" w:cs="FangSong"/>
          <w:spacing w:val="19"/>
          <w:sz w:val="31"/>
          <w:szCs w:val="31"/>
        </w:rPr>
        <w:t>所完全小学，</w:t>
      </w:r>
      <w:r>
        <w:rPr>
          <w:rFonts w:ascii="FangSong" w:eastAsia="FangSong" w:hAnsi="FangSong" w:cs="FangSong"/>
          <w:spacing w:val="19"/>
          <w:sz w:val="31"/>
          <w:szCs w:val="31"/>
        </w:rPr>
        <w:t>2</w:t>
      </w:r>
      <w:r>
        <w:rPr>
          <w:rFonts w:ascii="FangSong" w:eastAsia="FangSong" w:hAnsi="FangSong" w:cs="FangSong"/>
          <w:spacing w:val="19"/>
          <w:sz w:val="31"/>
          <w:szCs w:val="31"/>
        </w:rPr>
        <w:t>所公办幼儿园，</w:t>
      </w:r>
      <w:r>
        <w:rPr>
          <w:rFonts w:ascii="FangSong" w:eastAsia="FangSong" w:hAnsi="FangSong" w:cs="FangSong"/>
          <w:spacing w:val="19"/>
          <w:sz w:val="31"/>
          <w:szCs w:val="31"/>
        </w:rPr>
        <w:t>3</w:t>
      </w:r>
      <w:r>
        <w:rPr>
          <w:rFonts w:ascii="FangSong" w:eastAsia="FangSong" w:hAnsi="FangSong" w:cs="FangSong"/>
          <w:spacing w:val="19"/>
          <w:sz w:val="31"/>
          <w:szCs w:val="31"/>
        </w:rPr>
        <w:t>所民办幼儿园。负责</w:t>
      </w:r>
      <w:r>
        <w:rPr>
          <w:rFonts w:ascii="FangSong" w:eastAsia="FangSong" w:hAnsi="FangSong" w:cs="FangSong"/>
          <w:spacing w:val="18"/>
          <w:sz w:val="31"/>
          <w:szCs w:val="31"/>
        </w:rPr>
        <w:t>本乡镇</w:t>
      </w:r>
      <w:r>
        <w:rPr>
          <w:rFonts w:ascii="FangSong" w:eastAsia="FangSong" w:hAnsi="FangSong" w:cs="FangSong"/>
          <w:sz w:val="31"/>
          <w:szCs w:val="31"/>
        </w:rPr>
        <w:t xml:space="preserve"> </w:t>
      </w:r>
      <w:r>
        <w:rPr>
          <w:rFonts w:ascii="FangSong" w:eastAsia="FangSong" w:hAnsi="FangSong" w:cs="FangSong"/>
          <w:spacing w:val="16"/>
          <w:sz w:val="31"/>
          <w:szCs w:val="31"/>
        </w:rPr>
        <w:t>基础教育、学前教育、成人教育、职业教育的业务管理与指导；</w:t>
      </w:r>
      <w:r>
        <w:rPr>
          <w:rFonts w:ascii="FangSong" w:eastAsia="FangSong" w:hAnsi="FangSong" w:cs="FangSong"/>
          <w:spacing w:val="16"/>
          <w:sz w:val="31"/>
          <w:szCs w:val="31"/>
        </w:rPr>
        <w:t xml:space="preserve"> </w:t>
      </w:r>
      <w:r>
        <w:rPr>
          <w:rFonts w:ascii="FangSong" w:eastAsia="FangSong" w:hAnsi="FangSong" w:cs="FangSong"/>
          <w:spacing w:val="15"/>
          <w:sz w:val="31"/>
          <w:szCs w:val="31"/>
        </w:rPr>
        <w:t>负责制定本乡镇教育事业发展规划和中小学校布局调整工作；</w:t>
      </w:r>
      <w:r>
        <w:rPr>
          <w:rFonts w:ascii="FangSong" w:eastAsia="FangSong" w:hAnsi="FangSong" w:cs="FangSong"/>
          <w:spacing w:val="17"/>
          <w:sz w:val="31"/>
          <w:szCs w:val="31"/>
        </w:rPr>
        <w:t>负责本乡镇教职工队伍建设与管理，师资配备与培训，教职工</w:t>
      </w:r>
      <w:r>
        <w:rPr>
          <w:rFonts w:ascii="FangSong" w:eastAsia="FangSong" w:hAnsi="FangSong" w:cs="FangSong"/>
          <w:sz w:val="31"/>
          <w:szCs w:val="31"/>
        </w:rPr>
        <w:t xml:space="preserve"> </w:t>
      </w:r>
      <w:r>
        <w:rPr>
          <w:rFonts w:ascii="FangSong" w:eastAsia="FangSong" w:hAnsi="FangSong" w:cs="FangSong"/>
          <w:spacing w:val="17"/>
          <w:sz w:val="31"/>
          <w:szCs w:val="31"/>
        </w:rPr>
        <w:t>工作调整、年度考核、职务评聘等工作；负责做好本乡镇中小</w:t>
      </w:r>
      <w:r>
        <w:rPr>
          <w:rFonts w:ascii="FangSong" w:eastAsia="FangSong" w:hAnsi="FangSong" w:cs="FangSong"/>
          <w:spacing w:val="17"/>
          <w:sz w:val="31"/>
          <w:szCs w:val="31"/>
        </w:rPr>
        <w:t>学校安全稳定教育宣传工作；负责本乡镇中小学财务监管、编</w:t>
      </w:r>
      <w:r>
        <w:rPr>
          <w:rFonts w:ascii="FangSong" w:eastAsia="FangSong" w:hAnsi="FangSong" w:cs="FangSong"/>
          <w:spacing w:val="10"/>
          <w:sz w:val="31"/>
          <w:szCs w:val="31"/>
        </w:rPr>
        <w:t>制预算及勤工俭学指导工作等。</w:t>
      </w:r>
    </w:p>
    <w:p w:rsidR="00812CF6" w:rsidRDefault="00B12613">
      <w:pPr>
        <w:spacing w:before="34" w:line="401" w:lineRule="auto"/>
        <w:ind w:right="179" w:firstLine="620"/>
        <w:rPr>
          <w:rFonts w:ascii="FangSong" w:eastAsia="FangSong" w:hAnsi="FangSong" w:cs="FangSong" w:hint="eastAsia"/>
          <w:spacing w:val="5"/>
          <w:sz w:val="31"/>
          <w:szCs w:val="31"/>
          <w:lang w:eastAsia="zh-CN"/>
        </w:rPr>
      </w:pPr>
      <w:r>
        <w:rPr>
          <w:rFonts w:ascii="FangSong" w:eastAsia="FangSong" w:hAnsi="FangSong" w:cs="FangSong"/>
          <w:spacing w:val="13"/>
          <w:sz w:val="31"/>
          <w:szCs w:val="31"/>
        </w:rPr>
        <w:t>2024</w:t>
      </w:r>
      <w:r>
        <w:rPr>
          <w:rFonts w:ascii="FangSong" w:eastAsia="FangSong" w:hAnsi="FangSong" w:cs="FangSong"/>
          <w:spacing w:val="13"/>
          <w:sz w:val="31"/>
          <w:szCs w:val="31"/>
        </w:rPr>
        <w:t>年度共有初中生</w:t>
      </w:r>
      <w:r>
        <w:rPr>
          <w:rFonts w:ascii="FangSong" w:eastAsia="FangSong" w:hAnsi="FangSong" w:cs="FangSong"/>
          <w:spacing w:val="13"/>
          <w:sz w:val="31"/>
          <w:szCs w:val="31"/>
        </w:rPr>
        <w:t>1233</w:t>
      </w:r>
      <w:r>
        <w:rPr>
          <w:rFonts w:ascii="FangSong" w:eastAsia="FangSong" w:hAnsi="FangSong" w:cs="FangSong"/>
          <w:spacing w:val="13"/>
          <w:sz w:val="31"/>
          <w:szCs w:val="31"/>
        </w:rPr>
        <w:t>人，小学生</w:t>
      </w:r>
      <w:r>
        <w:rPr>
          <w:rFonts w:ascii="FangSong" w:eastAsia="FangSong" w:hAnsi="FangSong" w:cs="FangSong"/>
          <w:spacing w:val="13"/>
          <w:sz w:val="31"/>
          <w:szCs w:val="31"/>
        </w:rPr>
        <w:t>1631</w:t>
      </w:r>
      <w:r>
        <w:rPr>
          <w:rFonts w:ascii="FangSong" w:eastAsia="FangSong" w:hAnsi="FangSong" w:cs="FangSong"/>
          <w:spacing w:val="13"/>
          <w:sz w:val="31"/>
          <w:szCs w:val="31"/>
        </w:rPr>
        <w:t>人，幼儿</w:t>
      </w:r>
      <w:r>
        <w:rPr>
          <w:rFonts w:ascii="FangSong" w:eastAsia="FangSong" w:hAnsi="FangSong" w:cs="FangSong"/>
          <w:spacing w:val="13"/>
          <w:sz w:val="31"/>
          <w:szCs w:val="31"/>
        </w:rPr>
        <w:t>865</w:t>
      </w:r>
      <w:r>
        <w:rPr>
          <w:rFonts w:ascii="FangSong" w:eastAsia="FangSong" w:hAnsi="FangSong" w:cs="FangSong"/>
          <w:spacing w:val="13"/>
          <w:sz w:val="31"/>
          <w:szCs w:val="31"/>
        </w:rPr>
        <w:t>人。</w:t>
      </w:r>
      <w:r>
        <w:rPr>
          <w:rFonts w:ascii="FangSong" w:eastAsia="FangSong" w:hAnsi="FangSong" w:cs="FangSong"/>
          <w:spacing w:val="10"/>
          <w:sz w:val="31"/>
          <w:szCs w:val="31"/>
        </w:rPr>
        <w:t xml:space="preserve"> </w:t>
      </w:r>
      <w:r>
        <w:rPr>
          <w:rFonts w:ascii="FangSong" w:eastAsia="FangSong" w:hAnsi="FangSong" w:cs="FangSong"/>
          <w:spacing w:val="5"/>
          <w:sz w:val="31"/>
          <w:szCs w:val="31"/>
        </w:rPr>
        <w:t>在职教师</w:t>
      </w:r>
      <w:r>
        <w:rPr>
          <w:rFonts w:ascii="FangSong" w:eastAsia="FangSong" w:hAnsi="FangSong" w:cs="FangSong"/>
          <w:spacing w:val="5"/>
          <w:sz w:val="31"/>
          <w:szCs w:val="31"/>
        </w:rPr>
        <w:t>184</w:t>
      </w:r>
      <w:r>
        <w:rPr>
          <w:rFonts w:ascii="FangSong" w:eastAsia="FangSong" w:hAnsi="FangSong" w:cs="FangSong"/>
          <w:spacing w:val="5"/>
          <w:sz w:val="31"/>
          <w:szCs w:val="31"/>
        </w:rPr>
        <w:t>人。</w:t>
      </w:r>
    </w:p>
    <w:p w:rsidR="00F820BB" w:rsidRDefault="00F820BB" w:rsidP="00F820BB">
      <w:pPr>
        <w:spacing w:before="34" w:line="401" w:lineRule="auto"/>
        <w:ind w:right="179" w:firstLine="620"/>
        <w:rPr>
          <w:rFonts w:ascii="FangSong" w:eastAsia="FangSong" w:hAnsi="FangSong" w:cs="FangSong" w:hint="eastAsia"/>
          <w:sz w:val="31"/>
          <w:szCs w:val="31"/>
          <w:lang w:eastAsia="zh-CN"/>
        </w:rPr>
      </w:pPr>
      <w:r w:rsidRPr="00F820BB">
        <w:rPr>
          <w:rFonts w:ascii="FangSong" w:eastAsia="FangSong" w:hAnsi="FangSong" w:cs="FangSong" w:hint="eastAsia"/>
          <w:sz w:val="31"/>
          <w:szCs w:val="31"/>
          <w:lang w:eastAsia="zh-CN"/>
        </w:rPr>
        <w:t>本单位2024年部门整体支出共计</w:t>
      </w:r>
      <w:r>
        <w:rPr>
          <w:rFonts w:ascii="FangSong" w:eastAsia="FangSong" w:hAnsi="FangSong" w:cs="FangSong" w:hint="eastAsia"/>
          <w:sz w:val="31"/>
          <w:szCs w:val="31"/>
          <w:lang w:eastAsia="zh-CN"/>
        </w:rPr>
        <w:t>3711.0857</w:t>
      </w:r>
      <w:r w:rsidRPr="00F820BB">
        <w:rPr>
          <w:rFonts w:ascii="FangSong" w:eastAsia="FangSong" w:hAnsi="FangSong" w:cs="FangSong" w:hint="eastAsia"/>
          <w:sz w:val="31"/>
          <w:szCs w:val="31"/>
          <w:lang w:eastAsia="zh-CN"/>
        </w:rPr>
        <w:t>万元，其中：一般公共预算支出</w:t>
      </w:r>
      <w:r>
        <w:rPr>
          <w:rFonts w:ascii="FangSong" w:eastAsia="FangSong" w:hAnsi="FangSong" w:cs="FangSong" w:hint="eastAsia"/>
          <w:sz w:val="31"/>
          <w:szCs w:val="31"/>
          <w:lang w:eastAsia="zh-CN"/>
        </w:rPr>
        <w:t>3691.0857</w:t>
      </w:r>
      <w:r w:rsidRPr="00F820BB">
        <w:rPr>
          <w:rFonts w:ascii="FangSong" w:eastAsia="FangSong" w:hAnsi="FangSong" w:cs="FangSong" w:hint="eastAsia"/>
          <w:sz w:val="31"/>
          <w:szCs w:val="31"/>
          <w:lang w:eastAsia="zh-CN"/>
        </w:rPr>
        <w:t>万元，政府性基金预算支出</w:t>
      </w:r>
      <w:r>
        <w:rPr>
          <w:rFonts w:ascii="FangSong" w:eastAsia="FangSong" w:hAnsi="FangSong" w:cs="FangSong" w:hint="eastAsia"/>
          <w:sz w:val="31"/>
          <w:szCs w:val="31"/>
          <w:lang w:eastAsia="zh-CN"/>
        </w:rPr>
        <w:t>20</w:t>
      </w:r>
      <w:r w:rsidRPr="00F820BB">
        <w:rPr>
          <w:rFonts w:ascii="FangSong" w:eastAsia="FangSong" w:hAnsi="FangSong" w:cs="FangSong" w:hint="eastAsia"/>
          <w:sz w:val="31"/>
          <w:szCs w:val="31"/>
          <w:lang w:eastAsia="zh-CN"/>
        </w:rPr>
        <w:t>万元。按支出性质分为基本支出</w:t>
      </w:r>
      <w:r>
        <w:rPr>
          <w:rFonts w:ascii="FangSong" w:eastAsia="FangSong" w:hAnsi="FangSong" w:cs="FangSong" w:hint="eastAsia"/>
          <w:sz w:val="31"/>
          <w:szCs w:val="31"/>
          <w:lang w:eastAsia="zh-CN"/>
        </w:rPr>
        <w:t>3711.0857</w:t>
      </w:r>
      <w:r w:rsidRPr="00F820BB">
        <w:rPr>
          <w:rFonts w:ascii="FangSong" w:eastAsia="FangSong" w:hAnsi="FangSong" w:cs="FangSong" w:hint="eastAsia"/>
          <w:sz w:val="31"/>
          <w:szCs w:val="31"/>
          <w:lang w:eastAsia="zh-CN"/>
        </w:rPr>
        <w:t>万元，其中人员经费</w:t>
      </w:r>
      <w:r>
        <w:rPr>
          <w:rFonts w:ascii="FangSong" w:eastAsia="FangSong" w:hAnsi="FangSong" w:cs="FangSong" w:hint="eastAsia"/>
          <w:sz w:val="31"/>
          <w:szCs w:val="31"/>
          <w:lang w:eastAsia="zh-CN"/>
        </w:rPr>
        <w:t>2374.3645</w:t>
      </w:r>
      <w:r w:rsidRPr="00F820BB">
        <w:rPr>
          <w:rFonts w:ascii="FangSong" w:eastAsia="FangSong" w:hAnsi="FangSong" w:cs="FangSong" w:hint="eastAsia"/>
          <w:sz w:val="31"/>
          <w:szCs w:val="31"/>
          <w:lang w:eastAsia="zh-CN"/>
        </w:rPr>
        <w:t>万元，日常公用经费</w:t>
      </w:r>
      <w:r>
        <w:rPr>
          <w:rFonts w:ascii="FangSong" w:eastAsia="FangSong" w:hAnsi="FangSong" w:cs="FangSong" w:hint="eastAsia"/>
          <w:sz w:val="31"/>
          <w:szCs w:val="31"/>
          <w:lang w:eastAsia="zh-CN"/>
        </w:rPr>
        <w:t>1316.7212</w:t>
      </w:r>
      <w:r w:rsidRPr="00F820BB">
        <w:rPr>
          <w:rFonts w:ascii="FangSong" w:eastAsia="FangSong" w:hAnsi="FangSong" w:cs="FangSong" w:hint="eastAsia"/>
          <w:sz w:val="31"/>
          <w:szCs w:val="31"/>
          <w:lang w:eastAsia="zh-CN"/>
        </w:rPr>
        <w:t>万元</w:t>
      </w:r>
      <w:r>
        <w:rPr>
          <w:rFonts w:ascii="FangSong" w:eastAsia="FangSong" w:hAnsi="FangSong" w:cs="FangSong" w:hint="eastAsia"/>
          <w:sz w:val="31"/>
          <w:szCs w:val="31"/>
          <w:lang w:eastAsia="zh-CN"/>
        </w:rPr>
        <w:t>，</w:t>
      </w:r>
      <w:r w:rsidR="00FB6FAB" w:rsidRPr="00F820BB">
        <w:rPr>
          <w:rFonts w:ascii="FangSong" w:eastAsia="FangSong" w:hAnsi="FangSong" w:cs="FangSong" w:hint="eastAsia"/>
          <w:sz w:val="31"/>
          <w:szCs w:val="31"/>
          <w:lang w:eastAsia="zh-CN"/>
        </w:rPr>
        <w:t>政府性基金预算支出</w:t>
      </w:r>
      <w:r w:rsidR="00FB6FAB">
        <w:rPr>
          <w:rFonts w:ascii="FangSong" w:eastAsia="FangSong" w:hAnsi="FangSong" w:cs="FangSong" w:hint="eastAsia"/>
          <w:sz w:val="31"/>
          <w:szCs w:val="31"/>
          <w:lang w:eastAsia="zh-CN"/>
        </w:rPr>
        <w:t>20</w:t>
      </w:r>
      <w:r w:rsidR="00FB6FAB" w:rsidRPr="00F820BB">
        <w:rPr>
          <w:rFonts w:ascii="FangSong" w:eastAsia="FangSong" w:hAnsi="FangSong" w:cs="FangSong" w:hint="eastAsia"/>
          <w:sz w:val="31"/>
          <w:szCs w:val="31"/>
          <w:lang w:eastAsia="zh-CN"/>
        </w:rPr>
        <w:t>万元</w:t>
      </w:r>
      <w:r w:rsidRPr="00F820BB">
        <w:rPr>
          <w:rFonts w:ascii="FangSong" w:eastAsia="FangSong" w:hAnsi="FangSong" w:cs="FangSong" w:hint="eastAsia"/>
          <w:sz w:val="31"/>
          <w:szCs w:val="31"/>
          <w:lang w:eastAsia="zh-CN"/>
        </w:rPr>
        <w:t>。</w:t>
      </w:r>
    </w:p>
    <w:p w:rsidR="00812CF6" w:rsidRDefault="00B12613">
      <w:pPr>
        <w:spacing w:before="1" w:line="220" w:lineRule="auto"/>
        <w:ind w:left="624"/>
        <w:outlineLvl w:val="2"/>
        <w:rPr>
          <w:rFonts w:ascii="SimHei" w:eastAsia="SimHei" w:hAnsi="SimHei" w:cs="SimHei"/>
          <w:sz w:val="31"/>
          <w:szCs w:val="31"/>
        </w:rPr>
      </w:pPr>
      <w:r>
        <w:rPr>
          <w:rFonts w:ascii="SimHei" w:eastAsia="SimHei" w:hAnsi="SimHei" w:cs="SimHei"/>
          <w:b/>
          <w:bCs/>
          <w:spacing w:val="12"/>
          <w:sz w:val="31"/>
          <w:szCs w:val="31"/>
        </w:rPr>
        <w:t>二、一般公共预算支出情况</w:t>
      </w:r>
    </w:p>
    <w:p w:rsidR="00812CF6" w:rsidRDefault="00B12613">
      <w:pPr>
        <w:spacing w:before="292" w:line="222" w:lineRule="auto"/>
        <w:ind w:left="884"/>
        <w:rPr>
          <w:rFonts w:ascii="FangSong" w:eastAsia="FangSong" w:hAnsi="FangSong" w:cs="FangSong"/>
          <w:sz w:val="34"/>
          <w:szCs w:val="34"/>
        </w:rPr>
      </w:pPr>
      <w:r>
        <w:rPr>
          <w:rFonts w:ascii="FangSong" w:eastAsia="FangSong" w:hAnsi="FangSong" w:cs="FangSong"/>
          <w:b/>
          <w:bCs/>
          <w:spacing w:val="-26"/>
          <w:sz w:val="34"/>
          <w:szCs w:val="34"/>
        </w:rPr>
        <w:t>(</w:t>
      </w:r>
      <w:r>
        <w:rPr>
          <w:rFonts w:ascii="FangSong" w:eastAsia="FangSong" w:hAnsi="FangSong" w:cs="FangSong"/>
          <w:spacing w:val="-26"/>
          <w:sz w:val="34"/>
          <w:szCs w:val="34"/>
        </w:rPr>
        <w:t xml:space="preserve"> </w:t>
      </w:r>
      <w:r>
        <w:rPr>
          <w:rFonts w:ascii="FangSong" w:eastAsia="FangSong" w:hAnsi="FangSong" w:cs="FangSong"/>
          <w:b/>
          <w:bCs/>
          <w:spacing w:val="-26"/>
          <w:sz w:val="34"/>
          <w:szCs w:val="34"/>
        </w:rPr>
        <w:t>一</w:t>
      </w:r>
      <w:r>
        <w:rPr>
          <w:rFonts w:ascii="FangSong" w:eastAsia="FangSong" w:hAnsi="FangSong" w:cs="FangSong"/>
          <w:spacing w:val="-26"/>
          <w:sz w:val="34"/>
          <w:szCs w:val="34"/>
        </w:rPr>
        <w:t xml:space="preserve"> </w:t>
      </w:r>
      <w:r>
        <w:rPr>
          <w:rFonts w:ascii="FangSong" w:eastAsia="FangSong" w:hAnsi="FangSong" w:cs="FangSong"/>
          <w:b/>
          <w:bCs/>
          <w:spacing w:val="-26"/>
          <w:sz w:val="34"/>
          <w:szCs w:val="34"/>
        </w:rPr>
        <w:t>)</w:t>
      </w:r>
      <w:r>
        <w:rPr>
          <w:rFonts w:ascii="FangSong" w:eastAsia="FangSong" w:hAnsi="FangSong" w:cs="FangSong"/>
          <w:spacing w:val="-26"/>
          <w:sz w:val="34"/>
          <w:szCs w:val="34"/>
        </w:rPr>
        <w:t>基本支出情况</w:t>
      </w:r>
    </w:p>
    <w:p w:rsidR="00FB6FAB" w:rsidRDefault="00B12613">
      <w:pPr>
        <w:spacing w:before="211" w:line="310" w:lineRule="auto"/>
        <w:ind w:right="505" w:firstLine="620"/>
        <w:rPr>
          <w:rFonts w:ascii="FangSong" w:eastAsia="FangSong" w:hAnsi="FangSong" w:cs="FangSong" w:hint="eastAsia"/>
          <w:sz w:val="31"/>
          <w:szCs w:val="31"/>
          <w:lang w:eastAsia="zh-CN"/>
        </w:rPr>
      </w:pPr>
      <w:r>
        <w:rPr>
          <w:rFonts w:ascii="FangSong" w:eastAsia="FangSong" w:hAnsi="FangSong" w:cs="FangSong"/>
          <w:spacing w:val="10"/>
          <w:sz w:val="31"/>
          <w:szCs w:val="31"/>
        </w:rPr>
        <w:t>2024</w:t>
      </w:r>
      <w:r>
        <w:rPr>
          <w:rFonts w:ascii="FangSong" w:eastAsia="FangSong" w:hAnsi="FangSong" w:cs="FangSong"/>
          <w:spacing w:val="10"/>
          <w:sz w:val="31"/>
          <w:szCs w:val="31"/>
        </w:rPr>
        <w:t>年度，</w:t>
      </w:r>
      <w:r>
        <w:rPr>
          <w:rFonts w:ascii="FangSong" w:eastAsia="FangSong" w:hAnsi="FangSong" w:cs="FangSong"/>
          <w:spacing w:val="-42"/>
          <w:sz w:val="31"/>
          <w:szCs w:val="31"/>
        </w:rPr>
        <w:t xml:space="preserve"> </w:t>
      </w:r>
      <w:r>
        <w:rPr>
          <w:rFonts w:ascii="FangSong" w:eastAsia="FangSong" w:hAnsi="FangSong" w:cs="FangSong"/>
          <w:spacing w:val="10"/>
          <w:sz w:val="31"/>
          <w:szCs w:val="31"/>
        </w:rPr>
        <w:t>一般公共预算支出共计</w:t>
      </w:r>
      <w:r>
        <w:rPr>
          <w:rFonts w:ascii="FangSong" w:eastAsia="FangSong" w:hAnsi="FangSong" w:cs="FangSong"/>
          <w:spacing w:val="10"/>
          <w:sz w:val="31"/>
          <w:szCs w:val="31"/>
        </w:rPr>
        <w:t>3691.0857</w:t>
      </w:r>
      <w:r>
        <w:rPr>
          <w:rFonts w:ascii="FangSong" w:eastAsia="FangSong" w:hAnsi="FangSong" w:cs="FangSong"/>
          <w:spacing w:val="10"/>
          <w:sz w:val="31"/>
          <w:szCs w:val="31"/>
        </w:rPr>
        <w:t>万元，其中</w:t>
      </w:r>
      <w:r>
        <w:rPr>
          <w:rFonts w:ascii="FangSong" w:eastAsia="FangSong" w:hAnsi="FangSong" w:cs="FangSong"/>
          <w:sz w:val="31"/>
          <w:szCs w:val="31"/>
        </w:rPr>
        <w:t xml:space="preserve"> </w:t>
      </w:r>
      <w:r w:rsidR="00FB6FAB">
        <w:rPr>
          <w:rFonts w:ascii="FangSong" w:eastAsia="FangSong" w:hAnsi="FangSong" w:cs="FangSong" w:hint="eastAsia"/>
          <w:sz w:val="31"/>
          <w:szCs w:val="31"/>
          <w:lang w:eastAsia="zh-CN"/>
        </w:rPr>
        <w:t>：</w:t>
      </w:r>
    </w:p>
    <w:p w:rsidR="00FB6FAB" w:rsidRDefault="00DF174F">
      <w:pPr>
        <w:spacing w:before="211" w:line="310" w:lineRule="auto"/>
        <w:ind w:right="505" w:firstLine="620"/>
        <w:rPr>
          <w:rFonts w:ascii="FangSong" w:eastAsia="FangSong" w:hAnsi="FangSong" w:cs="FangSong" w:hint="eastAsia"/>
          <w:sz w:val="31"/>
          <w:szCs w:val="31"/>
          <w:lang w:eastAsia="zh-CN"/>
        </w:rPr>
      </w:pPr>
      <w:r>
        <w:rPr>
          <w:rFonts w:ascii="FangSong" w:eastAsia="FangSong" w:hAnsi="FangSong" w:cs="FangSong" w:hint="eastAsia"/>
          <w:sz w:val="31"/>
          <w:szCs w:val="31"/>
          <w:lang w:eastAsia="zh-CN"/>
        </w:rPr>
        <w:lastRenderedPageBreak/>
        <w:t>人员经费支出</w:t>
      </w:r>
      <w:r w:rsidR="00FB6FAB">
        <w:rPr>
          <w:rFonts w:ascii="FangSong" w:eastAsia="FangSong" w:hAnsi="FangSong" w:cs="FangSong" w:hint="eastAsia"/>
          <w:sz w:val="31"/>
          <w:szCs w:val="31"/>
          <w:lang w:eastAsia="zh-CN"/>
        </w:rPr>
        <w:t>2374.3645万元，</w:t>
      </w:r>
      <w:r w:rsidR="00FB6FAB" w:rsidRPr="00FB6FAB">
        <w:rPr>
          <w:rFonts w:ascii="FangSong" w:eastAsia="FangSong" w:hAnsi="FangSong" w:cs="FangSong" w:hint="eastAsia"/>
          <w:sz w:val="31"/>
          <w:szCs w:val="31"/>
          <w:lang w:eastAsia="zh-CN"/>
        </w:rPr>
        <w:t>主要包括：按国家规定支出的基本工资、奖金、绩效工资、机关事业单位基本养老保险缴费、职工基本医疗保险缴费、其他社会保险缴费、住房公积金、其他工资福利支出、抚恤金、生活补助、奖励金、其他对个人和家庭的补助支出；</w:t>
      </w:r>
    </w:p>
    <w:p w:rsidR="00812CF6" w:rsidRDefault="00B12613">
      <w:pPr>
        <w:spacing w:before="211" w:line="310" w:lineRule="auto"/>
        <w:ind w:right="505" w:firstLine="620"/>
        <w:rPr>
          <w:rFonts w:ascii="FangSong" w:eastAsia="FangSong" w:hAnsi="FangSong" w:cs="FangSong"/>
          <w:sz w:val="31"/>
          <w:szCs w:val="31"/>
        </w:rPr>
      </w:pPr>
      <w:r>
        <w:rPr>
          <w:rFonts w:ascii="FangSong" w:eastAsia="FangSong" w:hAnsi="FangSong" w:cs="FangSong"/>
          <w:spacing w:val="12"/>
          <w:sz w:val="31"/>
          <w:szCs w:val="31"/>
        </w:rPr>
        <w:t>公用经费支出</w:t>
      </w:r>
      <w:r w:rsidR="00FB6FAB">
        <w:rPr>
          <w:rFonts w:ascii="FangSong" w:eastAsia="FangSong" w:hAnsi="FangSong" w:cs="FangSong" w:hint="eastAsia"/>
          <w:sz w:val="31"/>
          <w:szCs w:val="31"/>
          <w:lang w:eastAsia="zh-CN"/>
        </w:rPr>
        <w:t>1316.7212</w:t>
      </w:r>
      <w:r>
        <w:rPr>
          <w:rFonts w:ascii="FangSong" w:eastAsia="FangSong" w:hAnsi="FangSong" w:cs="FangSong"/>
          <w:spacing w:val="12"/>
          <w:sz w:val="31"/>
          <w:szCs w:val="31"/>
        </w:rPr>
        <w:t>万元，</w:t>
      </w:r>
      <w:r w:rsidR="00FB6FAB" w:rsidRPr="00FB6FAB">
        <w:rPr>
          <w:rFonts w:ascii="FangSong" w:eastAsia="FangSong" w:hAnsi="FangSong" w:cs="FangSong" w:hint="eastAsia"/>
          <w:spacing w:val="12"/>
          <w:sz w:val="31"/>
          <w:szCs w:val="31"/>
          <w:lang w:eastAsia="zh-CN"/>
        </w:rPr>
        <w:t>主要包括：办公费、印刷费、水费、电费、邮电费、差旅费、维修（护）费、培训费、其他商品和服务支出、办公设备购置、其他资本性支出。</w:t>
      </w:r>
      <w:r>
        <w:rPr>
          <w:rFonts w:ascii="FangSong" w:eastAsia="FangSong" w:hAnsi="FangSong" w:cs="FangSong"/>
          <w:spacing w:val="13"/>
          <w:sz w:val="31"/>
          <w:szCs w:val="31"/>
        </w:rPr>
        <w:t>本单位无三公经费</w:t>
      </w:r>
      <w:r>
        <w:rPr>
          <w:rFonts w:ascii="FangSong" w:eastAsia="FangSong" w:hAnsi="FangSong" w:cs="FangSong"/>
          <w:spacing w:val="-1"/>
          <w:sz w:val="31"/>
          <w:szCs w:val="31"/>
        </w:rPr>
        <w:t>预算及支出。</w:t>
      </w:r>
    </w:p>
    <w:p w:rsidR="00812CF6" w:rsidRDefault="00B12613">
      <w:pPr>
        <w:spacing w:before="220" w:line="222" w:lineRule="auto"/>
        <w:ind w:left="880"/>
        <w:rPr>
          <w:rFonts w:ascii="FangSong" w:eastAsia="FangSong" w:hAnsi="FangSong" w:cs="FangSong"/>
          <w:sz w:val="31"/>
          <w:szCs w:val="31"/>
        </w:rPr>
      </w:pPr>
      <w:r>
        <w:rPr>
          <w:rFonts w:ascii="FangSong" w:eastAsia="FangSong" w:hAnsi="FangSong" w:cs="FangSong"/>
          <w:spacing w:val="30"/>
          <w:sz w:val="31"/>
          <w:szCs w:val="31"/>
        </w:rPr>
        <w:t>(</w:t>
      </w:r>
      <w:r>
        <w:rPr>
          <w:rFonts w:ascii="FangSong" w:eastAsia="FangSong" w:hAnsi="FangSong" w:cs="FangSong"/>
          <w:spacing w:val="30"/>
          <w:sz w:val="31"/>
          <w:szCs w:val="31"/>
        </w:rPr>
        <w:t>二</w:t>
      </w:r>
      <w:r>
        <w:rPr>
          <w:rFonts w:ascii="FangSong" w:eastAsia="FangSong" w:hAnsi="FangSong" w:cs="FangSong"/>
          <w:spacing w:val="30"/>
          <w:sz w:val="31"/>
          <w:szCs w:val="31"/>
        </w:rPr>
        <w:t>)</w:t>
      </w:r>
      <w:r>
        <w:rPr>
          <w:rFonts w:ascii="FangSong" w:eastAsia="FangSong" w:hAnsi="FangSong" w:cs="FangSong"/>
          <w:spacing w:val="30"/>
          <w:sz w:val="31"/>
          <w:szCs w:val="31"/>
        </w:rPr>
        <w:t>项目支出情况</w:t>
      </w:r>
    </w:p>
    <w:p w:rsidR="00812CF6" w:rsidRDefault="00B12613">
      <w:pPr>
        <w:spacing w:before="184" w:line="221" w:lineRule="auto"/>
        <w:ind w:left="620"/>
        <w:rPr>
          <w:rFonts w:ascii="FangSong" w:eastAsia="FangSong" w:hAnsi="FangSong" w:cs="FangSong"/>
          <w:sz w:val="31"/>
          <w:szCs w:val="31"/>
        </w:rPr>
      </w:pPr>
      <w:r>
        <w:rPr>
          <w:rFonts w:ascii="FangSong" w:eastAsia="FangSong" w:hAnsi="FangSong" w:cs="FangSong"/>
          <w:spacing w:val="4"/>
          <w:sz w:val="31"/>
          <w:szCs w:val="31"/>
        </w:rPr>
        <w:t>本单位</w:t>
      </w:r>
      <w:r>
        <w:rPr>
          <w:rFonts w:ascii="FangSong" w:eastAsia="FangSong" w:hAnsi="FangSong" w:cs="FangSong"/>
          <w:spacing w:val="4"/>
          <w:sz w:val="31"/>
          <w:szCs w:val="31"/>
        </w:rPr>
        <w:t>2024</w:t>
      </w:r>
      <w:r>
        <w:rPr>
          <w:rFonts w:ascii="FangSong" w:eastAsia="FangSong" w:hAnsi="FangSong" w:cs="FangSong"/>
          <w:spacing w:val="4"/>
          <w:sz w:val="31"/>
          <w:szCs w:val="31"/>
        </w:rPr>
        <w:t>年度无项目支出。</w:t>
      </w:r>
    </w:p>
    <w:p w:rsidR="00812CF6" w:rsidRDefault="00812CF6">
      <w:pPr>
        <w:pStyle w:val="a3"/>
        <w:spacing w:line="255" w:lineRule="auto"/>
      </w:pPr>
    </w:p>
    <w:p w:rsidR="00812CF6" w:rsidRDefault="00B12613">
      <w:pPr>
        <w:spacing w:before="101" w:line="222" w:lineRule="auto"/>
        <w:ind w:left="624"/>
        <w:outlineLvl w:val="2"/>
        <w:rPr>
          <w:rFonts w:ascii="SimHei" w:eastAsia="SimHei" w:hAnsi="SimHei" w:cs="SimHei"/>
          <w:sz w:val="31"/>
          <w:szCs w:val="31"/>
        </w:rPr>
      </w:pPr>
      <w:r>
        <w:rPr>
          <w:rFonts w:ascii="SimHei" w:eastAsia="SimHei" w:hAnsi="SimHei" w:cs="SimHei"/>
          <w:b/>
          <w:bCs/>
          <w:spacing w:val="10"/>
          <w:sz w:val="31"/>
          <w:szCs w:val="31"/>
        </w:rPr>
        <w:t>三、政府性基金预算支出情况</w:t>
      </w:r>
    </w:p>
    <w:p w:rsidR="00E14502" w:rsidRPr="00DF174F" w:rsidRDefault="00B12613" w:rsidP="00DF174F">
      <w:pPr>
        <w:spacing w:before="197" w:line="355" w:lineRule="auto"/>
        <w:ind w:leftChars="50" w:left="105" w:right="445" w:firstLineChars="200" w:firstLine="628"/>
        <w:rPr>
          <w:rFonts w:ascii="FangSong" w:eastAsia="FangSong" w:hAnsi="FangSong" w:cs="FangSong" w:hint="eastAsia"/>
          <w:spacing w:val="4"/>
          <w:sz w:val="31"/>
          <w:szCs w:val="31"/>
        </w:rPr>
      </w:pPr>
      <w:r w:rsidRPr="00DF174F">
        <w:rPr>
          <w:rFonts w:ascii="FangSong" w:eastAsia="FangSong" w:hAnsi="FangSong" w:cs="FangSong"/>
          <w:spacing w:val="4"/>
          <w:sz w:val="31"/>
          <w:szCs w:val="31"/>
        </w:rPr>
        <w:t>2024</w:t>
      </w:r>
      <w:r w:rsidRPr="00DF174F">
        <w:rPr>
          <w:rFonts w:ascii="FangSong" w:eastAsia="FangSong" w:hAnsi="FangSong" w:cs="FangSong"/>
          <w:spacing w:val="4"/>
          <w:sz w:val="31"/>
          <w:szCs w:val="31"/>
        </w:rPr>
        <w:t>年度政府性基金支出</w:t>
      </w:r>
      <w:r w:rsidRPr="00DF174F">
        <w:rPr>
          <w:rFonts w:ascii="FangSong" w:eastAsia="FangSong" w:hAnsi="FangSong" w:cs="FangSong"/>
          <w:spacing w:val="4"/>
          <w:sz w:val="31"/>
          <w:szCs w:val="31"/>
        </w:rPr>
        <w:t>20</w:t>
      </w:r>
      <w:r w:rsidRPr="00DF174F">
        <w:rPr>
          <w:rFonts w:ascii="FangSong" w:eastAsia="FangSong" w:hAnsi="FangSong" w:cs="FangSong"/>
          <w:spacing w:val="4"/>
          <w:sz w:val="31"/>
          <w:szCs w:val="31"/>
        </w:rPr>
        <w:t>万元</w:t>
      </w:r>
      <w:r w:rsidRPr="00DF174F">
        <w:rPr>
          <w:rFonts w:ascii="FangSong" w:eastAsia="FangSong" w:hAnsi="FangSong" w:cs="FangSong"/>
          <w:spacing w:val="4"/>
          <w:sz w:val="31"/>
          <w:szCs w:val="31"/>
        </w:rPr>
        <w:t>，主要</w:t>
      </w:r>
      <w:r w:rsidRPr="00DF174F">
        <w:rPr>
          <w:rFonts w:ascii="FangSong" w:eastAsia="FangSong" w:hAnsi="FangSong" w:cs="FangSong"/>
          <w:spacing w:val="4"/>
          <w:sz w:val="31"/>
          <w:szCs w:val="31"/>
        </w:rPr>
        <w:t>用于校舍安全维修</w:t>
      </w:r>
      <w:r w:rsidRPr="00DF174F">
        <w:rPr>
          <w:rFonts w:ascii="FangSong" w:eastAsia="FangSong" w:hAnsi="FangSong" w:cs="FangSong"/>
          <w:spacing w:val="4"/>
          <w:sz w:val="31"/>
          <w:szCs w:val="31"/>
        </w:rPr>
        <w:t>维</w:t>
      </w:r>
      <w:r w:rsidRPr="00DF174F">
        <w:rPr>
          <w:rFonts w:ascii="FangSong" w:eastAsia="FangSong" w:hAnsi="FangSong" w:cs="FangSong"/>
          <w:spacing w:val="4"/>
          <w:sz w:val="31"/>
          <w:szCs w:val="31"/>
        </w:rPr>
        <w:t>护</w:t>
      </w:r>
      <w:r w:rsidRPr="00DF174F">
        <w:rPr>
          <w:rFonts w:ascii="FangSong" w:eastAsia="FangSong" w:hAnsi="FangSong" w:cs="FangSong"/>
          <w:spacing w:val="4"/>
          <w:sz w:val="31"/>
          <w:szCs w:val="31"/>
        </w:rPr>
        <w:t>。</w:t>
      </w:r>
    </w:p>
    <w:p w:rsidR="00812CF6" w:rsidRDefault="00B12613" w:rsidP="00E14502">
      <w:pPr>
        <w:tabs>
          <w:tab w:val="left" w:pos="284"/>
        </w:tabs>
        <w:spacing w:before="197" w:line="355" w:lineRule="auto"/>
        <w:ind w:leftChars="270" w:left="567" w:right="445" w:firstLineChars="8" w:firstLine="26"/>
        <w:rPr>
          <w:rFonts w:ascii="SimHei" w:eastAsia="SimHei" w:hAnsi="SimHei" w:cs="SimHei"/>
          <w:sz w:val="32"/>
          <w:szCs w:val="32"/>
        </w:rPr>
      </w:pPr>
      <w:r>
        <w:rPr>
          <w:rFonts w:ascii="SimHei" w:eastAsia="SimHei" w:hAnsi="SimHei" w:cs="SimHei"/>
          <w:b/>
          <w:bCs/>
          <w:spacing w:val="4"/>
          <w:sz w:val="32"/>
          <w:szCs w:val="32"/>
        </w:rPr>
        <w:t>四、国有资本经营预算支出情况</w:t>
      </w:r>
    </w:p>
    <w:p w:rsidR="00812CF6" w:rsidRDefault="00B12613">
      <w:pPr>
        <w:spacing w:before="166" w:line="221" w:lineRule="auto"/>
        <w:ind w:left="640"/>
        <w:rPr>
          <w:rFonts w:ascii="FangSong" w:eastAsia="FangSong" w:hAnsi="FangSong" w:cs="FangSong"/>
          <w:sz w:val="32"/>
          <w:szCs w:val="32"/>
        </w:rPr>
      </w:pPr>
      <w:r>
        <w:rPr>
          <w:rFonts w:ascii="FangSong" w:eastAsia="FangSong" w:hAnsi="FangSong" w:cs="FangSong"/>
          <w:spacing w:val="6"/>
          <w:sz w:val="32"/>
          <w:szCs w:val="32"/>
        </w:rPr>
        <w:t>本单位</w:t>
      </w:r>
      <w:r>
        <w:rPr>
          <w:rFonts w:ascii="FangSong" w:eastAsia="FangSong" w:hAnsi="FangSong" w:cs="FangSong"/>
          <w:spacing w:val="6"/>
          <w:sz w:val="32"/>
          <w:szCs w:val="32"/>
        </w:rPr>
        <w:t>2024</w:t>
      </w:r>
      <w:r>
        <w:rPr>
          <w:rFonts w:ascii="FangSong" w:eastAsia="FangSong" w:hAnsi="FangSong" w:cs="FangSong"/>
          <w:spacing w:val="6"/>
          <w:sz w:val="32"/>
          <w:szCs w:val="32"/>
        </w:rPr>
        <w:t>年度无国有资本经营预算支出。</w:t>
      </w:r>
    </w:p>
    <w:p w:rsidR="00812CF6" w:rsidRDefault="00812CF6">
      <w:pPr>
        <w:pStyle w:val="a3"/>
        <w:spacing w:line="269" w:lineRule="auto"/>
      </w:pPr>
    </w:p>
    <w:p w:rsidR="00812CF6" w:rsidRDefault="00B12613">
      <w:pPr>
        <w:spacing w:before="104" w:line="222" w:lineRule="auto"/>
        <w:ind w:left="644"/>
        <w:outlineLvl w:val="1"/>
        <w:rPr>
          <w:rFonts w:ascii="SimHei" w:eastAsia="SimHei" w:hAnsi="SimHei" w:cs="SimHei"/>
          <w:sz w:val="32"/>
          <w:szCs w:val="32"/>
        </w:rPr>
      </w:pPr>
      <w:r>
        <w:rPr>
          <w:rFonts w:ascii="SimHei" w:eastAsia="SimHei" w:hAnsi="SimHei" w:cs="SimHei"/>
          <w:b/>
          <w:bCs/>
          <w:spacing w:val="2"/>
          <w:sz w:val="32"/>
          <w:szCs w:val="32"/>
        </w:rPr>
        <w:t>五、社会保险基金预算支出情况</w:t>
      </w:r>
    </w:p>
    <w:p w:rsidR="00812CF6" w:rsidRDefault="00B12613">
      <w:pPr>
        <w:spacing w:before="206" w:line="221" w:lineRule="auto"/>
        <w:ind w:left="640"/>
        <w:rPr>
          <w:rFonts w:ascii="FangSong" w:eastAsia="FangSong" w:hAnsi="FangSong" w:cs="FangSong"/>
          <w:sz w:val="32"/>
          <w:szCs w:val="32"/>
        </w:rPr>
      </w:pPr>
      <w:r>
        <w:rPr>
          <w:rFonts w:ascii="FangSong" w:eastAsia="FangSong" w:hAnsi="FangSong" w:cs="FangSong"/>
          <w:spacing w:val="4"/>
          <w:sz w:val="32"/>
          <w:szCs w:val="32"/>
        </w:rPr>
        <w:t>本单位</w:t>
      </w:r>
      <w:r>
        <w:rPr>
          <w:rFonts w:ascii="FangSong" w:eastAsia="FangSong" w:hAnsi="FangSong" w:cs="FangSong"/>
          <w:spacing w:val="4"/>
          <w:sz w:val="32"/>
          <w:szCs w:val="32"/>
        </w:rPr>
        <w:t>2024</w:t>
      </w:r>
      <w:r>
        <w:rPr>
          <w:rFonts w:ascii="FangSong" w:eastAsia="FangSong" w:hAnsi="FangSong" w:cs="FangSong"/>
          <w:spacing w:val="4"/>
          <w:sz w:val="32"/>
          <w:szCs w:val="32"/>
        </w:rPr>
        <w:t>年度无社会保险基金预算支出。</w:t>
      </w:r>
    </w:p>
    <w:p w:rsidR="00812CF6" w:rsidRDefault="00812CF6">
      <w:pPr>
        <w:pStyle w:val="a3"/>
        <w:spacing w:line="249" w:lineRule="auto"/>
      </w:pPr>
    </w:p>
    <w:p w:rsidR="00812CF6" w:rsidRDefault="00B12613">
      <w:pPr>
        <w:spacing w:before="104" w:line="221" w:lineRule="auto"/>
        <w:ind w:left="644"/>
        <w:outlineLvl w:val="1"/>
        <w:rPr>
          <w:rFonts w:ascii="SimHei" w:eastAsia="SimHei" w:hAnsi="SimHei" w:cs="SimHei"/>
          <w:sz w:val="32"/>
          <w:szCs w:val="32"/>
        </w:rPr>
      </w:pPr>
      <w:r>
        <w:rPr>
          <w:rFonts w:ascii="SimHei" w:eastAsia="SimHei" w:hAnsi="SimHei" w:cs="SimHei"/>
          <w:b/>
          <w:bCs/>
          <w:spacing w:val="1"/>
          <w:sz w:val="32"/>
          <w:szCs w:val="32"/>
        </w:rPr>
        <w:t>六、部门整体支出绩效情况</w:t>
      </w:r>
    </w:p>
    <w:p w:rsidR="00812CF6" w:rsidRPr="00FB6FAB" w:rsidRDefault="00B12613" w:rsidP="00FB6FAB">
      <w:pPr>
        <w:spacing w:before="211" w:line="310" w:lineRule="auto"/>
        <w:ind w:right="505" w:firstLine="620"/>
        <w:rPr>
          <w:rFonts w:ascii="FangSong" w:eastAsia="FangSong" w:hAnsi="FangSong" w:cs="FangSong" w:hint="eastAsia"/>
          <w:spacing w:val="12"/>
          <w:sz w:val="31"/>
          <w:szCs w:val="31"/>
          <w:lang w:eastAsia="zh-CN"/>
        </w:rPr>
      </w:pPr>
      <w:r>
        <w:rPr>
          <w:rFonts w:ascii="FangSong" w:eastAsia="FangSong" w:hAnsi="FangSong" w:cs="FangSong"/>
          <w:spacing w:val="10"/>
          <w:sz w:val="32"/>
          <w:szCs w:val="32"/>
        </w:rPr>
        <w:t>本单位</w:t>
      </w:r>
      <w:r>
        <w:rPr>
          <w:rFonts w:ascii="FangSong" w:eastAsia="FangSong" w:hAnsi="FangSong" w:cs="FangSong"/>
          <w:spacing w:val="10"/>
          <w:sz w:val="32"/>
          <w:szCs w:val="32"/>
        </w:rPr>
        <w:t>2024</w:t>
      </w:r>
      <w:r>
        <w:rPr>
          <w:rFonts w:ascii="FangSong" w:eastAsia="FangSong" w:hAnsi="FangSong" w:cs="FangSong"/>
          <w:spacing w:val="10"/>
          <w:sz w:val="32"/>
          <w:szCs w:val="32"/>
        </w:rPr>
        <w:t>年度全面完成了</w:t>
      </w:r>
      <w:r>
        <w:rPr>
          <w:rFonts w:ascii="FangSong" w:eastAsia="FangSong" w:hAnsi="FangSong" w:cs="FangSong"/>
          <w:spacing w:val="10"/>
          <w:sz w:val="32"/>
          <w:szCs w:val="32"/>
        </w:rPr>
        <w:t>“</w:t>
      </w:r>
      <w:r>
        <w:rPr>
          <w:rFonts w:ascii="FangSong" w:eastAsia="FangSong" w:hAnsi="FangSong" w:cs="FangSong"/>
          <w:spacing w:val="10"/>
          <w:sz w:val="32"/>
          <w:szCs w:val="32"/>
        </w:rPr>
        <w:t>四本预算</w:t>
      </w:r>
      <w:r>
        <w:rPr>
          <w:rFonts w:ascii="FangSong" w:eastAsia="FangSong" w:hAnsi="FangSong" w:cs="FangSong"/>
          <w:spacing w:val="10"/>
          <w:sz w:val="32"/>
          <w:szCs w:val="32"/>
        </w:rPr>
        <w:t>”</w:t>
      </w:r>
      <w:r>
        <w:rPr>
          <w:rFonts w:ascii="FangSong" w:eastAsia="FangSong" w:hAnsi="FangSong" w:cs="FangSong"/>
          <w:spacing w:val="10"/>
          <w:sz w:val="32"/>
          <w:szCs w:val="32"/>
        </w:rPr>
        <w:t>支出的绩效目</w:t>
      </w:r>
      <w:r w:rsidR="00B82E05">
        <w:rPr>
          <w:rFonts w:ascii="FangSong" w:eastAsia="FangSong" w:hAnsi="FangSong" w:cs="FangSong" w:hint="eastAsia"/>
          <w:spacing w:val="10"/>
          <w:sz w:val="32"/>
          <w:szCs w:val="32"/>
          <w:lang w:eastAsia="zh-CN"/>
        </w:rPr>
        <w:t>标</w:t>
      </w:r>
      <w:r>
        <w:rPr>
          <w:rFonts w:ascii="FangSong" w:eastAsia="FangSong" w:hAnsi="FangSong" w:cs="FangSong"/>
          <w:spacing w:val="10"/>
          <w:sz w:val="32"/>
          <w:szCs w:val="32"/>
        </w:rPr>
        <w:t>，</w:t>
      </w:r>
      <w:r>
        <w:rPr>
          <w:rFonts w:ascii="FangSong" w:eastAsia="FangSong" w:hAnsi="FangSong" w:cs="FangSong"/>
          <w:spacing w:val="9"/>
          <w:sz w:val="32"/>
          <w:szCs w:val="32"/>
        </w:rPr>
        <w:t xml:space="preserve"> </w:t>
      </w:r>
      <w:r>
        <w:rPr>
          <w:rFonts w:ascii="FangSong" w:eastAsia="FangSong" w:hAnsi="FangSong" w:cs="FangSong"/>
          <w:spacing w:val="17"/>
          <w:sz w:val="32"/>
          <w:szCs w:val="32"/>
        </w:rPr>
        <w:t>适龄学生入学率、巩固率均达</w:t>
      </w:r>
      <w:r>
        <w:rPr>
          <w:rFonts w:ascii="FangSong" w:eastAsia="FangSong" w:hAnsi="FangSong" w:cs="FangSong"/>
          <w:spacing w:val="17"/>
          <w:sz w:val="32"/>
          <w:szCs w:val="32"/>
        </w:rPr>
        <w:t>100%,</w:t>
      </w:r>
      <w:r>
        <w:rPr>
          <w:rFonts w:ascii="FangSong" w:eastAsia="FangSong" w:hAnsi="FangSong" w:cs="FangSong"/>
          <w:spacing w:val="17"/>
          <w:sz w:val="32"/>
          <w:szCs w:val="32"/>
        </w:rPr>
        <w:t>全年安全事故率为</w:t>
      </w:r>
      <w:r>
        <w:rPr>
          <w:rFonts w:ascii="FangSong" w:eastAsia="FangSong" w:hAnsi="FangSong" w:cs="FangSong"/>
          <w:spacing w:val="17"/>
          <w:sz w:val="32"/>
          <w:szCs w:val="32"/>
        </w:rPr>
        <w:t>0,</w:t>
      </w:r>
      <w:r>
        <w:rPr>
          <w:rFonts w:ascii="FangSong" w:eastAsia="FangSong" w:hAnsi="FangSong" w:cs="FangSong"/>
          <w:spacing w:val="17"/>
          <w:sz w:val="32"/>
          <w:szCs w:val="32"/>
        </w:rPr>
        <w:t>全</w:t>
      </w:r>
      <w:r>
        <w:rPr>
          <w:rFonts w:ascii="FangSong" w:eastAsia="FangSong" w:hAnsi="FangSong" w:cs="FangSong"/>
          <w:spacing w:val="17"/>
          <w:sz w:val="32"/>
          <w:szCs w:val="32"/>
        </w:rPr>
        <w:lastRenderedPageBreak/>
        <w:t>面</w:t>
      </w:r>
      <w:r>
        <w:rPr>
          <w:rFonts w:ascii="FangSong" w:eastAsia="FangSong" w:hAnsi="FangSong" w:cs="FangSong"/>
          <w:spacing w:val="16"/>
          <w:sz w:val="32"/>
          <w:szCs w:val="32"/>
        </w:rPr>
        <w:t xml:space="preserve"> </w:t>
      </w:r>
      <w:r>
        <w:rPr>
          <w:rFonts w:ascii="FangSong" w:eastAsia="FangSong" w:hAnsi="FangSong" w:cs="FangSong"/>
          <w:spacing w:val="22"/>
          <w:sz w:val="32"/>
          <w:szCs w:val="32"/>
        </w:rPr>
        <w:t>完成全年教育教学任务，初中毕业升学率</w:t>
      </w:r>
      <w:r>
        <w:rPr>
          <w:rFonts w:ascii="FangSong" w:eastAsia="FangSong" w:hAnsi="FangSong" w:cs="FangSong"/>
          <w:spacing w:val="22"/>
          <w:sz w:val="32"/>
          <w:szCs w:val="32"/>
        </w:rPr>
        <w:t>90.5%,</w:t>
      </w:r>
      <w:r>
        <w:rPr>
          <w:rFonts w:ascii="FangSong" w:eastAsia="FangSong" w:hAnsi="FangSong" w:cs="FangSong"/>
          <w:spacing w:val="22"/>
          <w:sz w:val="32"/>
          <w:szCs w:val="32"/>
        </w:rPr>
        <w:t>教育教学质</w:t>
      </w:r>
      <w:r>
        <w:rPr>
          <w:rFonts w:ascii="FangSong" w:eastAsia="FangSong" w:hAnsi="FangSong" w:cs="FangSong"/>
          <w:spacing w:val="12"/>
          <w:sz w:val="32"/>
          <w:szCs w:val="32"/>
        </w:rPr>
        <w:t>量位居全县乡镇第一，学校办学条件得到进一步改善</w:t>
      </w:r>
      <w:r>
        <w:rPr>
          <w:rFonts w:ascii="FangSong" w:eastAsia="FangSong" w:hAnsi="FangSong" w:cs="FangSong"/>
          <w:spacing w:val="11"/>
          <w:sz w:val="32"/>
          <w:szCs w:val="32"/>
        </w:rPr>
        <w:t>，教师业</w:t>
      </w:r>
      <w:r>
        <w:rPr>
          <w:rFonts w:ascii="FangSong" w:eastAsia="FangSong" w:hAnsi="FangSong" w:cs="FangSong"/>
          <w:spacing w:val="6"/>
          <w:sz w:val="32"/>
          <w:szCs w:val="32"/>
        </w:rPr>
        <w:t>务水平</w:t>
      </w:r>
      <w:r w:rsidRPr="00FB6FAB">
        <w:rPr>
          <w:rFonts w:ascii="FangSong" w:eastAsia="FangSong" w:hAnsi="FangSong" w:cs="FangSong"/>
          <w:spacing w:val="12"/>
          <w:sz w:val="31"/>
          <w:szCs w:val="31"/>
          <w:lang w:eastAsia="zh-CN"/>
        </w:rPr>
        <w:t>得到进一步提升，学生和家长满意度达</w:t>
      </w:r>
      <w:r w:rsidRPr="00FB6FAB">
        <w:rPr>
          <w:rFonts w:ascii="FangSong" w:eastAsia="FangSong" w:hAnsi="FangSong" w:cs="FangSong"/>
          <w:spacing w:val="12"/>
          <w:sz w:val="31"/>
          <w:szCs w:val="31"/>
          <w:lang w:eastAsia="zh-CN"/>
        </w:rPr>
        <w:t>96%</w:t>
      </w:r>
      <w:r w:rsidRPr="00FB6FAB">
        <w:rPr>
          <w:rFonts w:ascii="FangSong" w:eastAsia="FangSong" w:hAnsi="FangSong" w:cs="FangSong"/>
          <w:spacing w:val="12"/>
          <w:sz w:val="31"/>
          <w:szCs w:val="31"/>
          <w:lang w:eastAsia="zh-CN"/>
        </w:rPr>
        <w:t>。</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七、存在的问题及原因分析</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目标任务导向不足，绩效目标管理不到位，预算绩效工作待加强。</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八、下一步改进措施</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强化绩效管理意识，进一步规范绩效管理工作。</w:t>
      </w:r>
    </w:p>
    <w:p w:rsid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rPr>
        <w:t>规范填报绩效目标及指标，结合工作任务、上级考核目标以及“十四五”规划预期性目标和约束性目标值编制填报明确可衡量的绩效指标及指标值，避免设置无压力的指标值，最终导致实际完成远超预计。</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九、部门整体支出绩效自评结果拟应用和公开情况</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将绩效自评结果用于指导下一年度预算编制和资金分配，优化资源配置。按照规定程序和要求，在财政绩效管理信息系统等渠道及时公开绩效自评结果，接受社会监督，增强预算透明度。</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十、其他需要说明的情况</w:t>
      </w:r>
    </w:p>
    <w:p w:rsidR="00FB6FAB" w:rsidRPr="00FB6FAB" w:rsidRDefault="00FB6FAB" w:rsidP="00FB6FAB">
      <w:pPr>
        <w:spacing w:before="211" w:line="310" w:lineRule="auto"/>
        <w:ind w:right="505" w:firstLine="620"/>
        <w:rPr>
          <w:rFonts w:ascii="FangSong" w:eastAsia="FangSong" w:hAnsi="FangSong" w:cs="FangSong" w:hint="eastAsia"/>
          <w:spacing w:val="12"/>
          <w:sz w:val="31"/>
          <w:szCs w:val="31"/>
          <w:lang w:eastAsia="zh-CN"/>
        </w:rPr>
      </w:pPr>
      <w:r w:rsidRPr="00FB6FAB">
        <w:rPr>
          <w:rFonts w:ascii="FangSong" w:eastAsia="FangSong" w:hAnsi="FangSong" w:cs="FangSong" w:hint="eastAsia"/>
          <w:spacing w:val="12"/>
          <w:sz w:val="31"/>
          <w:szCs w:val="31"/>
          <w:lang w:eastAsia="zh-CN"/>
        </w:rPr>
        <w:t xml:space="preserve">      无</w:t>
      </w:r>
    </w:p>
    <w:sectPr w:rsidR="00FB6FAB" w:rsidRPr="00FB6FAB" w:rsidSect="00E14502">
      <w:footerReference w:type="default" r:id="rId7"/>
      <w:pgSz w:w="11910" w:h="16840"/>
      <w:pgMar w:top="670" w:right="1264" w:bottom="40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13" w:rsidRDefault="00B12613" w:rsidP="00812CF6">
      <w:r>
        <w:separator/>
      </w:r>
    </w:p>
  </w:endnote>
  <w:endnote w:type="continuationSeparator" w:id="0">
    <w:p w:rsidR="00B12613" w:rsidRDefault="00B12613" w:rsidP="00812C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KaiTi">
    <w:altName w:val="微软雅黑"/>
    <w:charset w:val="86"/>
    <w:family w:val="auto"/>
    <w:pitch w:val="default"/>
    <w:sig w:usb0="00000000" w:usb1="38CF7CFA"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FangSong">
    <w:altName w:val="微软雅黑"/>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F6" w:rsidRDefault="00B12613">
    <w:pPr>
      <w:spacing w:before="37" w:line="216" w:lineRule="auto"/>
      <w:ind w:left="249"/>
      <w:rPr>
        <w:rFonts w:ascii="SimSun" w:eastAsia="SimSun" w:hAnsi="SimSun" w:cs="SimSun"/>
        <w:sz w:val="8"/>
        <w:szCs w:val="8"/>
      </w:rPr>
    </w:pPr>
    <w:r>
      <w:rPr>
        <w:lang w:eastAsia="zh-CN"/>
      </w:rPr>
      <w:drawing>
        <wp:anchor distT="0" distB="0" distL="0" distR="0" simplePos="0" relativeHeight="251658240" behindDoc="0" locked="0" layoutInCell="0" allowOverlap="1">
          <wp:simplePos x="0" y="0"/>
          <wp:positionH relativeFrom="page">
            <wp:posOffset>679446</wp:posOffset>
          </wp:positionH>
          <wp:positionV relativeFrom="page">
            <wp:posOffset>9489717</wp:posOffset>
          </wp:positionV>
          <wp:extent cx="120015" cy="13716"/>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20015" cy="13716"/>
                  </a:xfrm>
                  <a:prstGeom prst="rect">
                    <a:avLst/>
                  </a:prstGeom>
                </pic:spPr>
              </pic:pic>
            </a:graphicData>
          </a:graphic>
        </wp:anchor>
      </w:drawing>
    </w:r>
    <w:r>
      <w:rPr>
        <w:rFonts w:ascii="SimSun" w:eastAsia="SimSun" w:hAnsi="SimSun" w:cs="SimSun"/>
        <w:spacing w:val="-1"/>
        <w:sz w:val="8"/>
        <w:szCs w:val="8"/>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F6" w:rsidRDefault="00812CF6">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13" w:rsidRDefault="00B12613" w:rsidP="00812CF6">
      <w:r>
        <w:separator/>
      </w:r>
    </w:p>
  </w:footnote>
  <w:footnote w:type="continuationSeparator" w:id="0">
    <w:p w:rsidR="00B12613" w:rsidRDefault="00B12613" w:rsidP="00812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
  <w:rsids>
    <w:rsidRoot w:val="00812CF6"/>
    <w:rsid w:val="00812CF6"/>
    <w:rsid w:val="00B12613"/>
    <w:rsid w:val="00B82E05"/>
    <w:rsid w:val="00DF174F"/>
    <w:rsid w:val="00E14502"/>
    <w:rsid w:val="00F820BB"/>
    <w:rsid w:val="00FB6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812CF6"/>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812CF6"/>
    <w:tblPr>
      <w:tblCellMar>
        <w:top w:w="0" w:type="dxa"/>
        <w:left w:w="0" w:type="dxa"/>
        <w:bottom w:w="0" w:type="dxa"/>
        <w:right w:w="0" w:type="dxa"/>
      </w:tblCellMar>
    </w:tblPr>
  </w:style>
  <w:style w:type="paragraph" w:styleId="a3">
    <w:name w:val="Body Text"/>
    <w:basedOn w:val="a"/>
    <w:semiHidden/>
    <w:qFormat/>
    <w:rsid w:val="00812CF6"/>
    <w:rPr>
      <w:rFonts w:eastAsia="Arial"/>
    </w:rPr>
  </w:style>
  <w:style w:type="paragraph" w:customStyle="1" w:styleId="TableText">
    <w:name w:val="Table Text"/>
    <w:basedOn w:val="a"/>
    <w:semiHidden/>
    <w:qFormat/>
    <w:rsid w:val="00812CF6"/>
    <w:rPr>
      <w:rFonts w:ascii="SimSun" w:eastAsia="SimSun" w:hAnsi="SimSun" w:cs="SimSun"/>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2025-09-30T17:20:00Z</dcterms:created>
  <dcterms:modified xsi:type="dcterms:W3CDTF">2025-10-10T08:03:00Z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2025-09-30T17:20:55Z</vt:filetime>
  </property>
  <property fmtid="{D5CDD505-2E9C-101B-9397-08002B2CF9AE}" pid="4" name="UsrData">
    <vt:lpwstr>68dba0f2b74642001f2515d2wl</vt:lpwstr>
  </property>
</Properties>
</file>