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E0" w:rsidRDefault="006B5FE0">
      <w:pPr>
        <w:pStyle w:val="a3"/>
        <w:spacing w:line="287" w:lineRule="auto"/>
      </w:pPr>
    </w:p>
    <w:p w:rsidR="006B5FE0" w:rsidRDefault="006B5FE0">
      <w:pPr>
        <w:pStyle w:val="a3"/>
        <w:spacing w:line="287" w:lineRule="auto"/>
      </w:pPr>
    </w:p>
    <w:p w:rsidR="006B5FE0" w:rsidRDefault="00E3673B">
      <w:pPr>
        <w:spacing w:before="160" w:line="283" w:lineRule="auto"/>
        <w:ind w:right="540"/>
        <w:jc w:val="center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岳阳县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筻口</w:t>
      </w:r>
      <w:proofErr w:type="spellStart"/>
      <w:r>
        <w:rPr>
          <w:rFonts w:ascii="宋体" w:eastAsia="宋体" w:hAnsi="宋体" w:cs="宋体" w:hint="eastAsia"/>
          <w:b/>
          <w:bCs/>
          <w:spacing w:val="-6"/>
          <w:sz w:val="43"/>
          <w:szCs w:val="43"/>
        </w:rPr>
        <w:t>镇中心学校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proofErr w:type="spellEnd"/>
      <w:r>
        <w:rPr>
          <w:rFonts w:ascii="宋体" w:eastAsia="宋体" w:hAnsi="宋体" w:cs="宋体"/>
          <w:spacing w:val="3"/>
          <w:sz w:val="43"/>
          <w:szCs w:val="43"/>
        </w:rPr>
        <w:t xml:space="preserve"> </w:t>
      </w:r>
      <w:proofErr w:type="spellStart"/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6B5FE0" w:rsidRDefault="006B5FE0">
      <w:pPr>
        <w:pStyle w:val="a3"/>
      </w:pPr>
    </w:p>
    <w:p w:rsidR="006B5FE0" w:rsidRDefault="006B5FE0">
      <w:pPr>
        <w:pStyle w:val="a3"/>
      </w:pPr>
    </w:p>
    <w:p w:rsidR="006B5FE0" w:rsidRDefault="006B5FE0">
      <w:pPr>
        <w:pStyle w:val="a3"/>
      </w:pPr>
    </w:p>
    <w:p w:rsidR="006B5FE0" w:rsidRDefault="006B5FE0">
      <w:pPr>
        <w:pStyle w:val="a3"/>
      </w:pPr>
    </w:p>
    <w:p w:rsidR="006B5FE0" w:rsidRDefault="006B5FE0">
      <w:pPr>
        <w:pStyle w:val="a3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6B5FE0">
      <w:pPr>
        <w:pStyle w:val="a3"/>
        <w:spacing w:line="241" w:lineRule="auto"/>
      </w:pPr>
    </w:p>
    <w:p w:rsidR="006B5FE0" w:rsidRDefault="00E3673B">
      <w:pPr>
        <w:spacing w:before="91" w:line="224" w:lineRule="auto"/>
        <w:ind w:left="3123"/>
        <w:rPr>
          <w:rFonts w:ascii="楷体" w:eastAsia="楷体" w:hAnsi="楷体" w:cs="楷体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/>
          <w:spacing w:val="-66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76"/>
          <w:sz w:val="28"/>
          <w:szCs w:val="28"/>
          <w:u w:val="single"/>
        </w:rPr>
        <w:t xml:space="preserve"> </w:t>
      </w:r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盖章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  <w:u w:val="single"/>
        </w:rPr>
        <w:t>)</w:t>
      </w:r>
    </w:p>
    <w:p w:rsidR="006B5FE0" w:rsidRDefault="00E3673B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  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6B5FE0" w:rsidRDefault="00E3673B">
      <w:pPr>
        <w:spacing w:before="286" w:line="230" w:lineRule="auto"/>
        <w:ind w:left="381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)</w:t>
      </w:r>
    </w:p>
    <w:p w:rsidR="006B5FE0" w:rsidRDefault="006B5FE0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6B5FE0">
          <w:footerReference w:type="default" r:id="rId7"/>
          <w:pgSz w:w="11900" w:h="16830"/>
          <w:pgMar w:top="1430" w:right="1785" w:bottom="2010" w:left="1489" w:header="0" w:footer="1647" w:gutter="0"/>
          <w:cols w:space="720"/>
        </w:sectPr>
      </w:pPr>
    </w:p>
    <w:p w:rsidR="006B5FE0" w:rsidRDefault="006B5FE0">
      <w:pPr>
        <w:pStyle w:val="a3"/>
        <w:spacing w:line="298" w:lineRule="auto"/>
      </w:pPr>
    </w:p>
    <w:p w:rsidR="006B5FE0" w:rsidRDefault="006B5FE0">
      <w:pPr>
        <w:pStyle w:val="a3"/>
        <w:spacing w:line="299" w:lineRule="auto"/>
      </w:pPr>
    </w:p>
    <w:p w:rsidR="006B5FE0" w:rsidRDefault="00E3673B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kern w:val="2"/>
          <w:sz w:val="30"/>
          <w:szCs w:val="30"/>
          <w:lang w:eastAsia="zh-CN"/>
        </w:rPr>
        <w:t>、机构情况</w:t>
      </w:r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kern w:val="2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我校隶属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岳阳县教育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直属事业单位，组织机构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个，为财政全额补助拨款单位，按要求实施财务独立核算。</w:t>
      </w:r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、人员情况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现有在职在编教职工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156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人，年末在校学生数为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2151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人。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、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学校职能职责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）正确贯彻执行党和国家的教育方针、政策、法规。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）维护学校的教学秩序，为学生创造良好的学习环境。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）积极稳妥地推进教育改革，按教育规律办事，不断提高教育质量。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）根据学校规模，设置学校管理机构，建立健全各项规章制度和岗位责任制。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）坚持教书育人，服务育人，环境育人方针，加强对学生的思想品德教育，使学生的德智体全面发展。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6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）抓好教师队伍建设，使每个教师都热心于教育事业。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 </w:t>
      </w:r>
    </w:p>
    <w:p w:rsidR="006B5FE0" w:rsidRDefault="00E3673B">
      <w:pPr>
        <w:spacing w:before="101" w:line="222" w:lineRule="auto"/>
        <w:ind w:left="639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（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7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）做好安全防范，保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证学生的人身安全。</w:t>
      </w:r>
    </w:p>
    <w:p w:rsidR="006B5FE0" w:rsidRDefault="00E3673B">
      <w:pPr>
        <w:spacing w:before="194" w:line="221" w:lineRule="auto"/>
        <w:ind w:left="639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二、一般公共预算支出情况</w:t>
      </w:r>
      <w:proofErr w:type="spellEnd"/>
    </w:p>
    <w:p w:rsidR="006B5FE0" w:rsidRDefault="00E3673B">
      <w:pPr>
        <w:spacing w:before="228" w:line="226" w:lineRule="auto"/>
        <w:ind w:left="804"/>
        <w:rPr>
          <w:rFonts w:ascii="仿宋" w:eastAsia="仿宋" w:hAnsi="仿宋" w:cs="仿宋"/>
          <w:spacing w:val="1"/>
          <w:sz w:val="31"/>
          <w:szCs w:val="31"/>
        </w:rPr>
      </w:pP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(</w:t>
      </w:r>
      <w:r>
        <w:rPr>
          <w:rFonts w:ascii="楷体" w:eastAsia="楷体" w:hAnsi="楷体" w:cs="楷体"/>
          <w:spacing w:val="-3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一</w:t>
      </w:r>
      <w:r>
        <w:rPr>
          <w:rFonts w:ascii="楷体" w:eastAsia="楷体" w:hAnsi="楷体" w:cs="楷体"/>
          <w:spacing w:val="-41"/>
          <w:sz w:val="31"/>
          <w:szCs w:val="31"/>
        </w:rPr>
        <w:t xml:space="preserve"> </w:t>
      </w:r>
      <w:r>
        <w:rPr>
          <w:rFonts w:ascii="楷体" w:eastAsia="楷体" w:hAnsi="楷体" w:cs="楷体"/>
          <w:b/>
          <w:bCs/>
          <w:spacing w:val="1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1"/>
          <w:sz w:val="31"/>
          <w:szCs w:val="31"/>
        </w:rPr>
        <w:t>基本支出情况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一般公共预算基本支出</w:t>
      </w:r>
      <w:r w:rsidR="005D4FCB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2929.81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万元，其中：人员经费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2630.53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万元：包括（基本工资、津贴补贴、奖金、绩效工资、机关事业单位基本养老保险缴费、职工基本医疗保险缴费、其他社会保障缴费、住房公积金、其他工资福利支出、抚恤金、生活补助、奖励金、助学金）。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 xml:space="preserve"> </w:t>
      </w:r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公用经费</w:t>
      </w:r>
      <w:r w:rsidR="005D4FCB"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299.28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：包括（办公费、印刷费、水费、电费、邮电费、物业管理费、差旅费、维修（护）费、会议费、培训费、专用材料费、劳务费、工会经费、其他交通费、其他商品和服务支出、办公设备购置、大型修缮等）。</w:t>
      </w:r>
    </w:p>
    <w:p w:rsidR="006B5FE0" w:rsidRDefault="00E3673B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lastRenderedPageBreak/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6B5FE0" w:rsidRDefault="00E3673B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年度项目支出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497.75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万元，都属于业务工作经费项目</w:t>
      </w:r>
    </w:p>
    <w:p w:rsidR="006B5FE0" w:rsidRDefault="00E3673B">
      <w:pPr>
        <w:numPr>
          <w:ilvl w:val="0"/>
          <w:numId w:val="1"/>
        </w:numPr>
        <w:spacing w:before="207" w:line="222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政府性基金预算支出情况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年度政府性基金预算支出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6B5FE0" w:rsidRDefault="00E3673B">
      <w:pPr>
        <w:numPr>
          <w:ilvl w:val="0"/>
          <w:numId w:val="1"/>
        </w:numPr>
        <w:spacing w:before="23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国有资本经营预算支出情况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年度国有资产经营预算支出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6B5FE0" w:rsidRDefault="00E3673B">
      <w:pPr>
        <w:numPr>
          <w:ilvl w:val="0"/>
          <w:numId w:val="1"/>
        </w:numPr>
        <w:spacing w:before="227" w:line="222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社会保险基金预算支出情况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Calibri" w:eastAsia="宋体" w:hAnsi="Calibri" w:cs="Times New Roman"/>
          <w:snapToGrid/>
          <w:kern w:val="2"/>
          <w:szCs w:val="24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本部门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2024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年度社会保险基金预算支出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0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万元。</w:t>
      </w:r>
    </w:p>
    <w:p w:rsidR="006B5FE0" w:rsidRDefault="00E3673B">
      <w:pPr>
        <w:spacing w:before="227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我校对部门整体支出的预算执行高度重视。一是大力提倡勤俭节约，坚持把有限的经费用在学校教育事业发展项目上；二是坚持局党组集体理财，全局重大收支计划需经局党组会议审定后执行，并且每月开支预算执行情况调度，合理分配资金；三是严肃财经纪律，严格执行财务制度，坚持先有预算、后有支出，坚持“三公”经费公开制度；四是严谨审批程序，坚持财务审票，根据开支类别，由经办人在发票上签明事由，在由书记、校长及分管领导和内审员审签。这些措施，较好地保证了财务开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支和资金使用的合法合规、安全有效。</w:t>
      </w:r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根据定量分析及定性分析，综合考评得分为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95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分，评价等次确定为优。</w:t>
      </w:r>
    </w:p>
    <w:p w:rsidR="006B5FE0" w:rsidRDefault="00E3673B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，再加上预算内资金拨付不能及时到位，致使工作开展受到影响。开支的补充，难以产生真正的项目效益。</w:t>
      </w:r>
    </w:p>
    <w:p w:rsidR="006B5FE0" w:rsidRDefault="00E3673B">
      <w:pPr>
        <w:numPr>
          <w:ilvl w:val="0"/>
          <w:numId w:val="2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下一步改进措施</w:t>
      </w:r>
      <w:proofErr w:type="spellEnd"/>
    </w:p>
    <w:p w:rsidR="006B5FE0" w:rsidRDefault="00E3673B">
      <w:pPr>
        <w:spacing w:before="1" w:line="221" w:lineRule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5"/>
          <w:sz w:val="31"/>
          <w:szCs w:val="31"/>
          <w:lang w:eastAsia="zh-CN"/>
        </w:rPr>
        <w:t xml:space="preserve">    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高度重视财务人员队伍建设，加强对财务人员业务工作指导和规范化培训，尤其是加强新《预算法》、《政府会计制度》等学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lastRenderedPageBreak/>
        <w:t>习培训。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 w:rsidR="006B5FE0" w:rsidRDefault="00E3673B">
      <w:pPr>
        <w:numPr>
          <w:ilvl w:val="0"/>
          <w:numId w:val="2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部门整体支出绩效自评结果拟应用和公开情况</w:t>
      </w:r>
      <w:proofErr w:type="spellEnd"/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1.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通过对部门整体支出绩效自评结果的分析和应用，了解部门工作完成情况，针对发现的问题和瓶颈，适时地调整工作方向，提高整个部门的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绩效水平。另外，借助绩效自评结果，进行绩效考核和激励，创造更好的工作氛围和激励机制。</w:t>
      </w:r>
    </w:p>
    <w:p w:rsidR="006B5FE0" w:rsidRDefault="00E3673B">
      <w:pPr>
        <w:widowControl w:val="0"/>
        <w:kinsoku/>
        <w:autoSpaceDE/>
        <w:autoSpaceDN/>
        <w:adjustRightInd/>
        <w:ind w:firstLineChars="200" w:firstLine="600"/>
        <w:jc w:val="both"/>
        <w:textAlignment w:val="auto"/>
        <w:rPr>
          <w:rFonts w:ascii="仿宋" w:eastAsia="仿宋" w:hAnsi="仿宋" w:cs="仿宋"/>
          <w:snapToGrid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2.</w:t>
      </w:r>
      <w:r>
        <w:rPr>
          <w:rFonts w:ascii="仿宋" w:eastAsia="仿宋" w:hAnsi="仿宋" w:cs="仿宋" w:hint="eastAsia"/>
          <w:snapToGrid/>
          <w:sz w:val="30"/>
          <w:szCs w:val="30"/>
          <w:lang w:eastAsia="zh-CN"/>
        </w:rPr>
        <w:t>适时公开部门整体支出绩效自评结果，让教职工了解我部门的绩效评价标准和结果，有利于建立公平公正的绩效考核制度，激发教职工的工作热情和积极性，提高整体绩效水平。</w:t>
      </w:r>
    </w:p>
    <w:p w:rsidR="006B5FE0" w:rsidRDefault="00E3673B">
      <w:pPr>
        <w:spacing w:before="219" w:line="221" w:lineRule="auto"/>
        <w:ind w:left="644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</w:p>
    <w:p w:rsidR="006B5FE0" w:rsidRDefault="006B5FE0">
      <w:pPr>
        <w:spacing w:line="221" w:lineRule="auto"/>
        <w:rPr>
          <w:rFonts w:ascii="黑体" w:eastAsia="黑体" w:hAnsi="黑体" w:cs="黑体"/>
          <w:sz w:val="31"/>
          <w:szCs w:val="31"/>
        </w:rPr>
      </w:pPr>
    </w:p>
    <w:p w:rsidR="006B5FE0" w:rsidRDefault="00E3673B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spacing w:val="3"/>
          <w:sz w:val="31"/>
          <w:szCs w:val="31"/>
          <w:lang w:eastAsia="zh-CN"/>
        </w:rPr>
        <w:t>无。</w:t>
      </w:r>
    </w:p>
    <w:p w:rsidR="006B5FE0" w:rsidRDefault="006B5FE0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</w:p>
    <w:p w:rsidR="006B5FE0" w:rsidRDefault="006B5FE0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</w:p>
    <w:p w:rsidR="006B5FE0" w:rsidRDefault="006B5FE0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</w:p>
    <w:p w:rsidR="006B5FE0" w:rsidRDefault="006B5FE0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</w:p>
    <w:p w:rsidR="006B5FE0" w:rsidRDefault="006B5FE0" w:rsidP="005D4FCB">
      <w:pPr>
        <w:spacing w:line="221" w:lineRule="auto"/>
        <w:ind w:firstLineChars="200" w:firstLine="626"/>
        <w:rPr>
          <w:rFonts w:ascii="仿宋" w:eastAsia="仿宋" w:hAnsi="仿宋" w:cs="仿宋"/>
          <w:spacing w:val="3"/>
          <w:sz w:val="31"/>
          <w:szCs w:val="31"/>
          <w:lang w:eastAsia="zh-CN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 w:hint="eastAsia"/>
          <w:spacing w:val="4"/>
          <w:sz w:val="30"/>
          <w:szCs w:val="30"/>
          <w:lang w:eastAsia="zh-CN"/>
        </w:rPr>
      </w:pPr>
    </w:p>
    <w:p w:rsidR="005D4FCB" w:rsidRDefault="005D4FCB">
      <w:pPr>
        <w:spacing w:before="239" w:line="221" w:lineRule="auto"/>
        <w:ind w:left="384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E3673B">
      <w:pPr>
        <w:spacing w:before="239" w:line="221" w:lineRule="auto"/>
        <w:rPr>
          <w:rFonts w:ascii="仿宋" w:eastAsia="仿宋" w:hAnsi="仿宋" w:cs="仿宋"/>
          <w:spacing w:val="17"/>
          <w:sz w:val="30"/>
          <w:szCs w:val="30"/>
          <w:lang w:eastAsia="zh-CN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lastRenderedPageBreak/>
        <w:t>附件</w:t>
      </w:r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t>1</w:t>
      </w:r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t>：</w:t>
      </w:r>
    </w:p>
    <w:tbl>
      <w:tblPr>
        <w:tblW w:w="8120" w:type="dxa"/>
        <w:tblInd w:w="93" w:type="dxa"/>
        <w:tblLook w:val="04A0"/>
      </w:tblPr>
      <w:tblGrid>
        <w:gridCol w:w="3006"/>
        <w:gridCol w:w="940"/>
        <w:gridCol w:w="865"/>
        <w:gridCol w:w="1120"/>
        <w:gridCol w:w="779"/>
        <w:gridCol w:w="730"/>
        <w:gridCol w:w="681"/>
      </w:tblGrid>
      <w:tr w:rsidR="006B5FE0">
        <w:trPr>
          <w:trHeight w:val="512"/>
        </w:trPr>
        <w:tc>
          <w:tcPr>
            <w:tcW w:w="81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40"/>
                <w:szCs w:val="40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40"/>
                <w:szCs w:val="40"/>
                <w:lang w:eastAsia="zh-CN"/>
              </w:rPr>
              <w:t>年度部门整体支出绩效评价基础</w:t>
            </w:r>
          </w:p>
        </w:tc>
      </w:tr>
      <w:tr w:rsidR="006B5FE0">
        <w:trPr>
          <w:trHeight w:val="36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财政供养人员情况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编制数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年实际在职人数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控制率</w:t>
            </w:r>
          </w:p>
        </w:tc>
      </w:tr>
      <w:tr w:rsidR="006B5FE0">
        <w:trPr>
          <w:trHeight w:val="36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100%</w:t>
            </w:r>
          </w:p>
        </w:tc>
      </w:tr>
      <w:tr w:rsidR="006B5FE0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经费控制情况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年决算数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年预算数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年决算数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三公经费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、公务用车购置和维护经费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其中：公车购置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公车运行维护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、出国经费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、公务接待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项目支出：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276.57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497.75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、业务工作经费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276.57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497.75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、运行维护经费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、本级专项资金（一个专项一行）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公用经费：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448.92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596.12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其中：办公经费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319.71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475.68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水费、电费、差旅费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74.82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60.86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会议费、培训费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54.39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59.58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政府采购金额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591.12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133.22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18.95</w:t>
            </w:r>
          </w:p>
        </w:tc>
      </w:tr>
      <w:tr w:rsidR="006B5FE0">
        <w:trPr>
          <w:trHeight w:val="3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部门基本支出预算调整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689"/>
        </w:trPr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楼堂馆所控制情况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年完工项目）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批复规模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（㎡）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实际规模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预算投资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实际投资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投资概算控制率</w:t>
            </w:r>
          </w:p>
        </w:tc>
      </w:tr>
      <w:tr w:rsidR="006B5FE0">
        <w:trPr>
          <w:trHeight w:val="377"/>
        </w:trPr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厉行节约保障措施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</w:rPr>
      </w:pPr>
    </w:p>
    <w:p w:rsidR="006B5FE0" w:rsidRDefault="006B5FE0">
      <w:pPr>
        <w:spacing w:before="239" w:line="221" w:lineRule="auto"/>
        <w:ind w:left="384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A46FE3" w:rsidRDefault="00A46FE3">
      <w:pPr>
        <w:spacing w:before="239" w:line="221" w:lineRule="auto"/>
        <w:ind w:left="384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A46FE3" w:rsidRDefault="00A46FE3">
      <w:pPr>
        <w:spacing w:before="239" w:line="221" w:lineRule="auto"/>
        <w:ind w:left="384"/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</w:pPr>
    </w:p>
    <w:p w:rsidR="006B5FE0" w:rsidRDefault="00E3673B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lastRenderedPageBreak/>
        <w:t>附件</w:t>
      </w:r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t>2</w:t>
      </w:r>
      <w:r>
        <w:rPr>
          <w:rFonts w:ascii="仿宋" w:eastAsia="仿宋" w:hAnsi="仿宋" w:cs="仿宋" w:hint="eastAsia"/>
          <w:spacing w:val="17"/>
          <w:sz w:val="30"/>
          <w:szCs w:val="30"/>
          <w:lang w:eastAsia="zh-CN"/>
        </w:rPr>
        <w:t>：</w:t>
      </w:r>
    </w:p>
    <w:tbl>
      <w:tblPr>
        <w:tblW w:w="8520" w:type="dxa"/>
        <w:tblInd w:w="93" w:type="dxa"/>
        <w:tblLayout w:type="fixed"/>
        <w:tblLook w:val="04A0"/>
      </w:tblPr>
      <w:tblGrid>
        <w:gridCol w:w="457"/>
        <w:gridCol w:w="506"/>
        <w:gridCol w:w="694"/>
        <w:gridCol w:w="1455"/>
        <w:gridCol w:w="945"/>
        <w:gridCol w:w="825"/>
        <w:gridCol w:w="1537"/>
        <w:gridCol w:w="825"/>
        <w:gridCol w:w="633"/>
        <w:gridCol w:w="643"/>
      </w:tblGrid>
      <w:tr w:rsidR="006B5FE0">
        <w:trPr>
          <w:trHeight w:val="673"/>
        </w:trPr>
        <w:tc>
          <w:tcPr>
            <w:tcW w:w="85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40"/>
                <w:szCs w:val="40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sz w:val="40"/>
                <w:szCs w:val="40"/>
                <w:lang w:eastAsia="zh-CN"/>
              </w:rPr>
              <w:t>年度部门整体支出绩效自评表</w:t>
            </w:r>
          </w:p>
        </w:tc>
      </w:tr>
      <w:tr w:rsidR="006B5FE0">
        <w:trPr>
          <w:trHeight w:val="564"/>
        </w:trPr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预算部门名称</w:t>
            </w:r>
          </w:p>
        </w:tc>
        <w:tc>
          <w:tcPr>
            <w:tcW w:w="6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岳阳县筻口镇中心学校</w:t>
            </w:r>
          </w:p>
        </w:tc>
      </w:tr>
      <w:tr w:rsidR="006B5FE0">
        <w:trPr>
          <w:trHeight w:val="983"/>
        </w:trPr>
        <w:tc>
          <w:tcPr>
            <w:tcW w:w="1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Microsoft YaHei UI" w:hint="eastAsia"/>
                <w:b/>
                <w:bCs/>
                <w:sz w:val="18"/>
                <w:szCs w:val="18"/>
                <w:lang w:eastAsia="zh-CN"/>
              </w:rPr>
              <w:t>年度预算申请</w:t>
            </w:r>
            <w:r>
              <w:rPr>
                <w:rFonts w:ascii="Microsoft YaHei UI" w:eastAsia="Microsoft YaHei UI" w:hAnsi="Microsoft YaHei UI" w:cs="Microsoft YaHei UI" w:hint="eastAsia"/>
                <w:b/>
                <w:bCs/>
                <w:sz w:val="18"/>
                <w:szCs w:val="18"/>
                <w:lang w:eastAsia="zh-CN"/>
              </w:rPr>
              <w:br/>
              <w:t>(</w:t>
            </w:r>
            <w:r>
              <w:rPr>
                <w:rFonts w:ascii="Microsoft YaHei UI" w:eastAsia="Microsoft YaHei UI" w:hAnsi="Microsoft YaHei UI" w:cs="Microsoft YaHei UI" w:hint="eastAsia"/>
                <w:b/>
                <w:bCs/>
                <w:sz w:val="18"/>
                <w:szCs w:val="18"/>
                <w:lang w:eastAsia="zh-CN"/>
              </w:rPr>
              <w:t>万元</w:t>
            </w:r>
            <w:r>
              <w:rPr>
                <w:rFonts w:ascii="Microsoft YaHei UI" w:eastAsia="Microsoft YaHei UI" w:hAnsi="Microsoft YaHei UI" w:cs="Microsoft YaHei UI" w:hint="eastAsia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年初预算数</w:t>
            </w: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br/>
              <w:t>(</w:t>
            </w: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万元</w:t>
            </w: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全年预算数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全年执行数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执行率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得分</w:t>
            </w:r>
          </w:p>
        </w:tc>
      </w:tr>
      <w:tr w:rsidR="006B5FE0">
        <w:trPr>
          <w:trHeight w:val="542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年度资金总额：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1773.66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3725.4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3724.4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8</w:t>
            </w:r>
          </w:p>
        </w:tc>
      </w:tr>
      <w:tr w:rsidR="006B5FE0">
        <w:trPr>
          <w:trHeight w:val="505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按收入性质分：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按支出性质分：</w:t>
            </w:r>
          </w:p>
        </w:tc>
      </w:tr>
      <w:tr w:rsidR="006B5FE0">
        <w:trPr>
          <w:trHeight w:val="740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其中：</w:t>
            </w: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一般公共预算：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3427.56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其中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: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基本支出：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3226.65</w:t>
            </w:r>
          </w:p>
        </w:tc>
      </w:tr>
      <w:tr w:rsidR="006B5FE0">
        <w:trPr>
          <w:trHeight w:val="564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政府性基金拨款：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FE0">
        <w:trPr>
          <w:trHeight w:val="983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纳入专户管理的非税收入拨款：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项目支出：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497.75</w:t>
            </w:r>
          </w:p>
        </w:tc>
      </w:tr>
      <w:tr w:rsidR="006B5FE0">
        <w:trPr>
          <w:trHeight w:val="564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Microsoft YaHei UI" w:eastAsia="Microsoft YaHei UI" w:hAnsi="Microsoft YaHei UI" w:cs="Microsoft YaHei UI"/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其他资金：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  <w:t>296.84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5FE0">
        <w:trPr>
          <w:trHeight w:val="546"/>
        </w:trPr>
        <w:tc>
          <w:tcPr>
            <w:tcW w:w="16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年度总体目标</w:t>
            </w: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预期目标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实际完成情况</w:t>
            </w:r>
          </w:p>
        </w:tc>
      </w:tr>
      <w:tr w:rsidR="006B5FE0">
        <w:trPr>
          <w:trHeight w:val="740"/>
        </w:trPr>
        <w:tc>
          <w:tcPr>
            <w:tcW w:w="16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培养学生素质，推进学生健康成长；强化安全保障，排除安全隐患；提升教育教学质量，确保学校均衡发展。</w:t>
            </w:r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已完成</w:t>
            </w:r>
          </w:p>
        </w:tc>
      </w:tr>
      <w:tr w:rsidR="006B5FE0">
        <w:trPr>
          <w:trHeight w:val="147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绩效指标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二级指标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三级指标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年度指标值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实际完成值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评扣分标准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/>
                <w:b/>
                <w:bCs/>
                <w:sz w:val="18"/>
                <w:szCs w:val="18"/>
                <w:lang w:eastAsia="zh-CN"/>
              </w:rPr>
              <w:t>得分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偏差原因分析及改进措施</w:t>
            </w:r>
          </w:p>
        </w:tc>
      </w:tr>
      <w:tr w:rsidR="006B5FE0">
        <w:trPr>
          <w:trHeight w:val="880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绩效指标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产出指标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安全教育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3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3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91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教师培训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12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12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87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大型活动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2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2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98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培训完成率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049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安全教育率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27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2024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2024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按单位正常运转保障范围符合得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分，基本符合得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3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740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经济效益指标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00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加强教师队伍建设，提高教师专业素养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有所加强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有所加强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8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1-8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434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通过学校的宣传教育，提高全体教职人员及学生的生态保护意识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022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可持续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br/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影响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br/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全面提升学生的知识和素质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1-7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00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学生满意度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98%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98%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满意度达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98%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及以上得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分，少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1%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0.5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02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家长满意度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98%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95%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满意度达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98%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及以上得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分，少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1%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0.5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1808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全年经费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≧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1773.66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3724.4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全年支出等于或小于全年预算数，计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分。如超出预算数，按工作开展实际情况酌情扣分。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854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社会成本指标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提升教育教学质量，促进教育事业发展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有所提升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完成得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分，未达指标值酌情扣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1-10</w:t>
            </w: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983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生态环境成本指标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  <w:lang w:eastAsia="zh-CN"/>
              </w:rPr>
              <w:t>不适用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FE0" w:rsidRDefault="006B5FE0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6B5FE0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6B5FE0">
        <w:trPr>
          <w:trHeight w:val="420"/>
        </w:trPr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6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FE0" w:rsidRDefault="00E3673B">
            <w:pPr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95</w:t>
            </w:r>
          </w:p>
        </w:tc>
      </w:tr>
    </w:tbl>
    <w:p w:rsidR="006B5FE0" w:rsidRDefault="006B5FE0">
      <w:pPr>
        <w:spacing w:before="239" w:line="221" w:lineRule="auto"/>
        <w:ind w:left="384"/>
        <w:rPr>
          <w:rFonts w:ascii="仿宋" w:eastAsia="仿宋" w:hAnsi="仿宋" w:cs="仿宋"/>
          <w:spacing w:val="17"/>
          <w:sz w:val="30"/>
          <w:szCs w:val="30"/>
          <w:lang w:eastAsia="zh-CN"/>
        </w:rPr>
      </w:pPr>
    </w:p>
    <w:sectPr w:rsidR="006B5FE0" w:rsidSect="006B5FE0">
      <w:footerReference w:type="default" r:id="rId8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73B" w:rsidRDefault="00E3673B">
      <w:r>
        <w:separator/>
      </w:r>
    </w:p>
  </w:endnote>
  <w:endnote w:type="continuationSeparator" w:id="0">
    <w:p w:rsidR="00E3673B" w:rsidRDefault="00E36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微软雅黑"/>
    <w:charset w:val="86"/>
    <w:family w:val="auto"/>
    <w:pitch w:val="default"/>
    <w:sig w:usb0="00000000" w:usb1="2ACF3C50" w:usb2="00000016" w:usb3="00000000" w:csb0="0004001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E0" w:rsidRDefault="00E3673B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E0" w:rsidRDefault="00E3673B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73B" w:rsidRDefault="00E3673B">
      <w:r>
        <w:separator/>
      </w:r>
    </w:p>
  </w:footnote>
  <w:footnote w:type="continuationSeparator" w:id="0">
    <w:p w:rsidR="00E3673B" w:rsidRDefault="00E36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8EC9AB"/>
    <w:multiLevelType w:val="singleLevel"/>
    <w:tmpl w:val="C38EC9A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CEB3D4"/>
    <w:multiLevelType w:val="singleLevel"/>
    <w:tmpl w:val="31CEB3D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6B5FE0"/>
    <w:rsid w:val="005D4FCB"/>
    <w:rsid w:val="006B5FE0"/>
    <w:rsid w:val="00A46FE3"/>
    <w:rsid w:val="00E3673B"/>
    <w:rsid w:val="09815806"/>
    <w:rsid w:val="0F0A004B"/>
    <w:rsid w:val="279701D6"/>
    <w:rsid w:val="410447CE"/>
    <w:rsid w:val="60641D55"/>
    <w:rsid w:val="61985493"/>
    <w:rsid w:val="671955B9"/>
    <w:rsid w:val="7DEF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B5FE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6B5FE0"/>
  </w:style>
  <w:style w:type="table" w:customStyle="1" w:styleId="TableNormal">
    <w:name w:val="Table Normal"/>
    <w:semiHidden/>
    <w:unhideWhenUsed/>
    <w:qFormat/>
    <w:rsid w:val="006B5F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2025-05-20T08:21:00Z</dcterms:created>
  <dcterms:modified xsi:type="dcterms:W3CDTF">2025-10-21T08:39:00Z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eyJoZGlkIjoiYTI1ZWRhODIzZjNkMzE5ODI3Y2UwZTM2NjQ3YjE4YjIiLCJ1c2VySWQiOiI1Mzg0MzA5MzAifQ==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82ED3EABC45A4EF4AABA46D416CBCA09_13</vt:lpwstr>
  </property>
</Properties>
</file>