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98F9">
      <w:pPr>
        <w:ind w:firstLine="88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7D919E4F"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年度岳阳县信访局整体支出</w:t>
      </w:r>
    </w:p>
    <w:p w14:paraId="0DAACA55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 w14:paraId="390E6DEA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8B2C04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14CB750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8E9ABF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F35E52E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14A56C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02FCF07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D1F7BB4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2363F1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1FD4197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AEF8B3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FABAFD1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04EFB0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EF687E4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D53F73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60C4A27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9447B0A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71BA495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2190F86E">
      <w:pPr>
        <w:spacing w:before="274" w:line="225" w:lineRule="auto"/>
        <w:ind w:firstLine="617"/>
        <w:jc w:val="center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2025年5月27日</w:t>
      </w:r>
    </w:p>
    <w:p w14:paraId="7F080CED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2C71FC29">
      <w:pPr>
        <w:pStyle w:val="5"/>
        <w:ind w:firstLine="360"/>
        <w:rPr>
          <w:rFonts w:ascii="宋体" w:hAnsi="宋体" w:eastAsia="宋体"/>
          <w:lang w:eastAsia="zh-CN"/>
        </w:rPr>
      </w:pPr>
    </w:p>
    <w:p w14:paraId="3FE8A493">
      <w:pPr>
        <w:pStyle w:val="3"/>
        <w:widowControl/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38"/>
        <w:jc w:val="both"/>
        <w:outlineLvl w:val="9"/>
        <w:rPr>
          <w:b/>
          <w:bCs/>
          <w:spacing w:val="18"/>
          <w:sz w:val="30"/>
          <w:szCs w:val="30"/>
          <w:lang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23E6BE18">
      <w:pPr>
        <w:pStyle w:val="3"/>
        <w:widowControl/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38"/>
        <w:jc w:val="both"/>
        <w:outlineLvl w:val="9"/>
        <w:rPr>
          <w:b/>
          <w:bCs/>
          <w:spacing w:val="18"/>
          <w:sz w:val="30"/>
          <w:szCs w:val="30"/>
          <w:lang w:eastAsia="zh-CN"/>
        </w:rPr>
      </w:pPr>
    </w:p>
    <w:p w14:paraId="40509475">
      <w:pPr>
        <w:pStyle w:val="3"/>
        <w:widowControl/>
        <w:numPr>
          <w:ilvl w:val="0"/>
          <w:numId w:val="1"/>
        </w:numPr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4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 w14:paraId="4F38E44B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outlineLvl w:val="9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6458CD81">
      <w:pPr>
        <w:pStyle w:val="7"/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leftChars="0" w:right="0" w:firstLine="48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1、负责处理人民群众给县委、县政府及其领导同志的来信，接待处理群众来访，受理处理网络信访，为领导同志接待上访群众做好组织服务工作。</w:t>
      </w:r>
    </w:p>
    <w:p w14:paraId="3142117C"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2、承办中央、省、市、县委、县政府交办的信访事项，县乡镇（办事处）、县直各单位交办信访事项，督促检查处理落实情况。</w:t>
      </w:r>
    </w:p>
    <w:p w14:paraId="5615BB81"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3、综合、反映人民群众在信访中提出的重要意见、建议和问题，开展调查研究，为县委、县政府提供信访信息。</w:t>
      </w:r>
    </w:p>
    <w:p w14:paraId="48CEB719"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4、协同有关部门处理跨地区、跨部门的重大信访问题，协调处理群众到市赴省进京上访，协调全县各级党政机关的信访工作。</w:t>
      </w:r>
    </w:p>
    <w:p w14:paraId="159FD290"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5、研究、起草有关信访工作的政策规定;开展信访工作宣传和调研；指导全县信访工作业务，总结推广信访工作经验，提出加强和改进信访工作的意见。</w:t>
      </w:r>
    </w:p>
    <w:p w14:paraId="122BB48C"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6、掌握全县信访工作队伍建设情况，提出加强信访队伍建设的措施，对信访工作中失职、渎职行为提出处理建议，组织信访干部培训，指导信访部门办公自动化建设。</w:t>
      </w:r>
    </w:p>
    <w:p w14:paraId="1E555C55"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7、协助县委、县政府交办的其他事项。</w:t>
      </w:r>
    </w:p>
    <w:p w14:paraId="712303A6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outlineLvl w:val="9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39E5C1F2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岳阳县信访局，现有干部职工1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人，设局长1名，副局长3名。</w:t>
      </w:r>
      <w:r>
        <w:rPr>
          <w:rFonts w:ascii="仿宋" w:hAnsi="仿宋" w:eastAsia="仿宋"/>
          <w:sz w:val="32"/>
          <w:szCs w:val="32"/>
        </w:rPr>
        <w:t>内设办公室、办信网信室、协调督查室、政策法规室4个股室，下设正股级公益一类事业单位——岳阳县人民来访接待中心。</w:t>
      </w:r>
    </w:p>
    <w:p w14:paraId="4E72BE1E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 w14:paraId="66F26CF2">
      <w:pPr>
        <w:pStyle w:val="11"/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3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 w14:paraId="33BD1043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年基本支出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283.72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万元，其中人员经费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172.67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万元，主要包括：基本工资、津贴补贴、奖金、机关事业单位基本养老保险缴费、职工基本医疗保险缴费、公务员医疗补助缴费、其他社会保障缴费、住房公积金、医疗费、其他职工福利支出等；日常公用经费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110.5636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万元，主要包括：办公费、印刷费、咨询费、手续费、水费、电费、邮电费、物业管理费、差旅费、维修（护）费、会议费、培训费、专用材料费、劳务费等，其中三公经费支出0.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4864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万元：因公出国（境）费用0元，公务接待费0.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4864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万元，公务用车运行维护费0元。年初我局制定经费预算时，明确了“三公经费”控制标准。</w:t>
      </w:r>
    </w:p>
    <w:p w14:paraId="75A41CC4">
      <w:pPr>
        <w:pStyle w:val="11"/>
        <w:widowControl/>
        <w:numPr>
          <w:ilvl w:val="0"/>
          <w:numId w:val="2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3"/>
        <w:jc w:val="both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 w14:paraId="0F45CB18">
      <w:pPr>
        <w:pStyle w:val="11"/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年信访局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131.73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万元。主要用于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信访专项业务项目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支出。</w:t>
      </w:r>
    </w:p>
    <w:p w14:paraId="0C876B3C">
      <w:pPr>
        <w:pStyle w:val="11"/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56188E32">
      <w:pPr>
        <w:widowControl/>
        <w:numPr>
          <w:ilvl w:val="0"/>
          <w:numId w:val="3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政府性基金预算支出情况</w:t>
      </w:r>
    </w:p>
    <w:p w14:paraId="2025DC02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政府性基金预算支出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0万元。</w:t>
      </w:r>
    </w:p>
    <w:p w14:paraId="6AB1B508">
      <w:pPr>
        <w:widowControl/>
        <w:numPr>
          <w:ilvl w:val="0"/>
          <w:numId w:val="4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 w14:paraId="47D5A1DE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2023年度国有资本经营预算支出0万元。</w:t>
      </w:r>
    </w:p>
    <w:p w14:paraId="686EC723">
      <w:pPr>
        <w:widowControl/>
        <w:numPr>
          <w:ilvl w:val="0"/>
          <w:numId w:val="5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 w14:paraId="1C2ECC84"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2023年度社会保险基金预算支出0万元。</w:t>
      </w:r>
    </w:p>
    <w:p w14:paraId="477C66D0">
      <w:pPr>
        <w:widowControl/>
        <w:numPr>
          <w:ilvl w:val="0"/>
          <w:numId w:val="6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部门整体支出绩效情况</w:t>
      </w:r>
    </w:p>
    <w:p w14:paraId="276D7CC2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岳阳县信访局在县领导的支持和县财政局的具体指导下，积极推进预算绩效管理工作，不断提高绩效管理工作的质量和水平，提高财政资金的使用效益，取得了较好成效。</w:t>
      </w:r>
    </w:p>
    <w:p w14:paraId="68073100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 w14:paraId="15B46FEC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1、资金支付过程中存在没有对应资金的用途性质使用的情况，主要原因为部分项目资金指标在年中下达，但资金使用可能在上半年就发生了，导致部分资金指标混用。</w:t>
      </w:r>
    </w:p>
    <w:p w14:paraId="7C4E4FF6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预算编制工作有待细化。预算编制不够明确和细化，预算编制的合理性需要提高，预算执行力度还要进一步加强。 </w:t>
      </w:r>
    </w:p>
    <w:p w14:paraId="11A7E20F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、人员素质有待进一步提高。由于预算绩效管理工作开展时间较短，加上缺乏系统的培训，会计人员对预算绩效管理认识不到位、理解不充分，对工作重点把握不到位。</w:t>
      </w:r>
    </w:p>
    <w:p w14:paraId="7F8C640A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八、下一步改进措施</w:t>
      </w:r>
    </w:p>
    <w:p w14:paraId="37F8BF1E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1.细化预算编制工作，认真做好预算的编制。进一步加强单位内部机构各办公室的预算管理意识， 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 </w:t>
      </w:r>
    </w:p>
    <w:p w14:paraId="59014834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2.加强财务管理，严格财务审核。加强单位财务管理，健全单位财务管理制度体系，规范单位财务行为。在费用报账支付时，按照预算规定的费用项目和用途进行资金使用审核、列报支付、财务核算， 杜绝超支现象的发生。 </w:t>
      </w:r>
    </w:p>
    <w:p w14:paraId="4FB05E20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3.对相关人员加强培训，特别是针对《预算法》《行政事业单位会计制度》等学习培训，规范部门预算收支核算，切实提高部门预算收支管理水平。</w:t>
      </w:r>
    </w:p>
    <w:p w14:paraId="0A9AA2DE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九、部门整体支出绩效自评结果拟应用和公开情况</w:t>
      </w:r>
    </w:p>
    <w:p w14:paraId="68B74183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1、我单位逐步建立绩效评价与部门预算相结合的结果应用机制，实行绩效评价结果在部门预算编制和执行中的应用，促进财政资金的合理分配与有效使用。</w:t>
      </w:r>
    </w:p>
    <w:p w14:paraId="4E93D453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2、我单位按规定在政府门户网站公开了绩效自评的相关信息。</w:t>
      </w:r>
    </w:p>
    <w:p w14:paraId="13DCF20E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 w14:paraId="671074B1"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0FAD9087">
      <w:pPr>
        <w:spacing w:line="600" w:lineRule="exact"/>
        <w:ind w:firstLine="640" w:firstLineChars="200"/>
        <w:jc w:val="distribute"/>
        <w:rPr>
          <w:rFonts w:hint="eastAsia" w:eastAsia="仿宋_GB2312"/>
          <w:sz w:val="32"/>
          <w:szCs w:val="32"/>
          <w:lang w:eastAsia="zh-CN"/>
        </w:rPr>
      </w:pPr>
    </w:p>
    <w:p w14:paraId="1F71D20A">
      <w:pPr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</w:p>
    <w:p w14:paraId="711C511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6C30CEB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 w14:paraId="6B17A442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 w14:paraId="498CBA31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 w14:paraId="4BBB61F2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 w14:paraId="4538D00E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 w14:paraId="0D9FB6B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 w14:paraId="3D853949"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</w:p>
    <w:p w14:paraId="06C332C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2D063AC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D42D463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72269F0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ECDB573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0FC301C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DE5973F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4BB9CA7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12F4160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84A494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2C32072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B7A170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A2BC051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年度部门整体支出绩效评价基础</w:t>
      </w:r>
    </w:p>
    <w:p w14:paraId="3ECFD420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p w14:paraId="457A1737">
      <w:pPr>
        <w:spacing w:line="177" w:lineRule="exact"/>
        <w:ind w:firstLine="420"/>
        <w:rPr>
          <w:lang w:eastAsia="zh-CN"/>
        </w:rPr>
      </w:pPr>
    </w:p>
    <w:tbl>
      <w:tblPr>
        <w:tblStyle w:val="8"/>
        <w:tblW w:w="9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7EE7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6C18FA1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财政供养人员情况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人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057642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7B3F138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7357F5AD"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控制率</w:t>
            </w:r>
          </w:p>
        </w:tc>
      </w:tr>
      <w:tr w14:paraId="30A21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1B65DB5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D4B8FB0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 w14:paraId="7FBF2AFB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1983" w:type="dxa"/>
            <w:gridSpan w:val="2"/>
            <w:vAlign w:val="center"/>
          </w:tcPr>
          <w:p w14:paraId="18159E1E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100%</w:t>
            </w:r>
          </w:p>
        </w:tc>
      </w:tr>
      <w:tr w14:paraId="22AEF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3CFF1F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经费控制情况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23D53DD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27F5AE3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1E1538E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</w:tr>
      <w:tr w14:paraId="2A820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4DA9B4E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0949E402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2039" w:type="dxa"/>
            <w:gridSpan w:val="2"/>
            <w:vAlign w:val="center"/>
          </w:tcPr>
          <w:p w14:paraId="22F96873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5220FCF6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0.4864</w:t>
            </w:r>
          </w:p>
        </w:tc>
      </w:tr>
      <w:tr w14:paraId="3C74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0179B2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06747943"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3DECB1B"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2D34479"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231E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9C2480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4A63EC1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58FAFCB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0691FBD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B71C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B0EB2C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7A80CDF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2444F3F6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3175135A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1EB05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4A4213E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2FE446DC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4B1BE39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2F2E4F21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34CC3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0F8B1ED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10FBD5C0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2039" w:type="dxa"/>
            <w:gridSpan w:val="2"/>
            <w:vAlign w:val="center"/>
          </w:tcPr>
          <w:p w14:paraId="5C568E72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3A5DCF5E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0.4864</w:t>
            </w:r>
          </w:p>
        </w:tc>
      </w:tr>
      <w:tr w14:paraId="2F0AA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E55536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11B4523B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52.59</w:t>
            </w:r>
          </w:p>
        </w:tc>
        <w:tc>
          <w:tcPr>
            <w:tcW w:w="2039" w:type="dxa"/>
            <w:gridSpan w:val="2"/>
            <w:vAlign w:val="center"/>
          </w:tcPr>
          <w:p w14:paraId="34940F9C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26.7</w:t>
            </w:r>
          </w:p>
        </w:tc>
        <w:tc>
          <w:tcPr>
            <w:tcW w:w="1983" w:type="dxa"/>
            <w:gridSpan w:val="2"/>
            <w:vAlign w:val="center"/>
          </w:tcPr>
          <w:p w14:paraId="2D7CCE12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131.726</w:t>
            </w:r>
          </w:p>
        </w:tc>
      </w:tr>
      <w:tr w14:paraId="1EB1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86A5AA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hAnsi="宋体" w:eastAsia="仿宋_GB2312" w:cs="宋体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160F26C3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2.59</w:t>
            </w:r>
          </w:p>
        </w:tc>
        <w:tc>
          <w:tcPr>
            <w:tcW w:w="2039" w:type="dxa"/>
            <w:gridSpan w:val="2"/>
            <w:vAlign w:val="center"/>
          </w:tcPr>
          <w:p w14:paraId="0A0A5F74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26.7</w:t>
            </w:r>
          </w:p>
        </w:tc>
        <w:tc>
          <w:tcPr>
            <w:tcW w:w="1983" w:type="dxa"/>
            <w:gridSpan w:val="2"/>
            <w:vAlign w:val="center"/>
          </w:tcPr>
          <w:p w14:paraId="6CD24512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131.726</w:t>
            </w:r>
          </w:p>
        </w:tc>
      </w:tr>
      <w:tr w14:paraId="71DA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51F29A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56F7518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E60C42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07CD56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EDDF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16C71A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30ABE4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E2A074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579371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297DE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3D99A5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5319353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258.07</w:t>
            </w:r>
          </w:p>
        </w:tc>
        <w:tc>
          <w:tcPr>
            <w:tcW w:w="2039" w:type="dxa"/>
            <w:gridSpan w:val="2"/>
            <w:vAlign w:val="center"/>
          </w:tcPr>
          <w:p w14:paraId="5DC4188E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17.1</w:t>
            </w:r>
          </w:p>
        </w:tc>
        <w:tc>
          <w:tcPr>
            <w:tcW w:w="1983" w:type="dxa"/>
            <w:gridSpan w:val="2"/>
            <w:vAlign w:val="center"/>
          </w:tcPr>
          <w:p w14:paraId="55B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223.0878</w:t>
            </w:r>
          </w:p>
        </w:tc>
      </w:tr>
      <w:tr w14:paraId="646B3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9D3F47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42120B23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2039" w:type="dxa"/>
            <w:gridSpan w:val="2"/>
            <w:vAlign w:val="center"/>
          </w:tcPr>
          <w:p w14:paraId="29AEB2DF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16.4</w:t>
            </w:r>
          </w:p>
        </w:tc>
        <w:tc>
          <w:tcPr>
            <w:tcW w:w="1983" w:type="dxa"/>
            <w:gridSpan w:val="2"/>
            <w:vAlign w:val="center"/>
          </w:tcPr>
          <w:p w14:paraId="5501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17.78</w:t>
            </w:r>
          </w:p>
        </w:tc>
      </w:tr>
      <w:tr w14:paraId="21CE4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65E69D6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51B6BEAF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20.38</w:t>
            </w:r>
          </w:p>
        </w:tc>
        <w:tc>
          <w:tcPr>
            <w:tcW w:w="2039" w:type="dxa"/>
            <w:gridSpan w:val="2"/>
            <w:vAlign w:val="center"/>
          </w:tcPr>
          <w:p w14:paraId="727D24E9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AAB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7.58</w:t>
            </w:r>
          </w:p>
        </w:tc>
      </w:tr>
      <w:tr w14:paraId="23E1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90072C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18CCAD4D">
            <w:pPr>
              <w:ind w:firstLine="42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5.67</w:t>
            </w:r>
          </w:p>
        </w:tc>
        <w:tc>
          <w:tcPr>
            <w:tcW w:w="2039" w:type="dxa"/>
            <w:gridSpan w:val="2"/>
            <w:vAlign w:val="center"/>
          </w:tcPr>
          <w:p w14:paraId="12C1FC1B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5E3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0.9134</w:t>
            </w:r>
          </w:p>
        </w:tc>
      </w:tr>
      <w:tr w14:paraId="7BD43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A98E0F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126CA4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A64A0B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78C8F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089C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271" w:type="dxa"/>
            <w:vAlign w:val="center"/>
          </w:tcPr>
          <w:p w14:paraId="353B7D6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625A40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F617D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C8A783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4D3BF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33988A4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2B437BE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楼堂馆所控制情况</w:t>
            </w:r>
          </w:p>
          <w:p w14:paraId="4290DD2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66E0C04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批复规模</w:t>
            </w:r>
            <w:r>
              <w:rPr>
                <w:rFonts w:hint="eastAsia" w:ascii="仿宋_GB2312" w:eastAsia="仿宋_GB2312"/>
              </w:rPr>
              <w:t xml:space="preserve"> 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58" w:type="dxa"/>
            <w:vAlign w:val="center"/>
          </w:tcPr>
          <w:p w14:paraId="7A7C088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实际规模</w:t>
            </w:r>
            <w:r>
              <w:rPr>
                <w:rFonts w:hint="eastAsia" w:ascii="仿宋_GB2312" w:eastAsia="仿宋_GB2312"/>
              </w:rPr>
              <w:t>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60" w:type="dxa"/>
            <w:vAlign w:val="center"/>
          </w:tcPr>
          <w:p w14:paraId="0E0A4A9C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118CAE8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预算投资</w:t>
            </w:r>
          </w:p>
          <w:p w14:paraId="27414BF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9" w:type="dxa"/>
            <w:vAlign w:val="center"/>
          </w:tcPr>
          <w:p w14:paraId="3A44DE04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实际投资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44" w:type="dxa"/>
            <w:vAlign w:val="center"/>
          </w:tcPr>
          <w:p w14:paraId="401808D8">
            <w:pPr>
              <w:ind w:firstLine="42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资概控</w:t>
            </w:r>
          </w:p>
          <w:p w14:paraId="540723FA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制率</w:t>
            </w:r>
          </w:p>
        </w:tc>
      </w:tr>
      <w:tr w14:paraId="58BF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64987A1F">
            <w:pPr>
              <w:pStyle w:val="10"/>
              <w:ind w:firstLine="420"/>
              <w:jc w:val="center"/>
            </w:pPr>
          </w:p>
        </w:tc>
        <w:tc>
          <w:tcPr>
            <w:tcW w:w="1158" w:type="dxa"/>
            <w:vAlign w:val="top"/>
          </w:tcPr>
          <w:p w14:paraId="2D3CF986">
            <w:pPr>
              <w:pStyle w:val="10"/>
              <w:ind w:firstLine="420"/>
              <w:jc w:val="center"/>
            </w:pPr>
          </w:p>
        </w:tc>
        <w:tc>
          <w:tcPr>
            <w:tcW w:w="958" w:type="dxa"/>
            <w:vAlign w:val="top"/>
          </w:tcPr>
          <w:p w14:paraId="4D73811D">
            <w:pPr>
              <w:pStyle w:val="10"/>
              <w:ind w:firstLine="420"/>
              <w:jc w:val="center"/>
            </w:pPr>
          </w:p>
        </w:tc>
        <w:tc>
          <w:tcPr>
            <w:tcW w:w="960" w:type="dxa"/>
            <w:vAlign w:val="top"/>
          </w:tcPr>
          <w:p w14:paraId="1D76EEB6">
            <w:pPr>
              <w:pStyle w:val="10"/>
              <w:ind w:firstLine="420"/>
              <w:jc w:val="center"/>
            </w:pPr>
          </w:p>
        </w:tc>
        <w:tc>
          <w:tcPr>
            <w:tcW w:w="1079" w:type="dxa"/>
            <w:vAlign w:val="top"/>
          </w:tcPr>
          <w:p w14:paraId="7626A16E">
            <w:pPr>
              <w:pStyle w:val="10"/>
              <w:ind w:firstLine="420"/>
              <w:jc w:val="center"/>
            </w:pPr>
          </w:p>
        </w:tc>
        <w:tc>
          <w:tcPr>
            <w:tcW w:w="1039" w:type="dxa"/>
            <w:vAlign w:val="top"/>
          </w:tcPr>
          <w:p w14:paraId="4E7BD84F">
            <w:pPr>
              <w:pStyle w:val="10"/>
              <w:ind w:firstLine="420"/>
              <w:jc w:val="center"/>
            </w:pPr>
          </w:p>
        </w:tc>
        <w:tc>
          <w:tcPr>
            <w:tcW w:w="944" w:type="dxa"/>
            <w:vAlign w:val="top"/>
          </w:tcPr>
          <w:p w14:paraId="61ED3905">
            <w:pPr>
              <w:pStyle w:val="10"/>
              <w:ind w:firstLine="420"/>
              <w:jc w:val="center"/>
            </w:pPr>
          </w:p>
        </w:tc>
      </w:tr>
      <w:tr w14:paraId="51986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top"/>
          </w:tcPr>
          <w:p w14:paraId="645661C1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 w14:paraId="37F050E5">
            <w:pPr>
              <w:pStyle w:val="10"/>
              <w:ind w:firstLine="420"/>
              <w:jc w:val="both"/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严格落实中央八项规定和过“紧日子”相关要求，坚持勤俭节约、反对铺张浪费，细化预算，确保机关运转。</w:t>
            </w:r>
          </w:p>
        </w:tc>
      </w:tr>
    </w:tbl>
    <w:p w14:paraId="3F21F046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0B82515C">
      <w:pPr>
        <w:pStyle w:val="3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张瑜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2025.05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13638409592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单位负责人签字：</w:t>
      </w:r>
    </w:p>
    <w:p w14:paraId="44DA5E7C">
      <w:pPr>
        <w:spacing w:line="228" w:lineRule="auto"/>
        <w:ind w:firstLine="400"/>
        <w:rPr>
          <w:rFonts w:eastAsia="宋体"/>
          <w:sz w:val="20"/>
          <w:szCs w:val="20"/>
          <w:lang w:eastAsia="zh-CN"/>
        </w:rPr>
        <w:sectPr>
          <w:footerReference r:id="rId9" w:type="first"/>
          <w:footerReference r:id="rId7" w:type="default"/>
          <w:footerReference r:id="rId8" w:type="even"/>
          <w:pgSz w:w="11907" w:h="16839"/>
          <w:pgMar w:top="2098" w:right="1474" w:bottom="1985" w:left="1588" w:header="0" w:footer="1588" w:gutter="0"/>
          <w:pgNumType w:fmt="numberInDash" w:start="1"/>
          <w:cols w:space="720" w:num="1"/>
          <w:titlePg/>
          <w:docGrid w:linePitch="286" w:charSpace="0"/>
        </w:sectPr>
      </w:pPr>
    </w:p>
    <w:p w14:paraId="6066111F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14:paraId="39DD774E">
      <w:pPr>
        <w:spacing w:line="237" w:lineRule="exact"/>
        <w:ind w:firstLine="420"/>
        <w:rPr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6929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4F647ACA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10B21AF1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0A635FDA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岳阳县信访局</w:t>
            </w:r>
          </w:p>
        </w:tc>
      </w:tr>
      <w:tr w14:paraId="04E3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5024B679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01092A2E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0A3F03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320F3C7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298" w:type="dxa"/>
            <w:vAlign w:val="center"/>
          </w:tcPr>
          <w:p w14:paraId="61723A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69" w:type="dxa"/>
            <w:vAlign w:val="center"/>
          </w:tcPr>
          <w:p w14:paraId="4E63B09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699" w:type="dxa"/>
            <w:vAlign w:val="center"/>
          </w:tcPr>
          <w:p w14:paraId="78C73AB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4DAFE75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423" w:type="dxa"/>
            <w:vAlign w:val="center"/>
          </w:tcPr>
          <w:p w14:paraId="53A741E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0319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69EE31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9010D2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21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186.15</w:t>
            </w:r>
          </w:p>
        </w:tc>
        <w:tc>
          <w:tcPr>
            <w:tcW w:w="1298" w:type="dxa"/>
            <w:vAlign w:val="center"/>
          </w:tcPr>
          <w:p w14:paraId="63AE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450.94</w:t>
            </w:r>
          </w:p>
        </w:tc>
        <w:tc>
          <w:tcPr>
            <w:tcW w:w="1269" w:type="dxa"/>
            <w:vAlign w:val="center"/>
          </w:tcPr>
          <w:p w14:paraId="052A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415.45</w:t>
            </w:r>
          </w:p>
        </w:tc>
        <w:tc>
          <w:tcPr>
            <w:tcW w:w="699" w:type="dxa"/>
            <w:vAlign w:val="center"/>
          </w:tcPr>
          <w:p w14:paraId="4292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235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92.12%</w:t>
            </w:r>
          </w:p>
        </w:tc>
        <w:tc>
          <w:tcPr>
            <w:tcW w:w="1423" w:type="dxa"/>
            <w:vAlign w:val="center"/>
          </w:tcPr>
          <w:p w14:paraId="5F21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</w:t>
            </w:r>
          </w:p>
        </w:tc>
      </w:tr>
      <w:tr w14:paraId="426E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4D1784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050F89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4EC1E30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61F37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649CD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FDDA7CC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444.84</w:t>
            </w:r>
          </w:p>
        </w:tc>
        <w:tc>
          <w:tcPr>
            <w:tcW w:w="4260" w:type="dxa"/>
            <w:gridSpan w:val="4"/>
            <w:vAlign w:val="center"/>
          </w:tcPr>
          <w:p w14:paraId="4D4B7508">
            <w:pPr>
              <w:ind w:firstLine="420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283.72</w:t>
            </w:r>
          </w:p>
        </w:tc>
      </w:tr>
      <w:tr w14:paraId="4E7F6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B72875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297366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1FACC9B0">
            <w:pPr>
              <w:ind w:firstLine="420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131.73</w:t>
            </w:r>
          </w:p>
        </w:tc>
      </w:tr>
      <w:tr w14:paraId="0052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1D3E5E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8A9B13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49E8C91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1E88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1C15BCE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248F680">
            <w:pPr>
              <w:ind w:firstLine="420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6.1</w:t>
            </w:r>
          </w:p>
        </w:tc>
        <w:tc>
          <w:tcPr>
            <w:tcW w:w="4260" w:type="dxa"/>
            <w:gridSpan w:val="4"/>
            <w:vAlign w:val="center"/>
          </w:tcPr>
          <w:p w14:paraId="3D5BA42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EC29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7BD66F8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547E1F6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1A68CCE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48A7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38F774D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9949FBC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目标1：全年预算申请到位和下达数量在95%以上，三公经费变动率≤0；</w:t>
            </w:r>
          </w:p>
          <w:p w14:paraId="5346023A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目标2：社会效益、经济效益、生态效益、可持续影响和社会公众满意度达到预期目标。</w:t>
            </w:r>
          </w:p>
        </w:tc>
        <w:tc>
          <w:tcPr>
            <w:tcW w:w="4260" w:type="dxa"/>
            <w:gridSpan w:val="4"/>
            <w:vAlign w:val="center"/>
          </w:tcPr>
          <w:p w14:paraId="7C52A814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1：全年预算申请到位和下达数量在95%以上，三公经费变动率≤0；</w:t>
            </w:r>
          </w:p>
          <w:p w14:paraId="5BA40E20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2：社会效益、经济效益、生态效益、可持续影响和社会公众满意度达到预期目标。</w:t>
            </w:r>
          </w:p>
        </w:tc>
      </w:tr>
      <w:tr w14:paraId="40924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6F4D97E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7E32926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 w14:paraId="3821CDB2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408EBFEF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70D6AA89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5B3CE93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556A13E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049ADDD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68F342D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423" w:type="dxa"/>
            <w:vAlign w:val="center"/>
          </w:tcPr>
          <w:p w14:paraId="58E75DE5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270C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FB4E4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B0E57B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3285EB6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C2C4DD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151185A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信访工作联席会议</w:t>
            </w:r>
          </w:p>
        </w:tc>
        <w:tc>
          <w:tcPr>
            <w:tcW w:w="1298" w:type="dxa"/>
            <w:vAlign w:val="center"/>
          </w:tcPr>
          <w:p w14:paraId="3B0E6022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≥5次</w:t>
            </w:r>
          </w:p>
        </w:tc>
        <w:tc>
          <w:tcPr>
            <w:tcW w:w="1269" w:type="dxa"/>
            <w:vAlign w:val="center"/>
          </w:tcPr>
          <w:p w14:paraId="3F576969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组织召开信访工作联席会议不低于5次</w:t>
            </w:r>
          </w:p>
        </w:tc>
        <w:tc>
          <w:tcPr>
            <w:tcW w:w="699" w:type="dxa"/>
            <w:vAlign w:val="center"/>
          </w:tcPr>
          <w:p w14:paraId="70D72FC0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7EC3F944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11858DC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B18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3653C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CD934C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8E858A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0C64931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诉签订息息访协议书</w:t>
            </w:r>
          </w:p>
        </w:tc>
        <w:tc>
          <w:tcPr>
            <w:tcW w:w="1298" w:type="dxa"/>
            <w:vAlign w:val="center"/>
          </w:tcPr>
          <w:p w14:paraId="290878A6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≥30份</w:t>
            </w:r>
          </w:p>
        </w:tc>
        <w:tc>
          <w:tcPr>
            <w:tcW w:w="1269" w:type="dxa"/>
            <w:vAlign w:val="center"/>
          </w:tcPr>
          <w:p w14:paraId="0CF03BE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签订息诉息访协议书达到30份</w:t>
            </w:r>
          </w:p>
        </w:tc>
        <w:tc>
          <w:tcPr>
            <w:tcW w:w="699" w:type="dxa"/>
            <w:vAlign w:val="center"/>
          </w:tcPr>
          <w:p w14:paraId="1F0824D3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2C39415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123722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A02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1819C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25259D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4F2905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6B97989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信访劝返人次</w:t>
            </w:r>
          </w:p>
        </w:tc>
        <w:tc>
          <w:tcPr>
            <w:tcW w:w="1298" w:type="dxa"/>
            <w:vAlign w:val="center"/>
          </w:tcPr>
          <w:p w14:paraId="118DBAE6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≥100人次</w:t>
            </w:r>
          </w:p>
        </w:tc>
        <w:tc>
          <w:tcPr>
            <w:tcW w:w="1269" w:type="dxa"/>
            <w:vAlign w:val="center"/>
          </w:tcPr>
          <w:p w14:paraId="29665D98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信访劝返人次达到100人次</w:t>
            </w:r>
          </w:p>
        </w:tc>
        <w:tc>
          <w:tcPr>
            <w:tcW w:w="699" w:type="dxa"/>
            <w:vAlign w:val="center"/>
          </w:tcPr>
          <w:p w14:paraId="45F5568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0A4EE91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1AE08C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93C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26AC1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6E67F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8E33E6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1651CD4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信访接待群众人数</w:t>
            </w:r>
          </w:p>
        </w:tc>
        <w:tc>
          <w:tcPr>
            <w:tcW w:w="1298" w:type="dxa"/>
            <w:vAlign w:val="center"/>
          </w:tcPr>
          <w:p w14:paraId="1D30CAF8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≥300人次</w:t>
            </w:r>
          </w:p>
        </w:tc>
        <w:tc>
          <w:tcPr>
            <w:tcW w:w="1269" w:type="dxa"/>
            <w:vAlign w:val="center"/>
          </w:tcPr>
          <w:p w14:paraId="27F2152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信访接待群众达到300人次</w:t>
            </w:r>
          </w:p>
        </w:tc>
        <w:tc>
          <w:tcPr>
            <w:tcW w:w="699" w:type="dxa"/>
            <w:vAlign w:val="center"/>
          </w:tcPr>
          <w:p w14:paraId="595BF4C0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68F38EDD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5710C4E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89E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018A0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37763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DBAF638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3B63FC36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接访件交办率</w:t>
            </w:r>
          </w:p>
        </w:tc>
        <w:tc>
          <w:tcPr>
            <w:tcW w:w="1298" w:type="dxa"/>
            <w:vAlign w:val="center"/>
          </w:tcPr>
          <w:p w14:paraId="11598EA3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1269" w:type="dxa"/>
            <w:vAlign w:val="center"/>
          </w:tcPr>
          <w:p w14:paraId="62362D9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2F8FC889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0017D5E6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067C3FE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BC42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62B0B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59F45B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99CF28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64B8BD2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劝返成功率</w:t>
            </w:r>
          </w:p>
        </w:tc>
        <w:tc>
          <w:tcPr>
            <w:tcW w:w="1298" w:type="dxa"/>
            <w:vAlign w:val="center"/>
          </w:tcPr>
          <w:p w14:paraId="32E285C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≥80%</w:t>
            </w:r>
          </w:p>
        </w:tc>
        <w:tc>
          <w:tcPr>
            <w:tcW w:w="1269" w:type="dxa"/>
            <w:vAlign w:val="center"/>
          </w:tcPr>
          <w:p w14:paraId="57F94215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≥80%</w:t>
            </w:r>
          </w:p>
        </w:tc>
        <w:tc>
          <w:tcPr>
            <w:tcW w:w="699" w:type="dxa"/>
            <w:vAlign w:val="center"/>
          </w:tcPr>
          <w:p w14:paraId="5A04FB1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50F66E9B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65D5221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7427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6EBB5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175699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B4ABC5E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72E11B10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访求件答复及时率</w:t>
            </w:r>
          </w:p>
        </w:tc>
        <w:tc>
          <w:tcPr>
            <w:tcW w:w="1298" w:type="dxa"/>
            <w:vAlign w:val="center"/>
          </w:tcPr>
          <w:p w14:paraId="0DB6CD63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1269" w:type="dxa"/>
            <w:vAlign w:val="center"/>
          </w:tcPr>
          <w:p w14:paraId="0A942A00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699" w:type="dxa"/>
            <w:vAlign w:val="center"/>
          </w:tcPr>
          <w:p w14:paraId="75A5B2E3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35FABEB6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115A459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FB5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3A357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35582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715753D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6953FE9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56700B0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4A0222F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551C142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3F2BBAB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31AF694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FF4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CC5B80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57E6C8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9632C4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49" w:type="dxa"/>
            <w:vAlign w:val="center"/>
          </w:tcPr>
          <w:p w14:paraId="5805254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0E2D125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3C82F3B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1E46A0D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077F69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354234A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DC24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3C18D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2B09944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9D4B43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1BA84BC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2822AB5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3402330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0916978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4EC5944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1A54D86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D0C0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839C21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EA423B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82D250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16B6238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73FA3BF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10582CF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20F7DA5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6166213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1B1FC08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7EBE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8177F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05D467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7A924D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15B25AD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79EE964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2B9312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7959AEF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0D97FC5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43C99DF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019D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FF8A2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ED930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08C6E6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7A4A0388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接访事件升级概率</w:t>
            </w:r>
          </w:p>
        </w:tc>
        <w:tc>
          <w:tcPr>
            <w:tcW w:w="1298" w:type="dxa"/>
            <w:vAlign w:val="center"/>
          </w:tcPr>
          <w:p w14:paraId="185067FB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7C5465F7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降低</w:t>
            </w:r>
          </w:p>
        </w:tc>
        <w:tc>
          <w:tcPr>
            <w:tcW w:w="699" w:type="dxa"/>
            <w:vAlign w:val="center"/>
          </w:tcPr>
          <w:p w14:paraId="6A03056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FFF18E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038EC2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B793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AE11DA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1C7DF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7F2E085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01FCC4E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信访积案</w:t>
            </w:r>
          </w:p>
        </w:tc>
        <w:tc>
          <w:tcPr>
            <w:tcW w:w="1298" w:type="dxa"/>
            <w:vAlign w:val="center"/>
          </w:tcPr>
          <w:p w14:paraId="0A581552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13FA4EC1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减少</w:t>
            </w:r>
          </w:p>
        </w:tc>
        <w:tc>
          <w:tcPr>
            <w:tcW w:w="699" w:type="dxa"/>
            <w:vAlign w:val="center"/>
          </w:tcPr>
          <w:p w14:paraId="066F7A44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28CB084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0BE5C8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636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53BDD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F4E54F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927FD1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E91037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276D17A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603D284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61343FC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75F9543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6AEF50D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6E0D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9433B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770A28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B86C80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4250011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390622D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0D24EBF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4BACC9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632284B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21200F9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CBE8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52993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747D3B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953836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2D35498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19B271F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5C88EC4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5216D3D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0679A2C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15FFAE7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70ED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61CA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0C6A84E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7BDC39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392229D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0F91EE4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532439A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3C6BE01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5871800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3CF7CAF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C57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355D7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AFF370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5CB11E5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681B668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6C7E81EA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信访群众满意度</w:t>
            </w:r>
          </w:p>
        </w:tc>
        <w:tc>
          <w:tcPr>
            <w:tcW w:w="1298" w:type="dxa"/>
            <w:vAlign w:val="center"/>
          </w:tcPr>
          <w:p w14:paraId="7DF05306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≥95%</w:t>
            </w:r>
          </w:p>
        </w:tc>
        <w:tc>
          <w:tcPr>
            <w:tcW w:w="1269" w:type="dxa"/>
            <w:vAlign w:val="center"/>
          </w:tcPr>
          <w:p w14:paraId="01FE30DA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信访群众满意度≥95%</w:t>
            </w:r>
          </w:p>
        </w:tc>
        <w:tc>
          <w:tcPr>
            <w:tcW w:w="699" w:type="dxa"/>
            <w:vAlign w:val="center"/>
          </w:tcPr>
          <w:p w14:paraId="114BDB0F"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9C772D7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2ABE4F3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F8C0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B60D5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3607E7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1BF76CD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14:paraId="460AC34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14:paraId="130CF55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14:paraId="1F73FB7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14:paraId="149F6B3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55C64E5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14:paraId="315FDB9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2AD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4" w:type="dxa"/>
            <w:vAlign w:val="center"/>
          </w:tcPr>
          <w:p w14:paraId="103768FA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4B4A6BF5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成本指标</w:t>
            </w:r>
          </w:p>
        </w:tc>
        <w:tc>
          <w:tcPr>
            <w:tcW w:w="1029" w:type="dxa"/>
            <w:vAlign w:val="center"/>
          </w:tcPr>
          <w:p w14:paraId="02B543BE">
            <w:pPr>
              <w:autoSpaceDN w:val="0"/>
              <w:jc w:val="left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宋体" w:eastAsia="仿宋_GB2312" w:cs="宋体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0FF3E994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预算控制数</w:t>
            </w:r>
          </w:p>
        </w:tc>
        <w:tc>
          <w:tcPr>
            <w:tcW w:w="1298" w:type="dxa"/>
            <w:vAlign w:val="center"/>
          </w:tcPr>
          <w:p w14:paraId="7C843065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186.15</w:t>
            </w:r>
          </w:p>
        </w:tc>
        <w:tc>
          <w:tcPr>
            <w:tcW w:w="1269" w:type="dxa"/>
            <w:vAlign w:val="center"/>
          </w:tcPr>
          <w:p w14:paraId="3178CC48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186.15</w:t>
            </w:r>
          </w:p>
        </w:tc>
        <w:tc>
          <w:tcPr>
            <w:tcW w:w="699" w:type="dxa"/>
            <w:vAlign w:val="center"/>
          </w:tcPr>
          <w:p w14:paraId="6E98D6AA"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605D7DF"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8D73EF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380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88" w:type="dxa"/>
            <w:gridSpan w:val="6"/>
            <w:vAlign w:val="center"/>
          </w:tcPr>
          <w:p w14:paraId="128CE79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627909AC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90</w:t>
            </w:r>
          </w:p>
        </w:tc>
        <w:tc>
          <w:tcPr>
            <w:tcW w:w="869" w:type="dxa"/>
            <w:vAlign w:val="center"/>
          </w:tcPr>
          <w:p w14:paraId="73CD4259"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89</w:t>
            </w:r>
          </w:p>
        </w:tc>
        <w:tc>
          <w:tcPr>
            <w:tcW w:w="1423" w:type="dxa"/>
            <w:vAlign w:val="center"/>
          </w:tcPr>
          <w:p w14:paraId="1D4328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3BE648A6">
      <w:pPr>
        <w:pStyle w:val="3"/>
        <w:spacing w:before="65" w:line="228" w:lineRule="auto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张瑜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2025.05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13638409592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单位负责人签字：</w:t>
      </w:r>
    </w:p>
    <w:p w14:paraId="0BBE017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497E0CB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7C879C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E39144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248F5F6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E3A13EB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38D006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1F4194F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686110A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6FA4754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FA0D4CA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8307B7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07EF38B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48F890F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9B2C31D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D35AD7D">
      <w:pPr>
        <w:spacing w:before="114" w:line="219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p w14:paraId="0CE57D8F">
      <w:pPr>
        <w:spacing w:line="220" w:lineRule="exact"/>
        <w:ind w:firstLine="420"/>
        <w:rPr>
          <w:lang w:eastAsia="zh-CN"/>
        </w:rPr>
      </w:pPr>
    </w:p>
    <w:tbl>
      <w:tblPr>
        <w:tblStyle w:val="8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 w14:paraId="2D7E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vAlign w:val="center"/>
          </w:tcPr>
          <w:p w14:paraId="29B6375E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</w:t>
            </w:r>
          </w:p>
          <w:p w14:paraId="55A10DBB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指标</w:t>
            </w:r>
          </w:p>
        </w:tc>
        <w:tc>
          <w:tcPr>
            <w:tcW w:w="1157" w:type="dxa"/>
            <w:vAlign w:val="center"/>
          </w:tcPr>
          <w:p w14:paraId="5C3BBB7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957" w:type="dxa"/>
            <w:vAlign w:val="center"/>
          </w:tcPr>
          <w:p w14:paraId="126C183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 w14:paraId="7326053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 w14:paraId="77E20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0A0FAB83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4DD380BD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 w14:paraId="78A6B22E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 w14:paraId="18584C8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16F96A8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59617D4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 w14:paraId="44CD391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5B36681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69930B74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7DA22E32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 w14:paraId="736F3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1F58D82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6DB572D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65EE1C7F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1DBF08D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 w14:paraId="38010127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 w14:paraId="4CFD4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00F3831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251B0E9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 w14:paraId="21EF2E8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 w14:paraId="00BA274D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0F92BC4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78F2334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</w:p>
          <w:p w14:paraId="1C229E8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6F4E77F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6F9F8F1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 w14:paraId="55D2C333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 w14:paraId="7D12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3983667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032C623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</w:p>
          <w:p w14:paraId="6E9E0E1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75711A83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6861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10D37721"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 w14:paraId="326394A5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 w14:paraId="6946E315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 w14:paraId="0BDECCA2"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 w14:paraId="4AEA8A0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010E7063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</w:p>
          <w:p w14:paraId="000B0F0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67E1CC3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 w14:paraId="4A917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431AA2E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2B48C7F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224E14B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47E188B2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 w14:paraId="3C9901C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 w14:paraId="12B3E4C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1DBAA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36F0AA2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778A9B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7622428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5F06846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 w14:paraId="42C73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400C301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10212F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</w:p>
          <w:p w14:paraId="574AF5E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5E2D160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 w14:paraId="48543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vAlign w:val="center"/>
          </w:tcPr>
          <w:p w14:paraId="5FB0E77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57" w:type="dxa"/>
            <w:vAlign w:val="center"/>
          </w:tcPr>
          <w:p w14:paraId="0297086A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 w14:paraId="6A201F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2C180B1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10" w:type="default"/>
      <w:footerReference r:id="rId11" w:type="even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B346"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- 3 -</w:t>
    </w:r>
    <w:r>
      <w:rPr>
        <w:rFonts w:ascii="宋体" w:hAnsi="宋体" w:eastAsia="宋体"/>
        <w:sz w:val="28"/>
        <w:szCs w:val="28"/>
      </w:rPr>
      <w:fldChar w:fldCharType="end"/>
    </w:r>
  </w:p>
  <w:p w14:paraId="1A67C5A9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E749">
    <w:pPr>
      <w:pStyle w:val="5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46140C67">
    <w:pPr>
      <w:pStyle w:val="5"/>
      <w:rPr>
        <w:rFonts w:eastAsia="宋体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85443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B945E"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1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71E001E">
                <w:pPr>
                  <w:pStyle w:val="5"/>
                  <w:jc w:val="right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7A42B6C1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7160">
    <w:pPr>
      <w:pStyle w:val="5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2" o:spid="_x0000_s2051" o:spt="202" type="#_x0000_t202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4556FC6">
                <w:pPr>
                  <w:pStyle w:val="5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70DCF0FD">
    <w:pPr>
      <w:pStyle w:val="5"/>
      <w:rPr>
        <w:rFonts w:eastAsia="宋体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F3E9">
    <w:pPr>
      <w:pStyle w:val="5"/>
    </w:pPr>
    <w:r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  <w:pict>
        <v:shape id="文本框13" o:spid="_x0000_s2049" o:spt="202" type="#_x0000_t202" style="position:absolute;left:0pt;margin-top:0pt;height:144pt;width:144pt;mso-position-horizontal:center;mso-position-horizontal-relative:margin;mso-wrap-style:none;z-index:251661312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77A94A7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7E9B3"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4" o:spid="_x0000_s2052" o:spt="202" type="#_x0000_t202" style="position:absolute;left:0pt;margin-top:0pt;height:144pt;width:144pt;mso-position-horizontal:center;mso-position-horizontal-relative:margin;mso-wrap-style:none;z-index:251662336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57EFE2B">
                <w:pPr>
                  <w:pStyle w:val="5"/>
                  <w:jc w:val="right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- 9 -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41478FD8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6D9E">
    <w:pPr>
      <w:pStyle w:val="5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5" o:spid="_x0000_s2053" o:spt="202" type="#_x0000_t202" style="position:absolute;left:0pt;margin-top:0pt;height:144pt;width:144pt;mso-position-horizontal:center;mso-position-horizontal-relative:margin;mso-wrap-style:none;z-index:25166336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64B5806">
                <w:pPr>
                  <w:pStyle w:val="5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- 10 -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4217C7B3">
    <w:pPr>
      <w:pStyle w:val="5"/>
      <w:rPr>
        <w:rFonts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2845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9148C"/>
    <w:multiLevelType w:val="singleLevel"/>
    <w:tmpl w:val="6669148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6691ACB"/>
    <w:multiLevelType w:val="singleLevel"/>
    <w:tmpl w:val="66691ACB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6691C12"/>
    <w:multiLevelType w:val="singleLevel"/>
    <w:tmpl w:val="66691C12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66691C28"/>
    <w:multiLevelType w:val="singleLevel"/>
    <w:tmpl w:val="66691C28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66691C3F"/>
    <w:multiLevelType w:val="singleLevel"/>
    <w:tmpl w:val="66691C3F"/>
    <w:lvl w:ilvl="0" w:tentative="0">
      <w:start w:val="5"/>
      <w:numFmt w:val="chineseCounting"/>
      <w:suff w:val="nothing"/>
      <w:lvlText w:val="%1、"/>
      <w:lvlJc w:val="left"/>
    </w:lvl>
  </w:abstractNum>
  <w:abstractNum w:abstractNumId="5">
    <w:nsid w:val="66691C6E"/>
    <w:multiLevelType w:val="singleLevel"/>
    <w:tmpl w:val="66691C6E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D4D4CF4"/>
    <w:rsid w:val="39992565"/>
    <w:rsid w:val="636522D0"/>
    <w:rsid w:val="7F730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Table Text"/>
    <w:basedOn w:val="1"/>
    <w:semiHidden/>
    <w:qFormat/>
    <w:uiPriority w:val="0"/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脚 Char"/>
    <w:basedOn w:val="9"/>
    <w:link w:val="5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51" textRotate="1"/>
    <customShpInfo spid="_x0000_s2049" textRotate="1"/>
    <customShpInfo spid="_x0000_s2052" textRotate="1"/>
    <customShpInfo spid="_x0000_s205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48</Words>
  <Characters>55</Characters>
  <Lines>42</Lines>
  <Paragraphs>11</Paragraphs>
  <TotalTime>20</TotalTime>
  <ScaleCrop>false</ScaleCrop>
  <LinksUpToDate>false</LinksUpToDate>
  <CharactersWithSpaces>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梁袁</cp:lastModifiedBy>
  <cp:lastPrinted>2024-06-12T07:08:00Z</cp:lastPrinted>
  <dcterms:modified xsi:type="dcterms:W3CDTF">2025-05-27T07:15:59Z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2024-03-21T15:29:00Z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2052-12.1.0.20784</vt:lpwstr>
  </property>
  <property fmtid="{D5CDD505-2E9C-101B-9397-08002B2CF9AE}" pid="6" name="ICV">
    <vt:lpwstr>7863570836064237B5B0EE3419BAB8E8_13</vt:lpwstr>
  </property>
  <property fmtid="{D5CDD505-2E9C-101B-9397-08002B2CF9AE}" pid="7" name="KSOTemplateDocerSaveRecord">
    <vt:lpwstr>eyJoZGlkIjoiYjI1NGQ3OTg1NGZlYWM2OTJkZTUwYzZmMjkwMTViYjciLCJ1c2VySWQiOiIxNjYwOTA0MTM0In0=</vt:lpwstr>
  </property>
</Properties>
</file>