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E302A">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4</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val="en-US" w:eastAsia="zh-CN"/>
        </w:rPr>
        <w:t>岳阳县总工</w:t>
      </w:r>
      <w:bookmarkStart w:id="1" w:name="_GoBack"/>
      <w:bookmarkEnd w:id="1"/>
      <w:r>
        <w:rPr>
          <w:rFonts w:hint="eastAsia" w:ascii="方正小标宋简体" w:eastAsia="方正小标宋简体"/>
          <w:sz w:val="44"/>
          <w:szCs w:val="44"/>
          <w:lang w:val="en-US" w:eastAsia="zh-CN"/>
        </w:rPr>
        <w:t>会</w:t>
      </w:r>
      <w:r>
        <w:rPr>
          <w:rFonts w:hint="eastAsia" w:ascii="方正小标宋简体" w:hAnsi="宋体" w:eastAsia="方正小标宋简体" w:cs="宋体"/>
          <w:sz w:val="44"/>
          <w:szCs w:val="44"/>
          <w:lang w:eastAsia="zh-CN"/>
        </w:rPr>
        <w:t>整体支出</w:t>
      </w:r>
    </w:p>
    <w:p w14:paraId="1CB6681A">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6BFC6208">
      <w:pPr>
        <w:pStyle w:val="2"/>
        <w:spacing w:before="78" w:line="221" w:lineRule="auto"/>
        <w:ind w:firstLine="587"/>
        <w:jc w:val="center"/>
        <w:rPr>
          <w:rFonts w:ascii="楷体_GB2312" w:eastAsia="楷体_GB2312"/>
          <w:b/>
          <w:bCs/>
          <w:spacing w:val="-28"/>
          <w:sz w:val="32"/>
          <w:szCs w:val="32"/>
          <w:lang w:eastAsia="zh-CN"/>
        </w:rPr>
      </w:pPr>
    </w:p>
    <w:p w14:paraId="1EBD5E83">
      <w:pPr>
        <w:pStyle w:val="2"/>
        <w:spacing w:before="78" w:line="221" w:lineRule="auto"/>
        <w:ind w:firstLine="587"/>
        <w:jc w:val="center"/>
        <w:rPr>
          <w:rFonts w:ascii="楷体_GB2312" w:eastAsia="楷体_GB2312"/>
          <w:b/>
          <w:bCs/>
          <w:spacing w:val="-28"/>
          <w:sz w:val="32"/>
          <w:szCs w:val="32"/>
          <w:lang w:eastAsia="zh-CN"/>
        </w:rPr>
      </w:pPr>
    </w:p>
    <w:p w14:paraId="01DF1BC8">
      <w:pPr>
        <w:pStyle w:val="2"/>
        <w:spacing w:before="78" w:line="221" w:lineRule="auto"/>
        <w:ind w:firstLine="587"/>
        <w:jc w:val="center"/>
        <w:rPr>
          <w:rFonts w:ascii="楷体_GB2312" w:eastAsia="楷体_GB2312"/>
          <w:b/>
          <w:bCs/>
          <w:spacing w:val="-28"/>
          <w:sz w:val="32"/>
          <w:szCs w:val="32"/>
          <w:lang w:eastAsia="zh-CN"/>
        </w:rPr>
      </w:pPr>
    </w:p>
    <w:p w14:paraId="77C08E66">
      <w:pPr>
        <w:pStyle w:val="2"/>
        <w:spacing w:before="78" w:line="221" w:lineRule="auto"/>
        <w:ind w:firstLine="587"/>
        <w:jc w:val="center"/>
        <w:rPr>
          <w:rFonts w:ascii="楷体_GB2312" w:eastAsia="楷体_GB2312"/>
          <w:b/>
          <w:bCs/>
          <w:spacing w:val="-28"/>
          <w:sz w:val="32"/>
          <w:szCs w:val="32"/>
          <w:lang w:eastAsia="zh-CN"/>
        </w:rPr>
      </w:pPr>
    </w:p>
    <w:p w14:paraId="37552FC1">
      <w:pPr>
        <w:pStyle w:val="2"/>
        <w:spacing w:before="78" w:line="221" w:lineRule="auto"/>
        <w:ind w:firstLine="587"/>
        <w:jc w:val="center"/>
        <w:rPr>
          <w:rFonts w:ascii="楷体_GB2312" w:eastAsia="楷体_GB2312"/>
          <w:b/>
          <w:bCs/>
          <w:spacing w:val="-28"/>
          <w:sz w:val="32"/>
          <w:szCs w:val="32"/>
          <w:lang w:eastAsia="zh-CN"/>
        </w:rPr>
      </w:pPr>
    </w:p>
    <w:p w14:paraId="2A8F1097">
      <w:pPr>
        <w:pStyle w:val="2"/>
        <w:spacing w:before="78" w:line="221" w:lineRule="auto"/>
        <w:ind w:firstLine="587"/>
        <w:jc w:val="center"/>
        <w:rPr>
          <w:rFonts w:ascii="楷体_GB2312" w:eastAsia="楷体_GB2312"/>
          <w:b/>
          <w:bCs/>
          <w:spacing w:val="-28"/>
          <w:sz w:val="32"/>
          <w:szCs w:val="32"/>
          <w:lang w:eastAsia="zh-CN"/>
        </w:rPr>
      </w:pPr>
    </w:p>
    <w:p w14:paraId="7605D6D1">
      <w:pPr>
        <w:pStyle w:val="2"/>
        <w:spacing w:before="78" w:line="221" w:lineRule="auto"/>
        <w:ind w:firstLine="587"/>
        <w:jc w:val="center"/>
        <w:rPr>
          <w:rFonts w:ascii="楷体_GB2312" w:eastAsia="楷体_GB2312"/>
          <w:b/>
          <w:bCs/>
          <w:spacing w:val="-28"/>
          <w:sz w:val="32"/>
          <w:szCs w:val="32"/>
          <w:lang w:eastAsia="zh-CN"/>
        </w:rPr>
      </w:pPr>
    </w:p>
    <w:p w14:paraId="441DC408">
      <w:pPr>
        <w:pStyle w:val="2"/>
        <w:spacing w:before="78" w:line="221" w:lineRule="auto"/>
        <w:ind w:firstLine="587"/>
        <w:jc w:val="center"/>
        <w:rPr>
          <w:rFonts w:ascii="楷体_GB2312" w:eastAsia="楷体_GB2312"/>
          <w:b/>
          <w:bCs/>
          <w:spacing w:val="-28"/>
          <w:sz w:val="32"/>
          <w:szCs w:val="32"/>
          <w:lang w:eastAsia="zh-CN"/>
        </w:rPr>
      </w:pPr>
    </w:p>
    <w:p w14:paraId="0793F76F">
      <w:pPr>
        <w:pStyle w:val="2"/>
        <w:spacing w:before="78" w:line="221" w:lineRule="auto"/>
        <w:ind w:firstLine="587"/>
        <w:jc w:val="center"/>
        <w:rPr>
          <w:rFonts w:ascii="楷体_GB2312" w:eastAsia="楷体_GB2312"/>
          <w:b/>
          <w:bCs/>
          <w:spacing w:val="-28"/>
          <w:sz w:val="32"/>
          <w:szCs w:val="32"/>
          <w:lang w:eastAsia="zh-CN"/>
        </w:rPr>
      </w:pPr>
    </w:p>
    <w:p w14:paraId="60EA1905">
      <w:pPr>
        <w:pStyle w:val="2"/>
        <w:spacing w:before="78" w:line="221" w:lineRule="auto"/>
        <w:ind w:firstLine="587"/>
        <w:jc w:val="center"/>
        <w:rPr>
          <w:rFonts w:ascii="楷体_GB2312" w:eastAsia="楷体_GB2312"/>
          <w:b/>
          <w:bCs/>
          <w:spacing w:val="-28"/>
          <w:sz w:val="32"/>
          <w:szCs w:val="32"/>
          <w:lang w:eastAsia="zh-CN"/>
        </w:rPr>
      </w:pPr>
    </w:p>
    <w:p w14:paraId="60522958">
      <w:pPr>
        <w:pStyle w:val="2"/>
        <w:spacing w:before="78" w:line="221" w:lineRule="auto"/>
        <w:ind w:firstLine="587"/>
        <w:jc w:val="center"/>
        <w:rPr>
          <w:rFonts w:ascii="楷体_GB2312" w:eastAsia="楷体_GB2312"/>
          <w:b/>
          <w:bCs/>
          <w:spacing w:val="-28"/>
          <w:sz w:val="32"/>
          <w:szCs w:val="32"/>
          <w:lang w:eastAsia="zh-CN"/>
        </w:rPr>
      </w:pPr>
    </w:p>
    <w:p w14:paraId="09501B74">
      <w:pPr>
        <w:pStyle w:val="2"/>
        <w:spacing w:before="78" w:line="221" w:lineRule="auto"/>
        <w:ind w:firstLine="587"/>
        <w:jc w:val="center"/>
        <w:rPr>
          <w:rFonts w:ascii="楷体_GB2312" w:eastAsia="楷体_GB2312"/>
          <w:b/>
          <w:bCs/>
          <w:spacing w:val="-28"/>
          <w:sz w:val="32"/>
          <w:szCs w:val="32"/>
          <w:lang w:eastAsia="zh-CN"/>
        </w:rPr>
      </w:pPr>
    </w:p>
    <w:p w14:paraId="72C9EE04">
      <w:pPr>
        <w:pStyle w:val="2"/>
        <w:spacing w:before="78" w:line="221" w:lineRule="auto"/>
        <w:ind w:firstLine="587"/>
        <w:jc w:val="center"/>
        <w:rPr>
          <w:rFonts w:ascii="楷体_GB2312" w:eastAsia="楷体_GB2312"/>
          <w:b/>
          <w:bCs/>
          <w:spacing w:val="-28"/>
          <w:sz w:val="32"/>
          <w:szCs w:val="32"/>
          <w:lang w:eastAsia="zh-CN"/>
        </w:rPr>
      </w:pPr>
    </w:p>
    <w:p w14:paraId="74B82AE5">
      <w:pPr>
        <w:pStyle w:val="2"/>
        <w:spacing w:before="78" w:line="221" w:lineRule="auto"/>
        <w:ind w:firstLine="587"/>
        <w:jc w:val="center"/>
        <w:rPr>
          <w:rFonts w:ascii="楷体_GB2312" w:eastAsia="楷体_GB2312"/>
          <w:b/>
          <w:bCs/>
          <w:spacing w:val="-28"/>
          <w:sz w:val="32"/>
          <w:szCs w:val="32"/>
          <w:lang w:eastAsia="zh-CN"/>
        </w:rPr>
      </w:pPr>
    </w:p>
    <w:p w14:paraId="63CEEAD3">
      <w:pPr>
        <w:pStyle w:val="2"/>
        <w:spacing w:before="78" w:line="221" w:lineRule="auto"/>
        <w:ind w:firstLine="587"/>
        <w:jc w:val="center"/>
        <w:rPr>
          <w:rFonts w:ascii="楷体_GB2312" w:eastAsia="楷体_GB2312"/>
          <w:b/>
          <w:bCs/>
          <w:spacing w:val="-28"/>
          <w:sz w:val="32"/>
          <w:szCs w:val="32"/>
          <w:lang w:eastAsia="zh-CN"/>
        </w:rPr>
      </w:pPr>
    </w:p>
    <w:p w14:paraId="33799E16">
      <w:pPr>
        <w:pStyle w:val="2"/>
        <w:spacing w:before="78" w:line="221" w:lineRule="auto"/>
        <w:ind w:firstLine="587"/>
        <w:jc w:val="center"/>
        <w:rPr>
          <w:rFonts w:ascii="楷体_GB2312" w:eastAsia="楷体_GB2312"/>
          <w:b/>
          <w:bCs/>
          <w:spacing w:val="-28"/>
          <w:sz w:val="32"/>
          <w:szCs w:val="32"/>
          <w:lang w:eastAsia="zh-CN"/>
        </w:rPr>
      </w:pPr>
    </w:p>
    <w:p w14:paraId="550A6E2F">
      <w:pPr>
        <w:pStyle w:val="2"/>
        <w:spacing w:before="78" w:line="221" w:lineRule="auto"/>
        <w:ind w:firstLine="587"/>
        <w:jc w:val="center"/>
        <w:rPr>
          <w:rFonts w:ascii="楷体_GB2312" w:eastAsia="楷体_GB2312"/>
          <w:b/>
          <w:bCs/>
          <w:spacing w:val="-28"/>
          <w:sz w:val="32"/>
          <w:szCs w:val="32"/>
          <w:lang w:eastAsia="zh-CN"/>
        </w:rPr>
      </w:pPr>
    </w:p>
    <w:p w14:paraId="2B3C2A34">
      <w:pPr>
        <w:pStyle w:val="2"/>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6A4C3D1E">
      <w:pPr>
        <w:spacing w:before="274" w:line="225" w:lineRule="auto"/>
        <w:ind w:firstLine="617"/>
        <w:jc w:val="center"/>
        <w:rPr>
          <w:rFonts w:hint="eastAsia" w:ascii="楷体_GB2312" w:hAnsi="楷体" w:eastAsia="楷体_GB2312" w:cs="楷体"/>
          <w:b/>
          <w:bCs/>
          <w:spacing w:val="-13"/>
          <w:sz w:val="32"/>
          <w:szCs w:val="32"/>
          <w:lang w:eastAsia="zh-CN"/>
        </w:rPr>
      </w:pPr>
      <w:r>
        <w:rPr>
          <w:rFonts w:hint="eastAsia" w:ascii="楷体_GB2312" w:hAnsi="楷体" w:eastAsia="楷体_GB2312" w:cs="楷体"/>
          <w:b/>
          <w:bCs/>
          <w:spacing w:val="-13"/>
          <w:sz w:val="32"/>
          <w:szCs w:val="32"/>
          <w:lang w:val="en-US" w:eastAsia="zh-CN"/>
        </w:rPr>
        <w:t xml:space="preserve">2025 </w:t>
      </w: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b/>
          <w:bCs/>
          <w:spacing w:val="-13"/>
          <w:sz w:val="32"/>
          <w:szCs w:val="32"/>
          <w:lang w:val="en-US" w:eastAsia="zh-CN"/>
        </w:rPr>
        <w:t xml:space="preserve">05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20</w:t>
      </w:r>
      <w:r>
        <w:rPr>
          <w:rFonts w:hint="eastAsia" w:ascii="楷体_GB2312" w:hAnsi="楷体" w:eastAsia="楷体_GB2312" w:cs="楷体"/>
          <w:spacing w:val="-13"/>
          <w:sz w:val="32"/>
          <w:szCs w:val="32"/>
          <w:lang w:eastAsia="zh-CN"/>
        </w:rPr>
        <w:t xml:space="preserve"> </w:t>
      </w:r>
      <w:r>
        <w:rPr>
          <w:rFonts w:hint="eastAsia" w:ascii="楷体_GB2312" w:hAnsi="楷体" w:eastAsia="楷体_GB2312" w:cs="楷体"/>
          <w:b/>
          <w:bCs/>
          <w:spacing w:val="-13"/>
          <w:sz w:val="32"/>
          <w:szCs w:val="32"/>
          <w:lang w:eastAsia="zh-CN"/>
        </w:rPr>
        <w:t>日</w:t>
      </w:r>
    </w:p>
    <w:p w14:paraId="7A7A5500">
      <w:pPr>
        <w:spacing w:before="274" w:line="225" w:lineRule="auto"/>
        <w:ind w:firstLine="617"/>
        <w:jc w:val="center"/>
        <w:rPr>
          <w:rFonts w:hint="eastAsia" w:ascii="楷体_GB2312" w:hAnsi="楷体" w:eastAsia="楷体_GB2312" w:cs="楷体"/>
          <w:b/>
          <w:bCs/>
          <w:spacing w:val="-13"/>
          <w:sz w:val="32"/>
          <w:szCs w:val="32"/>
          <w:lang w:eastAsia="zh-CN"/>
        </w:rPr>
      </w:pPr>
    </w:p>
    <w:p w14:paraId="63E11A46">
      <w:pPr>
        <w:pStyle w:val="2"/>
        <w:spacing w:before="211" w:line="224" w:lineRule="auto"/>
        <w:ind w:firstLine="638"/>
        <w:jc w:val="both"/>
        <w:rPr>
          <w:b/>
          <w:bCs/>
          <w:spacing w:val="18"/>
          <w:sz w:val="30"/>
          <w:szCs w:val="30"/>
          <w:lang w:eastAsia="zh-CN"/>
        </w:rPr>
      </w:pPr>
    </w:p>
    <w:sdt>
      <w:sdtPr>
        <w:id w:val="3580075"/>
        <w:docPartObj>
          <w:docPartGallery w:val="autotext"/>
        </w:docPartObj>
      </w:sdtPr>
      <w:sdtEndPr>
        <w:rPr>
          <w:rFonts w:hint="eastAsia" w:asciiTheme="minorEastAsia" w:hAnsiTheme="minorEastAsia" w:eastAsiaTheme="minorEastAsia"/>
          <w:sz w:val="28"/>
          <w:szCs w:val="28"/>
        </w:rPr>
      </w:sdtEndPr>
      <w:sdtContent>
        <w:p w14:paraId="41DB8CEB">
          <w:pPr>
            <w:pStyle w:val="4"/>
            <w:ind w:firstLine="360"/>
            <w:rPr>
              <w:rFonts w:asciiTheme="minorEastAsia" w:hAnsiTheme="minorEastAsia" w:eastAsiaTheme="minorEastAsia"/>
              <w:lang w:eastAsia="zh-CN"/>
            </w:rPr>
          </w:pPr>
        </w:p>
      </w:sdtContent>
    </w:sdt>
    <w:p w14:paraId="743297B1">
      <w:pPr>
        <w:pStyle w:val="2"/>
        <w:spacing w:before="211" w:line="224" w:lineRule="auto"/>
        <w:ind w:firstLine="638"/>
        <w:jc w:val="both"/>
        <w:rPr>
          <w:b/>
          <w:bCs/>
          <w:spacing w:val="18"/>
          <w:sz w:val="30"/>
          <w:szCs w:val="30"/>
          <w:lang w:eastAsia="zh-CN"/>
        </w:rPr>
      </w:pPr>
    </w:p>
    <w:p w14:paraId="37F94830">
      <w:pPr>
        <w:pStyle w:val="2"/>
        <w:numPr>
          <w:ilvl w:val="0"/>
          <w:numId w:val="1"/>
        </w:numPr>
        <w:spacing w:before="211" w:line="224" w:lineRule="auto"/>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37114534">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32"/>
          <w:szCs w:val="32"/>
          <w:shd w:val="clear" w:color="auto" w:fill="FFFFFF"/>
          <w:lang w:bidi="ar"/>
        </w:rPr>
      </w:pPr>
      <w:r>
        <w:rPr>
          <w:rFonts w:hint="eastAsia" w:ascii="仿宋" w:hAnsi="仿宋" w:eastAsia="仿宋" w:cs="仿宋"/>
          <w:bCs/>
          <w:snapToGrid/>
          <w:kern w:val="2"/>
          <w:sz w:val="32"/>
          <w:szCs w:val="32"/>
          <w:lang w:val="en-US" w:eastAsia="zh-CN"/>
        </w:rPr>
        <w:t>单位基本情况</w:t>
      </w:r>
    </w:p>
    <w:p w14:paraId="2866C5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岳阳县总工会是全县各级工会的领导机关，是县委县政府联系职工群众的桥梁和纽带。全县工会组织围绕工会的参与、维护、建设、教育四大职能，主动适应经济关系和劳动关系的深刻变化，在巩固壮大基层组织和会员队伍的同时，加大参与协调劳动关系和社会利益关系的力度，突出维护职能，保护、调动和发挥职工的积极性和创造性，团结全县广大职工大力支持和积极投身改革与建设，为深化改革、促进发展、维护稳定发挥了重要作用。</w:t>
      </w:r>
    </w:p>
    <w:p w14:paraId="4CE65BC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Cs/>
          <w:sz w:val="32"/>
          <w:szCs w:val="32"/>
        </w:rPr>
      </w:pPr>
      <w:r>
        <w:rPr>
          <w:rFonts w:hint="eastAsia" w:ascii="仿宋" w:hAnsi="仿宋" w:eastAsia="仿宋" w:cs="仿宋"/>
          <w:bCs/>
          <w:snapToGrid/>
          <w:color w:val="auto"/>
          <w:kern w:val="2"/>
          <w:sz w:val="32"/>
          <w:szCs w:val="32"/>
          <w:lang w:val="en-US" w:eastAsia="zh-CN"/>
        </w:rPr>
        <w:t>单位职能职责</w:t>
      </w:r>
    </w:p>
    <w:p w14:paraId="554C45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Cs/>
          <w:sz w:val="32"/>
          <w:szCs w:val="32"/>
        </w:rPr>
      </w:pPr>
      <w:r>
        <w:rPr>
          <w:rFonts w:hint="eastAsia" w:ascii="仿宋" w:hAnsi="仿宋" w:eastAsia="仿宋" w:cs="仿宋"/>
          <w:color w:val="000000"/>
          <w:sz w:val="32"/>
          <w:szCs w:val="32"/>
        </w:rPr>
        <w:t>维护职工群众的合法权益，参与劳动关系的协调处理，开展职工安全生产和劳动保护工作，参与重大伤亡事故的调查处理；开展劳动竞赛、合理化建议等活动；负责会员发展、工会组建等工作；组织实施工会干部的业务培训；做好劳模的推荐、评选和具体负责劳模的日常管理工作；</w:t>
      </w:r>
      <w:r>
        <w:rPr>
          <w:rFonts w:hint="eastAsia" w:ascii="仿宋" w:hAnsi="仿宋" w:eastAsia="仿宋" w:cs="仿宋"/>
          <w:bCs/>
          <w:sz w:val="32"/>
          <w:szCs w:val="32"/>
        </w:rPr>
        <w:t>开展“春送岗位、夏送清凉、秋送助学、冬送温暖”的工会关爱活动。</w:t>
      </w:r>
    </w:p>
    <w:p w14:paraId="48D65A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Cs/>
          <w:snapToGrid/>
          <w:kern w:val="2"/>
          <w:sz w:val="32"/>
          <w:szCs w:val="32"/>
          <w:lang w:val="en-US" w:eastAsia="zh-CN"/>
        </w:rPr>
      </w:pPr>
      <w:r>
        <w:rPr>
          <w:rFonts w:hint="eastAsia" w:ascii="仿宋" w:hAnsi="仿宋" w:eastAsia="仿宋" w:cs="仿宋"/>
          <w:bCs/>
          <w:snapToGrid/>
          <w:kern w:val="2"/>
          <w:sz w:val="32"/>
          <w:szCs w:val="32"/>
          <w:lang w:val="en-US" w:eastAsia="zh-CN"/>
        </w:rPr>
        <w:t>年度工作内容</w:t>
      </w:r>
    </w:p>
    <w:p w14:paraId="77AC41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1、传达学习中国工会十八大精神以及习近平总书记重要讲话精神。</w:t>
      </w:r>
    </w:p>
    <w:p w14:paraId="25B3E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2、注重宣传教育，持续谋划有特色、接地气的学习教育模式，推动党的二十届三中全会精神。</w:t>
      </w:r>
    </w:p>
    <w:p w14:paraId="4D272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3、大力推进职工文化建设。</w:t>
      </w:r>
    </w:p>
    <w:p w14:paraId="5F250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4、深化榜样示范引领，表彰县级劳模。</w:t>
      </w:r>
    </w:p>
    <w:p w14:paraId="7B184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5、扎实做好帮扶关爱，深入开展维权服务。</w:t>
      </w:r>
    </w:p>
    <w:p w14:paraId="05685B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sz w:val="32"/>
          <w:szCs w:val="32"/>
          <w:lang w:val="en-US" w:eastAsia="zh-CN"/>
        </w:rPr>
        <w:t>6、改革创新，在加强自身建设上树立工会形象。</w:t>
      </w:r>
    </w:p>
    <w:p w14:paraId="16B08F89">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39E14CF7">
      <w:pPr>
        <w:pStyle w:val="12"/>
        <w:keepNext w:val="0"/>
        <w:keepLines w:val="0"/>
        <w:pageBreakBefore w:val="0"/>
        <w:wordWrap/>
        <w:overflowPunct/>
        <w:topLinePunct w:val="0"/>
        <w:bidi w:val="0"/>
        <w:spacing w:line="360" w:lineRule="auto"/>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7807AC5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Cs/>
          <w:snapToGrid/>
          <w:spacing w:val="0"/>
          <w:kern w:val="2"/>
          <w:position w:val="0"/>
          <w:sz w:val="32"/>
          <w:szCs w:val="32"/>
          <w:lang w:eastAsia="zh-CN"/>
        </w:rPr>
      </w:pPr>
      <w:r>
        <w:rPr>
          <w:rFonts w:hint="eastAsia" w:ascii="仿宋" w:hAnsi="仿宋" w:eastAsia="仿宋" w:cs="仿宋"/>
          <w:bCs/>
          <w:snapToGrid/>
          <w:spacing w:val="0"/>
          <w:kern w:val="2"/>
          <w:position w:val="0"/>
          <w:sz w:val="32"/>
          <w:szCs w:val="32"/>
          <w:lang w:eastAsia="zh-CN"/>
        </w:rPr>
        <w:t>一般公共预算基本支出202</w:t>
      </w:r>
      <w:r>
        <w:rPr>
          <w:rFonts w:hint="eastAsia" w:ascii="仿宋" w:hAnsi="仿宋" w:eastAsia="仿宋" w:cs="仿宋"/>
          <w:bCs/>
          <w:snapToGrid/>
          <w:spacing w:val="0"/>
          <w:kern w:val="2"/>
          <w:position w:val="0"/>
          <w:sz w:val="32"/>
          <w:szCs w:val="32"/>
          <w:lang w:val="en-US" w:eastAsia="zh-CN"/>
        </w:rPr>
        <w:t>4</w:t>
      </w:r>
      <w:r>
        <w:rPr>
          <w:rFonts w:hint="eastAsia" w:ascii="仿宋" w:hAnsi="仿宋" w:eastAsia="仿宋" w:cs="仿宋"/>
          <w:bCs/>
          <w:snapToGrid/>
          <w:spacing w:val="0"/>
          <w:kern w:val="2"/>
          <w:position w:val="0"/>
          <w:sz w:val="32"/>
          <w:szCs w:val="32"/>
          <w:lang w:eastAsia="zh-CN"/>
        </w:rPr>
        <w:t>年度总支出</w:t>
      </w:r>
      <w:r>
        <w:rPr>
          <w:rFonts w:hint="eastAsia" w:ascii="仿宋" w:hAnsi="仿宋" w:eastAsia="仿宋" w:cs="仿宋"/>
          <w:bCs/>
          <w:snapToGrid/>
          <w:spacing w:val="0"/>
          <w:kern w:val="2"/>
          <w:position w:val="0"/>
          <w:sz w:val="32"/>
          <w:szCs w:val="32"/>
          <w:lang w:val="en-US" w:eastAsia="zh-CN"/>
        </w:rPr>
        <w:t>248.09</w:t>
      </w:r>
      <w:r>
        <w:rPr>
          <w:rFonts w:hint="eastAsia" w:ascii="仿宋" w:hAnsi="仿宋" w:eastAsia="仿宋" w:cs="仿宋"/>
          <w:bCs/>
          <w:snapToGrid/>
          <w:spacing w:val="0"/>
          <w:kern w:val="2"/>
          <w:position w:val="0"/>
          <w:sz w:val="32"/>
          <w:szCs w:val="32"/>
          <w:lang w:eastAsia="zh-CN"/>
        </w:rPr>
        <w:t>万元，其中：</w:t>
      </w:r>
    </w:p>
    <w:p w14:paraId="268B9F21">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 w:hAnsi="仿宋" w:eastAsia="仿宋" w:cs="仿宋"/>
          <w:bCs/>
          <w:snapToGrid/>
          <w:spacing w:val="0"/>
          <w:kern w:val="2"/>
          <w:position w:val="0"/>
          <w:sz w:val="32"/>
          <w:szCs w:val="32"/>
          <w:lang w:val="en-US" w:eastAsia="zh-CN"/>
        </w:rPr>
      </w:pPr>
      <w:r>
        <w:rPr>
          <w:rFonts w:hint="eastAsia" w:ascii="仿宋" w:hAnsi="仿宋" w:eastAsia="仿宋" w:cs="仿宋"/>
          <w:bCs/>
          <w:snapToGrid/>
          <w:spacing w:val="0"/>
          <w:kern w:val="2"/>
          <w:position w:val="0"/>
          <w:sz w:val="32"/>
          <w:szCs w:val="32"/>
          <w:lang w:eastAsia="zh-CN"/>
        </w:rPr>
        <w:t>人员经费</w:t>
      </w:r>
      <w:r>
        <w:rPr>
          <w:rFonts w:hint="eastAsia" w:ascii="仿宋" w:hAnsi="仿宋" w:eastAsia="仿宋" w:cs="仿宋"/>
          <w:bCs/>
          <w:snapToGrid/>
          <w:spacing w:val="0"/>
          <w:kern w:val="2"/>
          <w:position w:val="0"/>
          <w:sz w:val="32"/>
          <w:szCs w:val="32"/>
          <w:lang w:val="en-US" w:eastAsia="zh-CN"/>
        </w:rPr>
        <w:t>221.29万元：包括</w:t>
      </w:r>
      <w:r>
        <w:rPr>
          <w:rFonts w:hint="eastAsia" w:ascii="仿宋" w:hAnsi="仿宋" w:eastAsia="仿宋" w:cs="仿宋"/>
          <w:bCs/>
          <w:snapToGrid/>
          <w:spacing w:val="0"/>
          <w:kern w:val="2"/>
          <w:position w:val="0"/>
          <w:sz w:val="32"/>
          <w:szCs w:val="32"/>
          <w:lang w:eastAsia="zh-CN"/>
        </w:rPr>
        <w:t>基本工资</w:t>
      </w:r>
      <w:r>
        <w:rPr>
          <w:rFonts w:hint="eastAsia" w:ascii="仿宋" w:hAnsi="仿宋" w:eastAsia="仿宋" w:cs="仿宋"/>
          <w:bCs/>
          <w:snapToGrid/>
          <w:spacing w:val="0"/>
          <w:kern w:val="2"/>
          <w:position w:val="0"/>
          <w:sz w:val="32"/>
          <w:szCs w:val="32"/>
          <w:lang w:val="en-US" w:eastAsia="zh-CN"/>
        </w:rPr>
        <w:t>75.22</w:t>
      </w:r>
      <w:r>
        <w:rPr>
          <w:rFonts w:hint="eastAsia" w:ascii="仿宋" w:hAnsi="仿宋" w:eastAsia="仿宋" w:cs="仿宋"/>
          <w:bCs/>
          <w:snapToGrid/>
          <w:spacing w:val="0"/>
          <w:kern w:val="2"/>
          <w:position w:val="0"/>
          <w:sz w:val="32"/>
          <w:szCs w:val="32"/>
          <w:highlight w:val="none"/>
          <w:lang w:eastAsia="zh-CN"/>
        </w:rPr>
        <w:t>万</w:t>
      </w:r>
      <w:r>
        <w:rPr>
          <w:rFonts w:hint="eastAsia" w:ascii="仿宋" w:hAnsi="仿宋" w:eastAsia="仿宋" w:cs="仿宋"/>
          <w:bCs/>
          <w:snapToGrid/>
          <w:spacing w:val="0"/>
          <w:kern w:val="2"/>
          <w:position w:val="0"/>
          <w:sz w:val="32"/>
          <w:szCs w:val="32"/>
          <w:lang w:eastAsia="zh-CN"/>
        </w:rPr>
        <w:t>元；津贴补贴</w:t>
      </w:r>
      <w:r>
        <w:rPr>
          <w:rFonts w:hint="eastAsia" w:ascii="仿宋" w:hAnsi="仿宋" w:eastAsia="仿宋" w:cs="仿宋"/>
          <w:bCs/>
          <w:snapToGrid/>
          <w:spacing w:val="0"/>
          <w:kern w:val="2"/>
          <w:position w:val="0"/>
          <w:sz w:val="32"/>
          <w:szCs w:val="32"/>
          <w:lang w:val="en-US" w:eastAsia="zh-CN"/>
        </w:rPr>
        <w:t>20.98万元；奖金36.23万元</w:t>
      </w:r>
      <w:r>
        <w:rPr>
          <w:rFonts w:hint="eastAsia" w:ascii="仿宋" w:hAnsi="仿宋" w:eastAsia="仿宋" w:cs="仿宋"/>
          <w:bCs/>
          <w:snapToGrid/>
          <w:spacing w:val="0"/>
          <w:kern w:val="2"/>
          <w:position w:val="0"/>
          <w:sz w:val="32"/>
          <w:szCs w:val="32"/>
          <w:lang w:eastAsia="zh-CN"/>
        </w:rPr>
        <w:t>；</w:t>
      </w:r>
      <w:r>
        <w:rPr>
          <w:rFonts w:hint="eastAsia" w:ascii="仿宋" w:hAnsi="仿宋" w:eastAsia="仿宋" w:cs="仿宋"/>
          <w:bCs/>
          <w:snapToGrid/>
          <w:spacing w:val="0"/>
          <w:kern w:val="2"/>
          <w:position w:val="0"/>
          <w:sz w:val="32"/>
          <w:szCs w:val="32"/>
          <w:lang w:val="en-US" w:eastAsia="zh-CN"/>
        </w:rPr>
        <w:t>绩效工资19.66万元；</w:t>
      </w:r>
      <w:r>
        <w:rPr>
          <w:rFonts w:hint="eastAsia" w:ascii="仿宋" w:hAnsi="仿宋" w:eastAsia="仿宋" w:cs="仿宋"/>
          <w:bCs/>
          <w:snapToGrid/>
          <w:spacing w:val="0"/>
          <w:kern w:val="2"/>
          <w:position w:val="0"/>
          <w:sz w:val="32"/>
          <w:szCs w:val="32"/>
          <w:lang w:eastAsia="zh-CN"/>
        </w:rPr>
        <w:t>机关事业单位基本养老保险缴费</w:t>
      </w:r>
      <w:r>
        <w:rPr>
          <w:rFonts w:hint="eastAsia" w:ascii="仿宋" w:hAnsi="仿宋" w:eastAsia="仿宋" w:cs="仿宋"/>
          <w:bCs/>
          <w:snapToGrid/>
          <w:spacing w:val="0"/>
          <w:kern w:val="2"/>
          <w:position w:val="0"/>
          <w:sz w:val="32"/>
          <w:szCs w:val="32"/>
          <w:lang w:val="en-US" w:eastAsia="zh-CN"/>
        </w:rPr>
        <w:t>29.07万元；职业年金缴费0.95万元；职工基本医疗保险缴费10.48万元；公务员医疗补助缴费2.28万元；其他社会保障缴费1.12万元；住房公积金13.40万元；生活补助11.90万元。</w:t>
      </w:r>
    </w:p>
    <w:p w14:paraId="4CCEE99B">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b w:val="0"/>
          <w:bCs/>
          <w:snapToGrid/>
          <w:spacing w:val="0"/>
          <w:kern w:val="2"/>
          <w:position w:val="0"/>
          <w:sz w:val="32"/>
          <w:szCs w:val="32"/>
          <w:lang w:eastAsia="zh-CN"/>
        </w:rPr>
        <w:t>公用经费</w:t>
      </w:r>
      <w:r>
        <w:rPr>
          <w:rFonts w:hint="eastAsia" w:ascii="仿宋" w:hAnsi="仿宋" w:eastAsia="仿宋" w:cs="仿宋"/>
          <w:b w:val="0"/>
          <w:bCs/>
          <w:snapToGrid/>
          <w:spacing w:val="0"/>
          <w:kern w:val="2"/>
          <w:position w:val="0"/>
          <w:sz w:val="32"/>
          <w:szCs w:val="32"/>
          <w:lang w:val="en-US" w:eastAsia="zh-CN"/>
        </w:rPr>
        <w:t>26.79</w:t>
      </w:r>
      <w:r>
        <w:rPr>
          <w:rFonts w:hint="eastAsia" w:ascii="仿宋" w:hAnsi="仿宋" w:eastAsia="仿宋" w:cs="仿宋"/>
          <w:b w:val="0"/>
          <w:bCs/>
          <w:snapToGrid/>
          <w:spacing w:val="0"/>
          <w:kern w:val="2"/>
          <w:position w:val="0"/>
          <w:sz w:val="32"/>
          <w:szCs w:val="32"/>
          <w:lang w:eastAsia="zh-CN"/>
        </w:rPr>
        <w:t>万元：</w:t>
      </w:r>
      <w:r>
        <w:rPr>
          <w:rFonts w:hint="eastAsia" w:ascii="仿宋" w:hAnsi="仿宋" w:eastAsia="仿宋" w:cs="仿宋"/>
          <w:bCs/>
          <w:snapToGrid/>
          <w:spacing w:val="0"/>
          <w:kern w:val="2"/>
          <w:position w:val="0"/>
          <w:sz w:val="32"/>
          <w:szCs w:val="32"/>
          <w:lang w:val="en-US" w:eastAsia="zh-CN"/>
        </w:rPr>
        <w:t>包括</w:t>
      </w:r>
      <w:r>
        <w:rPr>
          <w:rFonts w:hint="eastAsia" w:ascii="仿宋" w:hAnsi="仿宋" w:eastAsia="仿宋" w:cs="仿宋"/>
          <w:bCs/>
          <w:snapToGrid/>
          <w:spacing w:val="0"/>
          <w:kern w:val="2"/>
          <w:position w:val="0"/>
          <w:sz w:val="32"/>
          <w:szCs w:val="32"/>
          <w:lang w:eastAsia="zh-CN"/>
        </w:rPr>
        <w:t>办公费</w:t>
      </w:r>
      <w:r>
        <w:rPr>
          <w:rFonts w:hint="eastAsia" w:ascii="仿宋" w:hAnsi="仿宋" w:eastAsia="仿宋" w:cs="仿宋"/>
          <w:bCs/>
          <w:snapToGrid/>
          <w:spacing w:val="0"/>
          <w:kern w:val="2"/>
          <w:position w:val="0"/>
          <w:sz w:val="32"/>
          <w:szCs w:val="32"/>
          <w:lang w:val="en-US" w:eastAsia="zh-CN"/>
        </w:rPr>
        <w:t>1.62</w:t>
      </w:r>
      <w:r>
        <w:rPr>
          <w:rFonts w:hint="eastAsia" w:ascii="仿宋" w:hAnsi="仿宋" w:eastAsia="仿宋" w:cs="仿宋"/>
          <w:bCs/>
          <w:snapToGrid/>
          <w:spacing w:val="0"/>
          <w:kern w:val="2"/>
          <w:position w:val="0"/>
          <w:sz w:val="32"/>
          <w:szCs w:val="32"/>
          <w:lang w:eastAsia="zh-CN"/>
        </w:rPr>
        <w:t>万元；印刷费</w:t>
      </w:r>
      <w:r>
        <w:rPr>
          <w:rFonts w:hint="eastAsia" w:ascii="仿宋" w:hAnsi="仿宋" w:eastAsia="仿宋" w:cs="仿宋"/>
          <w:bCs/>
          <w:snapToGrid/>
          <w:spacing w:val="0"/>
          <w:kern w:val="2"/>
          <w:position w:val="0"/>
          <w:sz w:val="32"/>
          <w:szCs w:val="32"/>
          <w:lang w:val="en-US" w:eastAsia="zh-CN"/>
        </w:rPr>
        <w:t>0.60</w:t>
      </w:r>
      <w:r>
        <w:rPr>
          <w:rFonts w:hint="eastAsia" w:ascii="仿宋" w:hAnsi="仿宋" w:eastAsia="仿宋" w:cs="仿宋"/>
          <w:bCs/>
          <w:snapToGrid/>
          <w:spacing w:val="0"/>
          <w:kern w:val="2"/>
          <w:position w:val="0"/>
          <w:sz w:val="32"/>
          <w:szCs w:val="32"/>
          <w:lang w:eastAsia="zh-CN"/>
        </w:rPr>
        <w:t>万元；水费</w:t>
      </w:r>
      <w:r>
        <w:rPr>
          <w:rFonts w:hint="eastAsia" w:ascii="仿宋" w:hAnsi="仿宋" w:eastAsia="仿宋" w:cs="仿宋"/>
          <w:bCs/>
          <w:snapToGrid/>
          <w:spacing w:val="0"/>
          <w:kern w:val="2"/>
          <w:position w:val="0"/>
          <w:sz w:val="32"/>
          <w:szCs w:val="32"/>
          <w:lang w:val="en-US" w:eastAsia="zh-CN"/>
        </w:rPr>
        <w:t>0.22</w:t>
      </w:r>
      <w:r>
        <w:rPr>
          <w:rFonts w:hint="eastAsia" w:ascii="仿宋" w:hAnsi="仿宋" w:eastAsia="仿宋" w:cs="仿宋"/>
          <w:bCs/>
          <w:snapToGrid/>
          <w:spacing w:val="0"/>
          <w:kern w:val="2"/>
          <w:position w:val="0"/>
          <w:sz w:val="32"/>
          <w:szCs w:val="32"/>
          <w:lang w:eastAsia="zh-CN"/>
        </w:rPr>
        <w:t>万元；电费</w:t>
      </w:r>
      <w:r>
        <w:rPr>
          <w:rFonts w:hint="eastAsia" w:ascii="仿宋" w:hAnsi="仿宋" w:eastAsia="仿宋" w:cs="仿宋"/>
          <w:bCs/>
          <w:snapToGrid/>
          <w:spacing w:val="0"/>
          <w:kern w:val="2"/>
          <w:position w:val="0"/>
          <w:sz w:val="32"/>
          <w:szCs w:val="32"/>
          <w:lang w:val="en-US" w:eastAsia="zh-CN"/>
        </w:rPr>
        <w:t>1.21</w:t>
      </w:r>
      <w:r>
        <w:rPr>
          <w:rFonts w:hint="eastAsia" w:ascii="仿宋" w:hAnsi="仿宋" w:eastAsia="仿宋" w:cs="仿宋"/>
          <w:bCs/>
          <w:snapToGrid/>
          <w:spacing w:val="0"/>
          <w:kern w:val="2"/>
          <w:position w:val="0"/>
          <w:sz w:val="32"/>
          <w:szCs w:val="32"/>
          <w:lang w:eastAsia="zh-CN"/>
        </w:rPr>
        <w:t>万元；</w:t>
      </w:r>
      <w:r>
        <w:rPr>
          <w:rFonts w:hint="eastAsia" w:ascii="仿宋" w:hAnsi="仿宋" w:eastAsia="仿宋" w:cs="仿宋"/>
          <w:bCs/>
          <w:snapToGrid/>
          <w:spacing w:val="0"/>
          <w:kern w:val="2"/>
          <w:position w:val="0"/>
          <w:sz w:val="32"/>
          <w:szCs w:val="32"/>
          <w:lang w:val="en-US" w:eastAsia="zh-CN"/>
        </w:rPr>
        <w:t>邮电费2.48万元；</w:t>
      </w:r>
      <w:r>
        <w:rPr>
          <w:rFonts w:hint="eastAsia" w:ascii="仿宋" w:hAnsi="仿宋" w:eastAsia="仿宋" w:cs="仿宋"/>
          <w:bCs/>
          <w:snapToGrid/>
          <w:spacing w:val="0"/>
          <w:kern w:val="2"/>
          <w:position w:val="0"/>
          <w:sz w:val="32"/>
          <w:szCs w:val="32"/>
          <w:lang w:eastAsia="zh-CN"/>
        </w:rPr>
        <w:t>物业管理费</w:t>
      </w:r>
      <w:r>
        <w:rPr>
          <w:rFonts w:hint="eastAsia" w:ascii="仿宋" w:hAnsi="仿宋" w:eastAsia="仿宋" w:cs="仿宋"/>
          <w:bCs/>
          <w:snapToGrid/>
          <w:spacing w:val="0"/>
          <w:kern w:val="2"/>
          <w:position w:val="0"/>
          <w:sz w:val="32"/>
          <w:szCs w:val="32"/>
          <w:lang w:val="en-US" w:eastAsia="zh-CN"/>
        </w:rPr>
        <w:t>1.66万元；差旅费2.25万元；</w:t>
      </w:r>
      <w:r>
        <w:rPr>
          <w:rFonts w:hint="eastAsia" w:ascii="仿宋" w:hAnsi="仿宋" w:eastAsia="仿宋" w:cs="仿宋"/>
          <w:bCs/>
          <w:snapToGrid/>
          <w:spacing w:val="0"/>
          <w:kern w:val="2"/>
          <w:position w:val="0"/>
          <w:sz w:val="32"/>
          <w:szCs w:val="32"/>
          <w:lang w:eastAsia="zh-CN"/>
        </w:rPr>
        <w:t>维修（</w:t>
      </w:r>
      <w:r>
        <w:rPr>
          <w:rFonts w:hint="eastAsia" w:ascii="仿宋" w:hAnsi="仿宋" w:eastAsia="仿宋" w:cs="仿宋"/>
          <w:bCs/>
          <w:snapToGrid/>
          <w:spacing w:val="0"/>
          <w:kern w:val="2"/>
          <w:position w:val="0"/>
          <w:sz w:val="32"/>
          <w:szCs w:val="32"/>
          <w:lang w:val="en-US" w:eastAsia="zh-CN"/>
        </w:rPr>
        <w:t>护）</w:t>
      </w:r>
      <w:r>
        <w:rPr>
          <w:rFonts w:hint="eastAsia" w:ascii="仿宋" w:hAnsi="仿宋" w:eastAsia="仿宋" w:cs="仿宋"/>
          <w:bCs/>
          <w:snapToGrid/>
          <w:spacing w:val="0"/>
          <w:kern w:val="2"/>
          <w:position w:val="0"/>
          <w:sz w:val="32"/>
          <w:szCs w:val="32"/>
          <w:lang w:eastAsia="zh-CN"/>
        </w:rPr>
        <w:t>费</w:t>
      </w:r>
      <w:r>
        <w:rPr>
          <w:rFonts w:hint="eastAsia" w:ascii="仿宋" w:hAnsi="仿宋" w:eastAsia="仿宋" w:cs="仿宋"/>
          <w:bCs/>
          <w:snapToGrid/>
          <w:spacing w:val="0"/>
          <w:kern w:val="2"/>
          <w:position w:val="0"/>
          <w:sz w:val="32"/>
          <w:szCs w:val="32"/>
          <w:lang w:val="en-US" w:eastAsia="zh-CN"/>
        </w:rPr>
        <w:t>0.30</w:t>
      </w:r>
      <w:r>
        <w:rPr>
          <w:rFonts w:hint="eastAsia" w:ascii="仿宋" w:hAnsi="仿宋" w:eastAsia="仿宋" w:cs="仿宋"/>
          <w:bCs/>
          <w:snapToGrid/>
          <w:spacing w:val="0"/>
          <w:kern w:val="2"/>
          <w:position w:val="0"/>
          <w:sz w:val="32"/>
          <w:szCs w:val="32"/>
          <w:lang w:eastAsia="zh-CN"/>
        </w:rPr>
        <w:t>万元；培训费</w:t>
      </w:r>
      <w:r>
        <w:rPr>
          <w:rFonts w:hint="eastAsia" w:ascii="仿宋" w:hAnsi="仿宋" w:eastAsia="仿宋" w:cs="仿宋"/>
          <w:bCs/>
          <w:snapToGrid/>
          <w:spacing w:val="0"/>
          <w:kern w:val="2"/>
          <w:position w:val="0"/>
          <w:sz w:val="32"/>
          <w:szCs w:val="32"/>
          <w:lang w:val="en-US" w:eastAsia="zh-CN"/>
        </w:rPr>
        <w:t>1.51</w:t>
      </w:r>
      <w:r>
        <w:rPr>
          <w:rFonts w:hint="eastAsia" w:ascii="仿宋" w:hAnsi="仿宋" w:eastAsia="仿宋" w:cs="仿宋"/>
          <w:bCs/>
          <w:snapToGrid/>
          <w:spacing w:val="0"/>
          <w:kern w:val="2"/>
          <w:position w:val="0"/>
          <w:sz w:val="32"/>
          <w:szCs w:val="32"/>
          <w:lang w:eastAsia="zh-CN"/>
        </w:rPr>
        <w:t>万元；</w:t>
      </w:r>
      <w:r>
        <w:rPr>
          <w:rFonts w:hint="eastAsia" w:ascii="仿宋" w:hAnsi="仿宋" w:eastAsia="仿宋" w:cs="仿宋"/>
          <w:bCs/>
          <w:snapToGrid/>
          <w:spacing w:val="0"/>
          <w:kern w:val="2"/>
          <w:position w:val="0"/>
          <w:sz w:val="32"/>
          <w:szCs w:val="32"/>
          <w:lang w:val="en-US" w:eastAsia="zh-CN"/>
        </w:rPr>
        <w:t>公务接待费0.96万元；其他交通费用13.64万元；</w:t>
      </w:r>
      <w:r>
        <w:rPr>
          <w:rFonts w:hint="eastAsia" w:ascii="仿宋" w:hAnsi="仿宋" w:eastAsia="仿宋" w:cs="仿宋"/>
          <w:bCs/>
          <w:snapToGrid/>
          <w:spacing w:val="0"/>
          <w:kern w:val="2"/>
          <w:position w:val="0"/>
          <w:sz w:val="32"/>
          <w:szCs w:val="32"/>
          <w:lang w:eastAsia="zh-CN"/>
        </w:rPr>
        <w:t>其他商品和服务支出</w:t>
      </w:r>
      <w:r>
        <w:rPr>
          <w:rFonts w:hint="eastAsia" w:ascii="仿宋" w:hAnsi="仿宋" w:eastAsia="仿宋" w:cs="仿宋"/>
          <w:bCs/>
          <w:snapToGrid/>
          <w:spacing w:val="0"/>
          <w:kern w:val="2"/>
          <w:position w:val="0"/>
          <w:sz w:val="32"/>
          <w:szCs w:val="32"/>
          <w:lang w:val="en-US" w:eastAsia="zh-CN"/>
        </w:rPr>
        <w:t>0.34万元。</w:t>
      </w:r>
    </w:p>
    <w:p w14:paraId="023EF18B">
      <w:pPr>
        <w:pStyle w:val="12"/>
        <w:keepNext w:val="0"/>
        <w:keepLines w:val="0"/>
        <w:pageBreakBefore w:val="0"/>
        <w:numPr>
          <w:ilvl w:val="0"/>
          <w:numId w:val="4"/>
        </w:numPr>
        <w:wordWrap/>
        <w:overflowPunct/>
        <w:topLinePunct w:val="0"/>
        <w:bidi w:val="0"/>
        <w:spacing w:line="360" w:lineRule="auto"/>
        <w:ind w:firstLine="643"/>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项目支出情况</w:t>
      </w:r>
    </w:p>
    <w:p w14:paraId="4C875124">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Cs/>
          <w:snapToGrid/>
          <w:spacing w:val="0"/>
          <w:kern w:val="2"/>
          <w:position w:val="0"/>
          <w:sz w:val="32"/>
          <w:szCs w:val="32"/>
          <w:lang w:eastAsia="zh-CN"/>
        </w:rPr>
      </w:pPr>
      <w:bookmarkStart w:id="0" w:name="OLE_LINK2"/>
      <w:r>
        <w:rPr>
          <w:rFonts w:hint="eastAsia" w:ascii="仿宋" w:hAnsi="仿宋" w:eastAsia="仿宋" w:cs="仿宋"/>
          <w:bCs/>
          <w:snapToGrid/>
          <w:spacing w:val="0"/>
          <w:kern w:val="2"/>
          <w:position w:val="0"/>
          <w:sz w:val="32"/>
          <w:szCs w:val="32"/>
          <w:lang w:eastAsia="zh-CN"/>
        </w:rPr>
        <w:t>一般公共预算</w:t>
      </w:r>
      <w:r>
        <w:rPr>
          <w:rFonts w:hint="eastAsia" w:ascii="仿宋" w:hAnsi="仿宋" w:eastAsia="仿宋" w:cs="仿宋"/>
          <w:bCs/>
          <w:snapToGrid/>
          <w:spacing w:val="0"/>
          <w:kern w:val="2"/>
          <w:position w:val="0"/>
          <w:sz w:val="32"/>
          <w:szCs w:val="32"/>
          <w:lang w:val="en-US" w:eastAsia="zh-CN"/>
        </w:rPr>
        <w:t>项目</w:t>
      </w:r>
      <w:r>
        <w:rPr>
          <w:rFonts w:hint="eastAsia" w:ascii="仿宋" w:hAnsi="仿宋" w:eastAsia="仿宋" w:cs="仿宋"/>
          <w:bCs/>
          <w:snapToGrid/>
          <w:spacing w:val="0"/>
          <w:kern w:val="2"/>
          <w:position w:val="0"/>
          <w:sz w:val="32"/>
          <w:szCs w:val="32"/>
          <w:lang w:eastAsia="zh-CN"/>
        </w:rPr>
        <w:t>支出202</w:t>
      </w:r>
      <w:r>
        <w:rPr>
          <w:rFonts w:hint="eastAsia" w:ascii="仿宋" w:hAnsi="仿宋" w:eastAsia="仿宋" w:cs="仿宋"/>
          <w:bCs/>
          <w:snapToGrid/>
          <w:spacing w:val="0"/>
          <w:kern w:val="2"/>
          <w:position w:val="0"/>
          <w:sz w:val="32"/>
          <w:szCs w:val="32"/>
          <w:lang w:val="en-US" w:eastAsia="zh-CN"/>
        </w:rPr>
        <w:t>4</w:t>
      </w:r>
      <w:r>
        <w:rPr>
          <w:rFonts w:hint="eastAsia" w:ascii="仿宋" w:hAnsi="仿宋" w:eastAsia="仿宋" w:cs="仿宋"/>
          <w:bCs/>
          <w:snapToGrid/>
          <w:spacing w:val="0"/>
          <w:kern w:val="2"/>
          <w:position w:val="0"/>
          <w:sz w:val="32"/>
          <w:szCs w:val="32"/>
          <w:lang w:eastAsia="zh-CN"/>
        </w:rPr>
        <w:t>年度总支出</w:t>
      </w:r>
      <w:r>
        <w:rPr>
          <w:rFonts w:hint="eastAsia" w:ascii="仿宋" w:hAnsi="仿宋" w:eastAsia="仿宋" w:cs="仿宋"/>
          <w:bCs/>
          <w:snapToGrid/>
          <w:spacing w:val="0"/>
          <w:kern w:val="2"/>
          <w:position w:val="0"/>
          <w:sz w:val="32"/>
          <w:szCs w:val="32"/>
          <w:lang w:val="en-US" w:eastAsia="zh-CN"/>
        </w:rPr>
        <w:t>244.85</w:t>
      </w:r>
      <w:r>
        <w:rPr>
          <w:rFonts w:hint="eastAsia" w:ascii="仿宋" w:hAnsi="仿宋" w:eastAsia="仿宋" w:cs="仿宋"/>
          <w:bCs/>
          <w:snapToGrid/>
          <w:spacing w:val="0"/>
          <w:kern w:val="2"/>
          <w:position w:val="0"/>
          <w:sz w:val="32"/>
          <w:szCs w:val="32"/>
          <w:lang w:eastAsia="zh-CN"/>
        </w:rPr>
        <w:t>万元，其中：</w:t>
      </w:r>
    </w:p>
    <w:bookmarkEnd w:id="0"/>
    <w:p w14:paraId="559689E7">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Cs/>
          <w:snapToGrid/>
          <w:spacing w:val="0"/>
          <w:kern w:val="2"/>
          <w:position w:val="0"/>
          <w:sz w:val="32"/>
          <w:szCs w:val="32"/>
          <w:lang w:val="en-US" w:eastAsia="zh-CN"/>
        </w:rPr>
      </w:pPr>
      <w:r>
        <w:rPr>
          <w:rFonts w:hint="eastAsia" w:ascii="仿宋" w:hAnsi="仿宋" w:eastAsia="仿宋" w:cs="仿宋"/>
          <w:bCs/>
          <w:snapToGrid/>
          <w:spacing w:val="0"/>
          <w:kern w:val="2"/>
          <w:position w:val="0"/>
          <w:sz w:val="32"/>
          <w:szCs w:val="32"/>
          <w:lang w:val="en-US" w:eastAsia="zh-CN"/>
        </w:rPr>
        <w:t>“工会工作经费”项目执行数为230.93万元。项目绩效目标完成情况：一是完成困难职工帮扶、劳模慰问、金秋助学等任务，精准覆盖帮扶对象；二是技能与文体类活动落地，开展技能竞赛、职工文体赛事等，有效提升职工技能与幸福感。</w:t>
      </w:r>
    </w:p>
    <w:p w14:paraId="571B58F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Cs/>
          <w:snapToGrid/>
          <w:spacing w:val="0"/>
          <w:kern w:val="2"/>
          <w:position w:val="0"/>
          <w:sz w:val="32"/>
          <w:szCs w:val="32"/>
          <w:lang w:val="en-US" w:eastAsia="zh-CN"/>
        </w:rPr>
      </w:pPr>
      <w:r>
        <w:rPr>
          <w:rFonts w:hint="eastAsia" w:ascii="仿宋" w:hAnsi="仿宋" w:eastAsia="仿宋" w:cs="仿宋"/>
          <w:bCs/>
          <w:snapToGrid/>
          <w:spacing w:val="0"/>
          <w:kern w:val="2"/>
          <w:position w:val="0"/>
          <w:sz w:val="32"/>
          <w:szCs w:val="32"/>
          <w:lang w:val="en-US" w:eastAsia="zh-CN"/>
        </w:rPr>
        <w:t>“困难职工帮扶经费”项目执行数为6.71万元。项目绩效目标完成情况：一是开展排查摸底，建立健全困难职工档案，实现帮扶对象精准识别，二是年度内完成既定帮扶任务，帮扶资金足额发放至每一户困难职工家庭，无遗漏、无错帮情况，帮扶对象满意度达95%以上。</w:t>
      </w:r>
    </w:p>
    <w:p w14:paraId="02674EF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Cs/>
          <w:snapToGrid/>
          <w:spacing w:val="0"/>
          <w:kern w:val="2"/>
          <w:position w:val="0"/>
          <w:sz w:val="32"/>
          <w:szCs w:val="32"/>
          <w:lang w:val="en-US" w:eastAsia="zh-CN"/>
        </w:rPr>
      </w:pPr>
      <w:r>
        <w:rPr>
          <w:rFonts w:hint="eastAsia" w:ascii="仿宋" w:hAnsi="仿宋" w:eastAsia="仿宋" w:cs="仿宋"/>
          <w:bCs/>
          <w:snapToGrid/>
          <w:spacing w:val="0"/>
          <w:kern w:val="2"/>
          <w:position w:val="0"/>
          <w:sz w:val="32"/>
          <w:szCs w:val="32"/>
          <w:lang w:val="en-US" w:eastAsia="zh-CN"/>
        </w:rPr>
        <w:t>“劳模经费”项目执行数为7.21万元。项目绩效目标完成情况：一是建设岳阳县劳动主题公园，大力弘扬劳模精神、劳动精神和工匠精神。二是积极开展县级劳模慰问活动，加大关心关爱力度，营造尊重劳动、崇尚技能的浓厚社会氛围。</w:t>
      </w:r>
    </w:p>
    <w:p w14:paraId="0AD90B52">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val="en-US" w:eastAsia="zh-CN"/>
        </w:rPr>
        <w:t>三、</w:t>
      </w:r>
      <w:r>
        <w:rPr>
          <w:rFonts w:hint="eastAsia" w:ascii="方正黑体_GBK" w:eastAsia="方正黑体_GBK"/>
          <w:sz w:val="32"/>
          <w:szCs w:val="32"/>
          <w:lang w:eastAsia="zh-CN"/>
        </w:rPr>
        <w:t>政府性基金预算支出情况</w:t>
      </w:r>
    </w:p>
    <w:p w14:paraId="7FF520D2">
      <w:pPr>
        <w:keepNext w:val="0"/>
        <w:keepLines w:val="0"/>
        <w:pageBreakBefore w:val="0"/>
        <w:widowControl w:val="0"/>
        <w:wordWrap/>
        <w:overflowPunct/>
        <w:topLinePunct w:val="0"/>
        <w:bidi w:val="0"/>
        <w:spacing w:before="120" w:beforeLines="0" w:after="200" w:afterLines="0" w:line="240" w:lineRule="auto"/>
        <w:ind w:left="0" w:leftChars="0" w:firstLine="561" w:firstLineChars="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政府性基金预算项目支出2024年度总支出为7.30万元，全用于“工会工作经费”项目。</w:t>
      </w:r>
    </w:p>
    <w:p w14:paraId="1B34968D">
      <w:pPr>
        <w:numPr>
          <w:ilvl w:val="0"/>
          <w:numId w:val="5"/>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14:paraId="536C9521">
      <w:pPr>
        <w:keepNext w:val="0"/>
        <w:keepLines w:val="0"/>
        <w:pageBreakBefore w:val="0"/>
        <w:widowControl w:val="0"/>
        <w:wordWrap/>
        <w:overflowPunct/>
        <w:topLinePunct w:val="0"/>
        <w:bidi w:val="0"/>
        <w:spacing w:before="120" w:beforeLines="0" w:after="200" w:afterLines="0" w:line="240" w:lineRule="auto"/>
        <w:ind w:left="0" w:leftChars="0" w:firstLine="561" w:firstLineChars="0"/>
        <w:jc w:val="both"/>
        <w:rPr>
          <w:rFonts w:hint="eastAsia" w:ascii="方正黑体_GBK" w:eastAsia="方正黑体_GBK"/>
          <w:sz w:val="32"/>
          <w:szCs w:val="32"/>
          <w:lang w:eastAsia="zh-CN"/>
        </w:rPr>
      </w:pPr>
      <w:r>
        <w:rPr>
          <w:rFonts w:hint="eastAsia" w:ascii="仿宋" w:hAnsi="仿宋" w:eastAsia="仿宋" w:cs="仿宋"/>
          <w:bCs/>
          <w:kern w:val="2"/>
          <w:sz w:val="32"/>
          <w:szCs w:val="32"/>
          <w:lang w:val="en-US" w:eastAsia="zh-CN" w:bidi="ar-SA"/>
        </w:rPr>
        <w:t>本单位2024年度国有资本经营预算支出0万元。</w:t>
      </w:r>
    </w:p>
    <w:p w14:paraId="3768F94A">
      <w:pPr>
        <w:numPr>
          <w:ilvl w:val="0"/>
          <w:numId w:val="5"/>
        </w:numPr>
        <w:spacing w:line="600" w:lineRule="exact"/>
        <w:ind w:left="0" w:leftChars="0"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1E26CBC9">
      <w:pPr>
        <w:keepNext w:val="0"/>
        <w:keepLines w:val="0"/>
        <w:pageBreakBefore w:val="0"/>
        <w:widowControl w:val="0"/>
        <w:wordWrap/>
        <w:overflowPunct/>
        <w:topLinePunct w:val="0"/>
        <w:bidi w:val="0"/>
        <w:spacing w:before="120" w:beforeLines="0" w:after="200" w:afterLines="0" w:line="240" w:lineRule="auto"/>
        <w:ind w:left="0" w:leftChars="0" w:firstLine="561" w:firstLineChars="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本单位2024年度社会保险基金预算支出0万元。</w:t>
      </w:r>
    </w:p>
    <w:p w14:paraId="00C26E25">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54C1DC31">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年度支出总计</w:t>
      </w:r>
      <w:r>
        <w:rPr>
          <w:rFonts w:hint="eastAsia" w:ascii="仿宋" w:hAnsi="仿宋" w:eastAsia="仿宋" w:cs="仿宋"/>
          <w:sz w:val="32"/>
          <w:szCs w:val="32"/>
          <w:lang w:val="en-US" w:eastAsia="zh-CN"/>
        </w:rPr>
        <w:t>500.91</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248.76</w:t>
      </w:r>
      <w:r>
        <w:rPr>
          <w:rFonts w:hint="eastAsia" w:ascii="仿宋" w:hAnsi="仿宋" w:eastAsia="仿宋" w:cs="仿宋"/>
          <w:sz w:val="32"/>
          <w:szCs w:val="32"/>
          <w:lang w:eastAsia="zh-CN"/>
        </w:rPr>
        <w:t>万元，主要用于人员工资、福利、社会保障缴费及办公室公用支出等，项目支出</w:t>
      </w:r>
      <w:r>
        <w:rPr>
          <w:rFonts w:hint="eastAsia" w:ascii="仿宋" w:hAnsi="仿宋" w:eastAsia="仿宋" w:cs="仿宋"/>
          <w:sz w:val="32"/>
          <w:szCs w:val="32"/>
          <w:lang w:val="en-US" w:eastAsia="zh-CN"/>
        </w:rPr>
        <w:t>252.15</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用于单位退休人员绩效奖、会议费、职工帮扶、劳模、社会化工作者经费开支。2024年，</w:t>
      </w:r>
      <w:r>
        <w:rPr>
          <w:rFonts w:hint="eastAsia" w:ascii="仿宋" w:hAnsi="仿宋" w:eastAsia="仿宋" w:cs="仿宋"/>
          <w:sz w:val="32"/>
          <w:szCs w:val="32"/>
          <w:lang w:eastAsia="zh-CN"/>
        </w:rPr>
        <w:t>岳阳县工会工作在市总和县委的正确领导下，全面完成了各项工作任务，对整个资金支出情况和工作成果进行了认真分析，部门整体支出达到了预期工作成果，实现了预期工作目标，自觉接受经审委意见建议，强化专项资金使用管理。完善机关专项补助资金、困难帮扶、工人文化宫、机关工会等专项资金的专账管理，做到专款专账专用。完善经费使用、开支标准、职责权限、审核报销、资金管理、票据管理等内部财务控制制度，实行财务工作归口管理制度，以制度规范工会的财务管理行为。</w:t>
      </w:r>
    </w:p>
    <w:p w14:paraId="35B762B5">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40A18AD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sz w:val="32"/>
          <w:szCs w:val="32"/>
          <w:lang w:eastAsia="zh-CN"/>
        </w:rPr>
      </w:pPr>
      <w:r>
        <w:rPr>
          <w:rFonts w:hint="eastAsia" w:eastAsia="仿宋_GB2312"/>
          <w:sz w:val="32"/>
          <w:szCs w:val="32"/>
          <w:lang w:eastAsia="zh-CN"/>
        </w:rPr>
        <w:t>由于部门整体支出绩效评价属于综合性的评价，其涉及管理学、经济学、社会学等多项领域，故仅仅依靠财务领域的人才在没有与其他相关领域的专家进行沟通的情况下，对部门整体支出进行独立评价可能结果并不完整。</w:t>
      </w:r>
    </w:p>
    <w:p w14:paraId="7A7F57ED">
      <w:pPr>
        <w:numPr>
          <w:ilvl w:val="0"/>
          <w:numId w:val="6"/>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14:paraId="71C9DD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进一步规范财政资金管理，强化各部</w:t>
      </w:r>
      <w:r>
        <w:rPr>
          <w:rFonts w:hint="eastAsia" w:ascii="仿宋" w:hAnsi="仿宋" w:eastAsia="仿宋" w:cs="仿宋"/>
          <w:sz w:val="32"/>
          <w:szCs w:val="32"/>
          <w:lang w:val="en-US" w:eastAsia="zh-CN"/>
        </w:rPr>
        <w:t>室</w:t>
      </w:r>
      <w:r>
        <w:rPr>
          <w:rFonts w:hint="eastAsia" w:ascii="仿宋" w:hAnsi="仿宋" w:eastAsia="仿宋" w:cs="仿宋"/>
          <w:sz w:val="32"/>
          <w:szCs w:val="32"/>
          <w:lang w:eastAsia="zh-CN"/>
        </w:rPr>
        <w:t>责任意识，做好财政资金预算决算管理工作，切实提高财政资金使用效益，通过组织培训、会议、专业人士授课等方式不断提升财政资金绩效自评工作小组人员的评价知识和能力，确保绩效评价的科学性和准确性。</w:t>
      </w:r>
    </w:p>
    <w:p w14:paraId="76B162B2">
      <w:p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1388DB1E">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5C8819E8">
      <w:pPr>
        <w:numPr>
          <w:ilvl w:val="0"/>
          <w:numId w:val="6"/>
        </w:numPr>
        <w:spacing w:line="600" w:lineRule="exact"/>
        <w:ind w:left="0" w:leftChars="0" w:firstLine="640" w:firstLineChars="200"/>
        <w:jc w:val="both"/>
        <w:rPr>
          <w:rFonts w:hint="eastAsia" w:eastAsia="黑体"/>
          <w:sz w:val="32"/>
          <w:szCs w:val="32"/>
          <w:lang w:eastAsia="zh-CN"/>
        </w:rPr>
      </w:pPr>
      <w:r>
        <w:rPr>
          <w:rFonts w:hint="eastAsia" w:eastAsia="黑体"/>
          <w:sz w:val="32"/>
          <w:szCs w:val="32"/>
          <w:lang w:eastAsia="zh-CN"/>
        </w:rPr>
        <w:t>其他需要说明的情况</w:t>
      </w:r>
    </w:p>
    <w:p w14:paraId="47B9D8A7">
      <w:pPr>
        <w:numPr>
          <w:ilvl w:val="0"/>
          <w:numId w:val="0"/>
        </w:numPr>
        <w:spacing w:line="600" w:lineRule="exact"/>
        <w:ind w:leftChars="200"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无</w:t>
      </w:r>
    </w:p>
    <w:p w14:paraId="785AC43C">
      <w:pPr>
        <w:kinsoku/>
        <w:autoSpaceDE/>
        <w:autoSpaceDN/>
        <w:adjustRightInd/>
        <w:snapToGrid/>
        <w:ind w:firstLine="560"/>
        <w:jc w:val="both"/>
        <w:textAlignment w:val="auto"/>
        <w:rPr>
          <w:rFonts w:ascii="仿宋_GB2312" w:eastAsia="仿宋_GB2312"/>
          <w:sz w:val="28"/>
          <w:szCs w:val="28"/>
          <w:lang w:eastAsia="zh-CN"/>
        </w:rPr>
      </w:pPr>
    </w:p>
    <w:p w14:paraId="25912309">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ascii="仿宋_GB2312" w:hAnsi="仿宋_GB2312" w:eastAsia="仿宋_GB2312" w:cs="仿宋_GB2312"/>
          <w:sz w:val="32"/>
          <w:szCs w:val="32"/>
          <w:lang w:eastAsia="zh-CN"/>
        </w:rPr>
      </w:pPr>
    </w:p>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37A6">
    <w:pPr>
      <w:pStyle w:val="4"/>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14:paraId="76AA9F52">
    <w:pPr>
      <w:ind w:firstLine="420"/>
    </w:pPr>
  </w:p>
  <w:p w14:paraId="523E08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14:paraId="409249B0">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7531C1BF">
    <w:pPr>
      <w:pStyle w:val="4"/>
      <w:rPr>
        <w:rFonts w:eastAsiaTheme="minor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A6BC0"/>
    <w:multiLevelType w:val="singleLevel"/>
    <w:tmpl w:val="8EEA6BC0"/>
    <w:lvl w:ilvl="0" w:tentative="0">
      <w:start w:val="1"/>
      <w:numFmt w:val="chineseCounting"/>
      <w:suff w:val="nothing"/>
      <w:lvlText w:val="%1、"/>
      <w:lvlJc w:val="left"/>
      <w:rPr>
        <w:rFonts w:hint="eastAsia"/>
      </w:rPr>
    </w:lvl>
  </w:abstractNum>
  <w:abstractNum w:abstractNumId="1">
    <w:nsid w:val="A0F04225"/>
    <w:multiLevelType w:val="singleLevel"/>
    <w:tmpl w:val="A0F04225"/>
    <w:lvl w:ilvl="0" w:tentative="0">
      <w:start w:val="8"/>
      <w:numFmt w:val="chineseCounting"/>
      <w:suff w:val="nothing"/>
      <w:lvlText w:val="%1、"/>
      <w:lvlJc w:val="left"/>
      <w:rPr>
        <w:rFonts w:hint="eastAsia"/>
      </w:rPr>
    </w:lvl>
  </w:abstractNum>
  <w:abstractNum w:abstractNumId="2">
    <w:nsid w:val="ADB96C85"/>
    <w:multiLevelType w:val="singleLevel"/>
    <w:tmpl w:val="ADB96C85"/>
    <w:lvl w:ilvl="0" w:tentative="0">
      <w:start w:val="4"/>
      <w:numFmt w:val="chineseCounting"/>
      <w:suff w:val="nothing"/>
      <w:lvlText w:val="%1、"/>
      <w:lvlJc w:val="left"/>
      <w:rPr>
        <w:rFonts w:hint="eastAsia"/>
      </w:rPr>
    </w:lvl>
  </w:abstractNum>
  <w:abstractNum w:abstractNumId="3">
    <w:nsid w:val="E77D6628"/>
    <w:multiLevelType w:val="singleLevel"/>
    <w:tmpl w:val="E77D6628"/>
    <w:lvl w:ilvl="0" w:tentative="0">
      <w:start w:val="2"/>
      <w:numFmt w:val="chineseCounting"/>
      <w:suff w:val="nothing"/>
      <w:lvlText w:val="（%1）"/>
      <w:lvlJc w:val="left"/>
      <w:rPr>
        <w:rFonts w:hint="eastAsia"/>
      </w:rPr>
    </w:lvl>
  </w:abstractNum>
  <w:abstractNum w:abstractNumId="4">
    <w:nsid w:val="48F7E07F"/>
    <w:multiLevelType w:val="singleLevel"/>
    <w:tmpl w:val="48F7E07F"/>
    <w:lvl w:ilvl="0" w:tentative="0">
      <w:start w:val="1"/>
      <w:numFmt w:val="chineseCounting"/>
      <w:suff w:val="nothing"/>
      <w:lvlText w:val="（%1）"/>
      <w:lvlJc w:val="left"/>
      <w:rPr>
        <w:rFonts w:hint="eastAsia"/>
      </w:rPr>
    </w:lvl>
  </w:abstractNum>
  <w:abstractNum w:abstractNumId="5">
    <w:nsid w:val="7FCB1335"/>
    <w:multiLevelType w:val="singleLevel"/>
    <w:tmpl w:val="7FCB1335"/>
    <w:lvl w:ilvl="0" w:tentative="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2EwODZmMzdmNDMxOGJkNWZkNWM0NTkyNTZjNjEyYmU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15B1CCB"/>
    <w:rsid w:val="032C4D85"/>
    <w:rsid w:val="05D813DA"/>
    <w:rsid w:val="07427682"/>
    <w:rsid w:val="07AC683C"/>
    <w:rsid w:val="07FA0E16"/>
    <w:rsid w:val="0A2761C4"/>
    <w:rsid w:val="0AD02409"/>
    <w:rsid w:val="0D67117C"/>
    <w:rsid w:val="0DAD4E1B"/>
    <w:rsid w:val="0DED6B5E"/>
    <w:rsid w:val="0E8D075B"/>
    <w:rsid w:val="0FB1213C"/>
    <w:rsid w:val="104D2390"/>
    <w:rsid w:val="10FD471C"/>
    <w:rsid w:val="1198193E"/>
    <w:rsid w:val="12F901BB"/>
    <w:rsid w:val="15412B90"/>
    <w:rsid w:val="157B7247"/>
    <w:rsid w:val="171E35E1"/>
    <w:rsid w:val="189A5894"/>
    <w:rsid w:val="19456BC6"/>
    <w:rsid w:val="1AF514C4"/>
    <w:rsid w:val="1CB71832"/>
    <w:rsid w:val="1D352737"/>
    <w:rsid w:val="1DAB397B"/>
    <w:rsid w:val="1E661C05"/>
    <w:rsid w:val="1EB5041E"/>
    <w:rsid w:val="1F153328"/>
    <w:rsid w:val="1F2A6363"/>
    <w:rsid w:val="200F1D9C"/>
    <w:rsid w:val="20713A86"/>
    <w:rsid w:val="20C31E08"/>
    <w:rsid w:val="236B4F77"/>
    <w:rsid w:val="23D62B00"/>
    <w:rsid w:val="25493054"/>
    <w:rsid w:val="277D166E"/>
    <w:rsid w:val="27801FA6"/>
    <w:rsid w:val="27EC2CAD"/>
    <w:rsid w:val="281D65AA"/>
    <w:rsid w:val="285B228C"/>
    <w:rsid w:val="2BA427C8"/>
    <w:rsid w:val="2BCA2BAA"/>
    <w:rsid w:val="2C3829EF"/>
    <w:rsid w:val="2C607BAC"/>
    <w:rsid w:val="2D372840"/>
    <w:rsid w:val="2E082A3D"/>
    <w:rsid w:val="303E2FDA"/>
    <w:rsid w:val="33EC7B9C"/>
    <w:rsid w:val="342616F5"/>
    <w:rsid w:val="35134303"/>
    <w:rsid w:val="36EF4A75"/>
    <w:rsid w:val="37375A74"/>
    <w:rsid w:val="37623328"/>
    <w:rsid w:val="37E1553E"/>
    <w:rsid w:val="37F952C0"/>
    <w:rsid w:val="385A6222"/>
    <w:rsid w:val="38F31085"/>
    <w:rsid w:val="39B85DFB"/>
    <w:rsid w:val="3AE076BC"/>
    <w:rsid w:val="3D037D04"/>
    <w:rsid w:val="3DD455A6"/>
    <w:rsid w:val="3FD50795"/>
    <w:rsid w:val="40D90CA5"/>
    <w:rsid w:val="415C3F17"/>
    <w:rsid w:val="4347756E"/>
    <w:rsid w:val="437B4391"/>
    <w:rsid w:val="44F97497"/>
    <w:rsid w:val="45E309BC"/>
    <w:rsid w:val="479B74B7"/>
    <w:rsid w:val="47F0411D"/>
    <w:rsid w:val="482E5C97"/>
    <w:rsid w:val="48C434ED"/>
    <w:rsid w:val="494D3F91"/>
    <w:rsid w:val="4A40474B"/>
    <w:rsid w:val="4A8008B7"/>
    <w:rsid w:val="4BC919E8"/>
    <w:rsid w:val="4E970C2B"/>
    <w:rsid w:val="4EC630F0"/>
    <w:rsid w:val="4F387977"/>
    <w:rsid w:val="50795403"/>
    <w:rsid w:val="508F562E"/>
    <w:rsid w:val="55414A9C"/>
    <w:rsid w:val="55E833EF"/>
    <w:rsid w:val="57495CFA"/>
    <w:rsid w:val="58006EC2"/>
    <w:rsid w:val="58256109"/>
    <w:rsid w:val="585D7279"/>
    <w:rsid w:val="59CA65A9"/>
    <w:rsid w:val="5DAF5613"/>
    <w:rsid w:val="5DB42C29"/>
    <w:rsid w:val="5F5720F9"/>
    <w:rsid w:val="5FAB594D"/>
    <w:rsid w:val="61681796"/>
    <w:rsid w:val="62FB6C04"/>
    <w:rsid w:val="65AF0D1D"/>
    <w:rsid w:val="668D2269"/>
    <w:rsid w:val="672A28E9"/>
    <w:rsid w:val="67404FA6"/>
    <w:rsid w:val="67476E60"/>
    <w:rsid w:val="67DE41FF"/>
    <w:rsid w:val="68B8009F"/>
    <w:rsid w:val="6A4F0052"/>
    <w:rsid w:val="6A745C1A"/>
    <w:rsid w:val="6B792780"/>
    <w:rsid w:val="6BCF2A3F"/>
    <w:rsid w:val="6D7E6628"/>
    <w:rsid w:val="6D833CF2"/>
    <w:rsid w:val="6E933850"/>
    <w:rsid w:val="70AF75DD"/>
    <w:rsid w:val="720F5C1E"/>
    <w:rsid w:val="72F75AA7"/>
    <w:rsid w:val="731C56F6"/>
    <w:rsid w:val="739B2ACF"/>
    <w:rsid w:val="74CA6436"/>
    <w:rsid w:val="751014B2"/>
    <w:rsid w:val="75E526A6"/>
    <w:rsid w:val="75FC7E24"/>
    <w:rsid w:val="765775DC"/>
    <w:rsid w:val="77D45F4A"/>
    <w:rsid w:val="792F66B8"/>
    <w:rsid w:val="7A772BBC"/>
    <w:rsid w:val="7AC072CB"/>
    <w:rsid w:val="7E2A12BF"/>
    <w:rsid w:val="7EE030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spacing w:before="20" w:line="222" w:lineRule="auto"/>
    </w:pPr>
    <w:rPr>
      <w:rFonts w:ascii="仿宋" w:hAnsi="仿宋" w:eastAsia="仿宋" w:cs="仿宋"/>
      <w:sz w:val="35"/>
      <w:szCs w:val="35"/>
    </w:r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pacing w:line="560" w:lineRule="exac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 w:type="character" w:customStyle="1" w:styleId="10">
    <w:name w:val="页脚 Char"/>
    <w:basedOn w:val="7"/>
    <w:link w:val="4"/>
    <w:qFormat/>
    <w:uiPriority w:val="99"/>
    <w:rPr>
      <w:rFonts w:eastAsia="Arial"/>
      <w:snapToGrid w:val="0"/>
      <w:color w:val="000000"/>
      <w:sz w:val="18"/>
      <w:szCs w:val="18"/>
      <w:lang w:eastAsia="en-US"/>
    </w:rPr>
  </w:style>
  <w:style w:type="character" w:customStyle="1" w:styleId="11">
    <w:name w:val="批注框文本 Char"/>
    <w:basedOn w:val="7"/>
    <w:link w:val="3"/>
    <w:qFormat/>
    <w:uiPriority w:val="0"/>
    <w:rPr>
      <w:rFonts w:eastAsia="Arial"/>
      <w:snapToGrid w:val="0"/>
      <w:color w:val="000000"/>
      <w:sz w:val="18"/>
      <w:szCs w:val="18"/>
      <w:lang w:eastAsia="en-US"/>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5762</Words>
  <Characters>6656</Characters>
  <Lines>42</Lines>
  <Paragraphs>11</Paragraphs>
  <TotalTime>3</TotalTime>
  <ScaleCrop>false</ScaleCrop>
  <LinksUpToDate>false</LinksUpToDate>
  <CharactersWithSpaces>6759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不忘初心</cp:lastModifiedBy>
  <cp:lastPrinted>2024-04-02T01:43:00Z</cp:lastPrinted>
  <dcterms:modified xsi:type="dcterms:W3CDTF">2025-12-01T12:26:01Z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2052-12.1.0.20305</vt:lpwstr>
  </property>
  <property fmtid="{D5CDD505-2E9C-101B-9397-08002B2CF9AE}" pid="6" name="ICV">
    <vt:lpwstr>DFAB4C7EF3214355A11F4B4967FBA2E9_13</vt:lpwstr>
  </property>
  <property fmtid="{D5CDD505-2E9C-101B-9397-08002B2CF9AE}" pid="7" name="KSOTemplateDocerSaveRecord">
    <vt:lpwstr>eyJoZGlkIjoiY2NmMmU0MzI3NzQ1OTc2ZTNiMjJiZDMzNDY1NjQ2MDUiLCJ1c2VySWQiOiIzNjczMjQwODQifQ==</vt:lpwstr>
  </property>
</Properties>
</file>