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E60EF">
      <w:pPr>
        <w:rPr>
          <w:rFonts w:hint="eastAsia" w:ascii="仿宋_GB2312" w:hAnsi="仿宋_GB2312" w:eastAsia="仿宋_GB2312" w:cs="仿宋_GB2312"/>
          <w:color w:val="auto"/>
          <w:sz w:val="36"/>
          <w:szCs w:val="36"/>
          <w:highlight w:val="none"/>
          <w:u w:val="none" w:color="auto"/>
          <w:lang w:eastAsia="zh-CN"/>
        </w:rPr>
      </w:pPr>
      <w:r>
        <w:rPr>
          <w:rFonts w:hint="eastAsia" w:ascii="仿宋_GB2312" w:hAnsi="仿宋_GB2312" w:eastAsia="仿宋_GB2312" w:cs="仿宋_GB2312"/>
          <w:color w:val="auto"/>
          <w:sz w:val="36"/>
          <w:szCs w:val="36"/>
          <w:highlight w:val="none"/>
          <w:u w:val="none" w:color="auto"/>
          <w:lang w:eastAsia="zh-CN"/>
        </w:rPr>
        <w:drawing>
          <wp:inline distT="0" distB="0" distL="114300" distR="114300">
            <wp:extent cx="1904365" cy="1062355"/>
            <wp:effectExtent l="0" t="0" r="635" b="4445"/>
            <wp:docPr id="26" name="图片 2" descr="a6682e7abc17325faaccc73f1409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a6682e7abc17325faaccc73f1409f07"/>
                    <pic:cNvPicPr>
                      <a:picLocks noChangeAspect="1"/>
                    </pic:cNvPicPr>
                  </pic:nvPicPr>
                  <pic:blipFill>
                    <a:blip r:embed="rId6"/>
                    <a:srcRect l="13191" t="38695" r="16418" b="24263"/>
                    <a:stretch>
                      <a:fillRect/>
                    </a:stretch>
                  </pic:blipFill>
                  <pic:spPr>
                    <a:xfrm>
                      <a:off x="0" y="0"/>
                      <a:ext cx="1904365" cy="1062355"/>
                    </a:xfrm>
                    <a:prstGeom prst="rect">
                      <a:avLst/>
                    </a:prstGeom>
                    <a:noFill/>
                    <a:ln>
                      <a:noFill/>
                    </a:ln>
                  </pic:spPr>
                </pic:pic>
              </a:graphicData>
            </a:graphic>
          </wp:inline>
        </w:drawing>
      </w:r>
    </w:p>
    <w:p w14:paraId="6F531792">
      <w:pPr>
        <w:rPr>
          <w:rFonts w:hint="default" w:ascii="Times New Roman" w:hAnsi="Times New Roman" w:eastAsia="仿宋_GB2312" w:cs="Times New Roman"/>
          <w:color w:val="auto"/>
          <w:sz w:val="36"/>
          <w:szCs w:val="36"/>
          <w:highlight w:val="none"/>
          <w:u w:val="none" w:color="auto"/>
        </w:rPr>
      </w:pPr>
    </w:p>
    <w:p w14:paraId="6143FA47">
      <w:pPr>
        <w:rPr>
          <w:rFonts w:hint="default" w:ascii="Times New Roman" w:hAnsi="Times New Roman" w:eastAsia="仿宋_GB2312" w:cs="Times New Roman"/>
          <w:color w:val="auto"/>
          <w:sz w:val="36"/>
          <w:szCs w:val="36"/>
          <w:highlight w:val="none"/>
          <w:u w:val="none" w:color="auto"/>
        </w:rPr>
      </w:pPr>
    </w:p>
    <w:p w14:paraId="057691F0">
      <w:pPr>
        <w:rPr>
          <w:rFonts w:hint="default" w:ascii="Times New Roman" w:hAnsi="Times New Roman" w:eastAsia="仿宋_GB2312" w:cs="Times New Roman"/>
          <w:color w:val="auto"/>
          <w:sz w:val="36"/>
          <w:szCs w:val="36"/>
          <w:highlight w:val="none"/>
          <w:u w:val="none" w:color="auto"/>
        </w:rPr>
      </w:pPr>
    </w:p>
    <w:p w14:paraId="0EFB7261">
      <w:pPr>
        <w:rPr>
          <w:rFonts w:hint="default" w:ascii="Times New Roman" w:hAnsi="Times New Roman" w:eastAsia="仿宋_GB2312" w:cs="Times New Roman"/>
          <w:color w:val="auto"/>
          <w:sz w:val="36"/>
          <w:szCs w:val="36"/>
          <w:highlight w:val="none"/>
          <w:u w:val="none" w:color="auto"/>
        </w:rPr>
      </w:pPr>
    </w:p>
    <w:p w14:paraId="640AD443">
      <w:pPr>
        <w:rPr>
          <w:rFonts w:hint="default" w:ascii="Times New Roman" w:hAnsi="Times New Roman" w:eastAsia="仿宋_GB2312" w:cs="Times New Roman"/>
          <w:color w:val="auto"/>
          <w:sz w:val="36"/>
          <w:szCs w:val="36"/>
          <w:highlight w:val="none"/>
          <w:u w:val="none" w:color="auto"/>
        </w:rPr>
      </w:pPr>
    </w:p>
    <w:p w14:paraId="3330DD3D">
      <w:pPr>
        <w:adjustRightInd w:val="0"/>
        <w:snapToGrid w:val="0"/>
        <w:jc w:val="center"/>
        <w:outlineLvl w:val="0"/>
        <w:rPr>
          <w:rFonts w:hint="default" w:ascii="Times New Roman" w:hAnsi="Times New Roman" w:eastAsia="方正小标宋_GBK" w:cs="Times New Roman"/>
          <w:bCs/>
          <w:color w:val="auto"/>
          <w:sz w:val="72"/>
          <w:szCs w:val="72"/>
          <w:highlight w:val="none"/>
          <w:u w:val="none" w:color="auto"/>
        </w:rPr>
      </w:pPr>
      <w:bookmarkStart w:id="0" w:name="_Toc7595"/>
      <w:bookmarkStart w:id="1" w:name="_Toc17168"/>
      <w:bookmarkStart w:id="2" w:name="_Toc956"/>
      <w:bookmarkStart w:id="3" w:name="_Toc30586"/>
      <w:bookmarkStart w:id="4" w:name="_Toc9387"/>
      <w:bookmarkStart w:id="5" w:name="_Toc19612"/>
      <w:bookmarkStart w:id="6" w:name="_Toc9637"/>
      <w:bookmarkStart w:id="7" w:name="_Toc731"/>
      <w:bookmarkStart w:id="8" w:name="_Toc8104"/>
      <w:bookmarkStart w:id="9" w:name="_Toc26483"/>
      <w:bookmarkStart w:id="10" w:name="_Toc15283"/>
      <w:bookmarkStart w:id="11" w:name="_Toc7915"/>
      <w:r>
        <w:rPr>
          <w:rFonts w:hint="default" w:ascii="Times New Roman" w:hAnsi="Times New Roman" w:eastAsia="方正小标宋_GBK" w:cs="Times New Roman"/>
          <w:bCs/>
          <w:color w:val="auto"/>
          <w:sz w:val="72"/>
          <w:szCs w:val="72"/>
          <w:highlight w:val="none"/>
          <w:u w:val="none" w:color="auto"/>
        </w:rPr>
        <w:t>建设项目环境影响报告表</w:t>
      </w:r>
      <w:bookmarkEnd w:id="0"/>
      <w:bookmarkEnd w:id="1"/>
      <w:bookmarkEnd w:id="2"/>
      <w:bookmarkEnd w:id="3"/>
      <w:bookmarkEnd w:id="4"/>
      <w:bookmarkEnd w:id="5"/>
      <w:bookmarkEnd w:id="6"/>
      <w:bookmarkEnd w:id="7"/>
      <w:bookmarkEnd w:id="8"/>
      <w:bookmarkEnd w:id="9"/>
      <w:bookmarkEnd w:id="10"/>
      <w:bookmarkEnd w:id="11"/>
    </w:p>
    <w:p w14:paraId="0B79AEF9">
      <w:pPr>
        <w:jc w:val="center"/>
        <w:rPr>
          <w:rFonts w:hint="default" w:ascii="Times New Roman" w:hAnsi="Times New Roman" w:eastAsia="仿宋" w:cs="Times New Roman"/>
          <w:color w:val="auto"/>
          <w:sz w:val="52"/>
          <w:szCs w:val="52"/>
          <w:highlight w:val="none"/>
          <w:u w:val="none" w:color="auto"/>
        </w:rPr>
      </w:pPr>
      <w:r>
        <w:rPr>
          <w:rFonts w:hint="default" w:ascii="Times New Roman" w:hAnsi="Times New Roman" w:eastAsia="楷体_GB2312" w:cs="Times New Roman"/>
          <w:bCs/>
          <w:color w:val="auto"/>
          <w:sz w:val="48"/>
          <w:szCs w:val="48"/>
          <w:highlight w:val="none"/>
          <w:u w:val="none" w:color="auto"/>
        </w:rPr>
        <w:t>（污染影响类）</w:t>
      </w:r>
    </w:p>
    <w:p w14:paraId="39241CCB">
      <w:pPr>
        <w:jc w:val="center"/>
        <w:rPr>
          <w:rFonts w:hint="default" w:ascii="Times New Roman" w:hAnsi="Times New Roman" w:eastAsia="仿宋" w:cs="Times New Roman"/>
          <w:color w:val="auto"/>
          <w:sz w:val="52"/>
          <w:szCs w:val="52"/>
          <w:highlight w:val="none"/>
          <w:u w:val="none" w:color="auto"/>
        </w:rPr>
      </w:pPr>
    </w:p>
    <w:p w14:paraId="10656F1D">
      <w:pPr>
        <w:ind w:firstLine="1040"/>
        <w:rPr>
          <w:rFonts w:hint="default" w:ascii="Times New Roman" w:hAnsi="Times New Roman" w:eastAsia="仿宋" w:cs="Times New Roman"/>
          <w:color w:val="auto"/>
          <w:sz w:val="44"/>
          <w:szCs w:val="44"/>
          <w:highlight w:val="none"/>
          <w:u w:val="none" w:color="auto"/>
        </w:rPr>
      </w:pPr>
    </w:p>
    <w:p w14:paraId="43CD976E">
      <w:pPr>
        <w:ind w:firstLine="1040"/>
        <w:rPr>
          <w:rFonts w:hint="default" w:ascii="Times New Roman" w:hAnsi="Times New Roman" w:eastAsia="仿宋" w:cs="Times New Roman"/>
          <w:color w:val="auto"/>
          <w:sz w:val="44"/>
          <w:szCs w:val="44"/>
          <w:highlight w:val="none"/>
          <w:u w:val="none" w:color="auto"/>
        </w:rPr>
      </w:pPr>
    </w:p>
    <w:p w14:paraId="166C8A56">
      <w:pPr>
        <w:ind w:firstLine="1040"/>
        <w:rPr>
          <w:rFonts w:hint="default" w:ascii="Times New Roman" w:hAnsi="Times New Roman" w:eastAsia="仿宋" w:cs="Times New Roman"/>
          <w:color w:val="auto"/>
          <w:sz w:val="44"/>
          <w:szCs w:val="44"/>
          <w:highlight w:val="none"/>
          <w:u w:val="none" w:color="auto"/>
        </w:rPr>
      </w:pPr>
    </w:p>
    <w:p w14:paraId="2E18D539">
      <w:pPr>
        <w:ind w:firstLine="1040"/>
        <w:rPr>
          <w:rFonts w:hint="default" w:ascii="Times New Roman" w:hAnsi="Times New Roman" w:eastAsia="仿宋" w:cs="Times New Roman"/>
          <w:color w:val="auto"/>
          <w:sz w:val="44"/>
          <w:szCs w:val="44"/>
          <w:highlight w:val="none"/>
          <w:u w:val="none" w:color="auto"/>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3"/>
        <w:gridCol w:w="5459"/>
      </w:tblGrid>
      <w:tr w14:paraId="6F3B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97" w:type="pct"/>
            <w:vAlign w:val="center"/>
          </w:tcPr>
          <w:p w14:paraId="7835923E">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项目名称</w:t>
            </w:r>
            <w:r>
              <w:rPr>
                <w:rFonts w:hint="eastAsia" w:eastAsia="仿宋_GB2312" w:cs="Times New Roman"/>
                <w:color w:val="auto"/>
                <w:sz w:val="36"/>
                <w:szCs w:val="36"/>
                <w:highlight w:val="none"/>
                <w:u w:val="none" w:color="auto"/>
                <w:lang w:eastAsia="zh-CN"/>
              </w:rPr>
              <w:t>：</w:t>
            </w:r>
          </w:p>
        </w:tc>
        <w:tc>
          <w:tcPr>
            <w:tcW w:w="3202" w:type="pct"/>
            <w:vAlign w:val="center"/>
          </w:tcPr>
          <w:p w14:paraId="3CD299A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none" w:color="auto"/>
              </w:rPr>
            </w:pPr>
            <w:r>
              <w:rPr>
                <w:rFonts w:hint="eastAsia" w:eastAsia="仿宋_GB2312" w:cs="Times New Roman"/>
                <w:color w:val="auto"/>
                <w:sz w:val="36"/>
                <w:szCs w:val="36"/>
                <w:highlight w:val="none"/>
                <w:u w:val="none" w:color="auto"/>
                <w:lang w:val="en-US" w:eastAsia="zh-CN"/>
              </w:rPr>
              <w:t>年处置12万只报废液化石油气钢瓶项目</w:t>
            </w:r>
          </w:p>
        </w:tc>
      </w:tr>
      <w:tr w14:paraId="6E3B6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7" w:type="pct"/>
            <w:vAlign w:val="center"/>
          </w:tcPr>
          <w:p w14:paraId="6FF8ADEB">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建设单位（盖章）</w:t>
            </w:r>
            <w:r>
              <w:rPr>
                <w:rFonts w:hint="eastAsia" w:eastAsia="仿宋_GB2312" w:cs="Times New Roman"/>
                <w:color w:val="auto"/>
                <w:sz w:val="36"/>
                <w:szCs w:val="36"/>
                <w:highlight w:val="none"/>
                <w:u w:val="none" w:color="auto"/>
                <w:lang w:eastAsia="zh-CN"/>
              </w:rPr>
              <w:t>：</w:t>
            </w:r>
          </w:p>
        </w:tc>
        <w:tc>
          <w:tcPr>
            <w:tcW w:w="3202" w:type="pct"/>
            <w:vAlign w:val="center"/>
          </w:tcPr>
          <w:p w14:paraId="588E061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none" w:color="auto"/>
              </w:rPr>
            </w:pPr>
            <w:r>
              <w:rPr>
                <w:rFonts w:hint="default" w:ascii="Times New Roman" w:hAnsi="Times New Roman" w:eastAsia="仿宋_GB2312" w:cs="Times New Roman"/>
                <w:color w:val="auto"/>
                <w:sz w:val="36"/>
                <w:szCs w:val="36"/>
                <w:highlight w:val="none"/>
                <w:u w:val="none" w:color="auto"/>
              </w:rPr>
              <w:t>岳阳县长富钢瓶检测厂新墙分厂</w:t>
            </w:r>
          </w:p>
        </w:tc>
      </w:tr>
      <w:tr w14:paraId="44EB4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97" w:type="pct"/>
            <w:vAlign w:val="center"/>
          </w:tcPr>
          <w:p w14:paraId="689B2996">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编制日期</w:t>
            </w:r>
            <w:r>
              <w:rPr>
                <w:rFonts w:hint="eastAsia" w:eastAsia="仿宋_GB2312" w:cs="Times New Roman"/>
                <w:color w:val="auto"/>
                <w:sz w:val="36"/>
                <w:szCs w:val="36"/>
                <w:highlight w:val="none"/>
                <w:u w:val="none" w:color="auto"/>
                <w:lang w:eastAsia="zh-CN"/>
              </w:rPr>
              <w:t>：</w:t>
            </w:r>
          </w:p>
        </w:tc>
        <w:tc>
          <w:tcPr>
            <w:tcW w:w="3202" w:type="pct"/>
            <w:vAlign w:val="center"/>
          </w:tcPr>
          <w:p w14:paraId="67DEA0A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none" w:color="auto"/>
              </w:rPr>
            </w:pPr>
            <w:r>
              <w:rPr>
                <w:rFonts w:hint="default" w:ascii="Times New Roman" w:hAnsi="Times New Roman" w:eastAsia="仿宋_GB2312" w:cs="Times New Roman"/>
                <w:color w:val="auto"/>
                <w:sz w:val="36"/>
                <w:szCs w:val="36"/>
                <w:highlight w:val="none"/>
                <w:u w:val="none" w:color="auto"/>
                <w:lang w:val="en-US" w:eastAsia="zh-CN"/>
              </w:rPr>
              <w:t>202</w:t>
            </w:r>
            <w:r>
              <w:rPr>
                <w:rFonts w:hint="eastAsia" w:eastAsia="仿宋_GB2312" w:cs="Times New Roman"/>
                <w:color w:val="auto"/>
                <w:sz w:val="36"/>
                <w:szCs w:val="36"/>
                <w:highlight w:val="none"/>
                <w:u w:val="none" w:color="auto"/>
                <w:lang w:val="en-US" w:eastAsia="zh-CN"/>
              </w:rPr>
              <w:t>5</w:t>
            </w:r>
            <w:r>
              <w:rPr>
                <w:rFonts w:hint="default" w:ascii="Times New Roman" w:hAnsi="Times New Roman" w:eastAsia="仿宋_GB2312" w:cs="Times New Roman"/>
                <w:color w:val="auto"/>
                <w:sz w:val="36"/>
                <w:szCs w:val="36"/>
                <w:highlight w:val="none"/>
                <w:u w:val="none" w:color="auto"/>
                <w:lang w:val="en-US" w:eastAsia="zh-CN"/>
              </w:rPr>
              <w:t>年</w:t>
            </w:r>
            <w:r>
              <w:rPr>
                <w:rFonts w:hint="eastAsia" w:eastAsia="仿宋_GB2312" w:cs="Times New Roman"/>
                <w:color w:val="auto"/>
                <w:sz w:val="36"/>
                <w:szCs w:val="36"/>
                <w:highlight w:val="none"/>
                <w:u w:val="none" w:color="auto"/>
                <w:lang w:val="en-US" w:eastAsia="zh-CN"/>
              </w:rPr>
              <w:t>12</w:t>
            </w:r>
            <w:r>
              <w:rPr>
                <w:rFonts w:hint="default" w:ascii="Times New Roman" w:hAnsi="Times New Roman" w:eastAsia="仿宋_GB2312" w:cs="Times New Roman"/>
                <w:color w:val="auto"/>
                <w:sz w:val="36"/>
                <w:szCs w:val="36"/>
                <w:highlight w:val="none"/>
                <w:u w:val="none" w:color="auto"/>
                <w:lang w:val="en-US" w:eastAsia="zh-CN"/>
              </w:rPr>
              <w:t>月</w:t>
            </w:r>
          </w:p>
        </w:tc>
        <w:bookmarkStart w:id="12" w:name="_Hlk57884087"/>
      </w:tr>
      <w:bookmarkEnd w:id="12"/>
    </w:tbl>
    <w:p w14:paraId="4A831C58">
      <w:pPr>
        <w:tabs>
          <w:tab w:val="left" w:pos="1021"/>
        </w:tabs>
        <w:jc w:val="center"/>
        <w:rPr>
          <w:rFonts w:hint="default" w:ascii="Times New Roman" w:hAnsi="Times New Roman" w:eastAsia="楷体_GB2312" w:cs="Times New Roman"/>
          <w:color w:val="auto"/>
          <w:sz w:val="36"/>
          <w:szCs w:val="36"/>
          <w:highlight w:val="none"/>
          <w:u w:val="none" w:color="auto"/>
        </w:rPr>
      </w:pPr>
    </w:p>
    <w:p w14:paraId="3AED9E25">
      <w:pPr>
        <w:tabs>
          <w:tab w:val="left" w:pos="1021"/>
        </w:tabs>
        <w:jc w:val="center"/>
        <w:rPr>
          <w:rFonts w:hint="default" w:ascii="Times New Roman" w:hAnsi="Times New Roman" w:eastAsia="楷体_GB2312" w:cs="Times New Roman"/>
          <w:color w:val="auto"/>
          <w:sz w:val="36"/>
          <w:szCs w:val="36"/>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楷体_GB2312" w:cs="Times New Roman"/>
          <w:color w:val="auto"/>
          <w:sz w:val="36"/>
          <w:szCs w:val="36"/>
          <w:highlight w:val="none"/>
          <w:u w:val="none" w:color="auto"/>
        </w:rPr>
        <w:t>中华人民共和国生态环境部制</w:t>
      </w:r>
    </w:p>
    <w:p w14:paraId="3B3DF435">
      <w:pPr>
        <w:pStyle w:val="34"/>
        <w:rPr>
          <w:highlight w:val="none"/>
          <w:u w:val="none" w:color="auto"/>
        </w:rPr>
      </w:pPr>
    </w:p>
    <w:sdt>
      <w:sdtPr>
        <w:rPr>
          <w:rFonts w:hint="default" w:ascii="Times New Roman" w:hAnsi="Times New Roman" w:eastAsia="宋体" w:cs="Times New Roman"/>
          <w:b/>
          <w:bCs/>
          <w:color w:val="auto"/>
          <w:sz w:val="30"/>
          <w:szCs w:val="30"/>
          <w:highlight w:val="none"/>
          <w:u w:val="none" w:color="auto"/>
          <w:lang w:val="en-US" w:eastAsia="zh-CN"/>
        </w:rPr>
        <w:id w:val="147457972"/>
        <w15:color w:val="DBDBDB"/>
        <w:docPartObj>
          <w:docPartGallery w:val="Table of Contents"/>
          <w:docPartUnique/>
        </w:docPartObj>
      </w:sdtPr>
      <w:sdtEndPr>
        <w:rPr>
          <w:rFonts w:hint="default" w:ascii="Times New Roman" w:hAnsi="Times New Roman" w:eastAsia="楷体_GB2312" w:cs="Times New Roman"/>
          <w:b/>
          <w:bCs/>
          <w:color w:val="auto"/>
          <w:kern w:val="2"/>
          <w:sz w:val="21"/>
          <w:szCs w:val="36"/>
          <w:highlight w:val="none"/>
          <w:u w:val="none" w:color="auto"/>
          <w:lang w:val="en-US" w:eastAsia="zh-CN" w:bidi="ar-SA"/>
        </w:rPr>
      </w:sdtEndPr>
      <w:sdtContent>
        <w:p w14:paraId="674631F4">
          <w:pPr>
            <w:pStyle w:val="34"/>
            <w:jc w:val="center"/>
            <w:rPr>
              <w:rFonts w:hint="default" w:ascii="Times New Roman" w:hAnsi="Times New Roman" w:eastAsia="楷体_GB2312" w:cs="Times New Roman"/>
              <w:color w:val="auto"/>
              <w:kern w:val="2"/>
              <w:sz w:val="21"/>
              <w:szCs w:val="36"/>
              <w:highlight w:val="none"/>
              <w:u w:val="none" w:color="auto"/>
              <w:lang w:val="en-US" w:eastAsia="zh-CN" w:bidi="ar-SA"/>
            </w:rPr>
          </w:pPr>
          <w:r>
            <w:rPr>
              <w:rFonts w:hint="default" w:ascii="Times New Roman" w:hAnsi="Times New Roman" w:eastAsia="宋体" w:cs="Times New Roman"/>
              <w:b/>
              <w:bCs/>
              <w:color w:val="auto"/>
              <w:sz w:val="30"/>
              <w:szCs w:val="30"/>
              <w:highlight w:val="none"/>
              <w:u w:val="none" w:color="auto"/>
            </w:rPr>
            <w:t>目录</w:t>
          </w:r>
          <w:r>
            <w:rPr>
              <w:rFonts w:hint="default" w:ascii="Times New Roman" w:hAnsi="Times New Roman" w:eastAsia="楷体_GB2312" w:cs="Times New Roman"/>
              <w:color w:val="auto"/>
              <w:sz w:val="36"/>
              <w:szCs w:val="36"/>
              <w:highlight w:val="none"/>
              <w:u w:val="none" w:color="auto"/>
            </w:rPr>
            <w:fldChar w:fldCharType="begin"/>
          </w:r>
          <w:r>
            <w:rPr>
              <w:rFonts w:hint="default" w:ascii="Times New Roman" w:hAnsi="Times New Roman" w:eastAsia="楷体_GB2312" w:cs="Times New Roman"/>
              <w:color w:val="auto"/>
              <w:sz w:val="36"/>
              <w:szCs w:val="36"/>
              <w:highlight w:val="none"/>
              <w:u w:val="none" w:color="auto"/>
            </w:rPr>
            <w:instrText xml:space="preserve">TOC\o"1-3"\h\u</w:instrText>
          </w:r>
          <w:r>
            <w:rPr>
              <w:rFonts w:hint="default" w:ascii="Times New Roman" w:hAnsi="Times New Roman" w:eastAsia="楷体_GB2312" w:cs="Times New Roman"/>
              <w:color w:val="auto"/>
              <w:sz w:val="36"/>
              <w:szCs w:val="36"/>
              <w:highlight w:val="none"/>
              <w:u w:val="none" w:color="auto"/>
            </w:rPr>
            <w:fldChar w:fldCharType="separate"/>
          </w:r>
        </w:p>
        <w:p w14:paraId="5EC2C111">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_Toc17619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lang w:val="en-US" w:eastAsia="zh-CN"/>
            </w:rPr>
            <w:t>一、建设项目基本情况</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_Toc17619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1</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59B13B62">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_Toc27384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lang w:val="en-US" w:eastAsia="zh-CN"/>
            </w:rPr>
            <w:t>二、建设项目工程分析</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_Toc27384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18</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0402A0F3">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_Toc23005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lang w:val="en-US" w:eastAsia="zh-CN"/>
            </w:rPr>
            <w:t>三、区域环境质量现状、环境保护目标及评价标准</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_Toc23005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26</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4ABCCC01">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_Toc3619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bCs/>
              <w:kern w:val="44"/>
              <w:sz w:val="24"/>
              <w:szCs w:val="24"/>
              <w:highlight w:val="none"/>
              <w:u w:val="none" w:color="auto"/>
              <w:lang w:val="en-US" w:eastAsia="zh-CN" w:bidi="ar-SA"/>
            </w:rPr>
            <w:t>四、主要环境影响和保护措施</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_Toc3619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32</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3CE9D4A7">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_Toc27341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bCs/>
              <w:kern w:val="44"/>
              <w:sz w:val="24"/>
              <w:szCs w:val="24"/>
              <w:highlight w:val="none"/>
              <w:u w:val="none" w:color="auto"/>
              <w:lang w:val="en-US" w:eastAsia="zh-CN" w:bidi="ar-SA"/>
            </w:rPr>
            <w:t>五、环境保护措施监督检查清单</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_Toc27341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55</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444E77BA">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_Toc27680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bCs/>
              <w:kern w:val="44"/>
              <w:sz w:val="24"/>
              <w:szCs w:val="24"/>
              <w:highlight w:val="none"/>
              <w:u w:val="none" w:color="auto"/>
              <w:lang w:val="en-US" w:eastAsia="zh-CN" w:bidi="ar-SA"/>
            </w:rPr>
            <w:t>六、结论</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_Toc27680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56</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0F7C1C5F">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_Toc22499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bCs w:val="0"/>
              <w:kern w:val="44"/>
              <w:sz w:val="24"/>
              <w:szCs w:val="24"/>
              <w:highlight w:val="none"/>
              <w:u w:val="none" w:color="auto"/>
              <w:lang w:val="en-US" w:eastAsia="zh-CN" w:bidi="ar-SA"/>
            </w:rPr>
            <w:t>附表</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_Toc22499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57</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1137210A">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u w:val="none" w:color="auto"/>
            </w:rPr>
          </w:pPr>
          <w:r>
            <w:rPr>
              <w:rFonts w:hint="default" w:ascii="Times New Roman" w:hAnsi="Times New Roman" w:eastAsia="黑体" w:cs="Times New Roman"/>
              <w:color w:val="auto"/>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HYPERLINK \l _Toc25687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napToGrid w:val="0"/>
              <w:kern w:val="0"/>
              <w:sz w:val="24"/>
              <w:szCs w:val="24"/>
              <w:highlight w:val="none"/>
              <w:u w:val="none" w:color="auto"/>
              <w:lang w:val="en-US" w:eastAsia="en-US" w:bidi="ar-SA"/>
            </w:rPr>
            <w:t>建设项目污染物排放量汇总表</w:t>
          </w:r>
          <w:r>
            <w:rPr>
              <w:rFonts w:hint="default" w:ascii="Times New Roman" w:hAnsi="Times New Roman" w:eastAsia="黑体" w:cs="Times New Roman"/>
              <w:sz w:val="24"/>
              <w:szCs w:val="24"/>
              <w:highlight w:val="none"/>
              <w:u w:val="none" w:color="auto"/>
            </w:rPr>
            <w:tab/>
          </w:r>
          <w:r>
            <w:rPr>
              <w:rFonts w:hint="default" w:ascii="Times New Roman" w:hAnsi="Times New Roman" w:eastAsia="黑体" w:cs="Times New Roman"/>
              <w:sz w:val="24"/>
              <w:szCs w:val="24"/>
              <w:highlight w:val="none"/>
              <w:u w:val="none" w:color="auto"/>
            </w:rPr>
            <w:fldChar w:fldCharType="begin"/>
          </w:r>
          <w:r>
            <w:rPr>
              <w:rFonts w:hint="default" w:ascii="Times New Roman" w:hAnsi="Times New Roman" w:eastAsia="黑体" w:cs="Times New Roman"/>
              <w:sz w:val="24"/>
              <w:szCs w:val="24"/>
              <w:highlight w:val="none"/>
              <w:u w:val="none" w:color="auto"/>
            </w:rPr>
            <w:instrText xml:space="preserve"> PAGEREF _Toc25687 \h </w:instrText>
          </w:r>
          <w:r>
            <w:rPr>
              <w:rFonts w:hint="default" w:ascii="Times New Roman" w:hAnsi="Times New Roman" w:eastAsia="黑体" w:cs="Times New Roman"/>
              <w:sz w:val="24"/>
              <w:szCs w:val="24"/>
              <w:highlight w:val="none"/>
              <w:u w:val="none" w:color="auto"/>
            </w:rPr>
            <w:fldChar w:fldCharType="separate"/>
          </w:r>
          <w:r>
            <w:rPr>
              <w:rFonts w:hint="default" w:ascii="Times New Roman" w:hAnsi="Times New Roman" w:eastAsia="黑体" w:cs="Times New Roman"/>
              <w:sz w:val="24"/>
              <w:szCs w:val="24"/>
              <w:highlight w:val="none"/>
              <w:u w:val="none" w:color="auto"/>
            </w:rPr>
            <w:t>57</w:t>
          </w:r>
          <w:r>
            <w:rPr>
              <w:rFonts w:hint="default" w:ascii="Times New Roman" w:hAnsi="Times New Roman" w:eastAsia="黑体" w:cs="Times New Roman"/>
              <w:sz w:val="24"/>
              <w:szCs w:val="24"/>
              <w:highlight w:val="none"/>
              <w:u w:val="none" w:color="auto"/>
            </w:rPr>
            <w:fldChar w:fldCharType="end"/>
          </w:r>
          <w:r>
            <w:rPr>
              <w:rFonts w:hint="default" w:ascii="Times New Roman" w:hAnsi="Times New Roman" w:eastAsia="黑体" w:cs="Times New Roman"/>
              <w:color w:val="auto"/>
              <w:sz w:val="24"/>
              <w:szCs w:val="24"/>
              <w:highlight w:val="none"/>
              <w:u w:val="none" w:color="auto"/>
            </w:rPr>
            <w:fldChar w:fldCharType="end"/>
          </w:r>
        </w:p>
        <w:p w14:paraId="0D8494C5">
          <w:pPr>
            <w:tabs>
              <w:tab w:val="left" w:pos="1021"/>
            </w:tabs>
            <w:spacing w:before="0" w:beforeLines="0" w:after="0" w:afterLines="0" w:line="240" w:lineRule="auto"/>
            <w:ind w:left="0" w:leftChars="0" w:right="0" w:rightChars="0" w:firstLine="0" w:firstLineChars="0"/>
            <w:jc w:val="center"/>
            <w:rPr>
              <w:rFonts w:hint="default" w:ascii="Times New Roman" w:hAnsi="Times New Roman" w:eastAsia="楷体_GB2312" w:cs="Times New Roman"/>
              <w:color w:val="auto"/>
              <w:kern w:val="2"/>
              <w:sz w:val="21"/>
              <w:szCs w:val="36"/>
              <w:highlight w:val="none"/>
              <w:u w:val="none" w:color="auto"/>
              <w:lang w:val="en-US" w:eastAsia="zh-CN" w:bidi="ar-SA"/>
            </w:rPr>
          </w:pPr>
          <w:r>
            <w:rPr>
              <w:rFonts w:hint="default" w:ascii="Times New Roman" w:hAnsi="Times New Roman" w:eastAsia="楷体_GB2312" w:cs="Times New Roman"/>
              <w:color w:val="auto"/>
              <w:szCs w:val="36"/>
              <w:highlight w:val="none"/>
              <w:u w:val="none" w:color="auto"/>
            </w:rPr>
            <w:fldChar w:fldCharType="end"/>
          </w:r>
        </w:p>
      </w:sdtContent>
    </w:sdt>
    <w:p w14:paraId="79AF71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24"/>
          <w:szCs w:val="32"/>
          <w:highlight w:val="none"/>
          <w:u w:val="none" w:color="auto"/>
          <w:lang w:val="en-US" w:eastAsia="zh-CN"/>
        </w:rPr>
      </w:pPr>
      <w:r>
        <w:rPr>
          <w:rFonts w:hint="eastAsia" w:eastAsia="宋体"/>
          <w:b/>
          <w:bCs/>
          <w:color w:val="auto"/>
          <w:sz w:val="24"/>
          <w:szCs w:val="32"/>
          <w:highlight w:val="none"/>
          <w:u w:val="none" w:color="auto"/>
          <w:lang w:val="en-US" w:eastAsia="zh-CN"/>
        </w:rPr>
        <w:t>附件：</w:t>
      </w:r>
    </w:p>
    <w:p w14:paraId="11AAFEA6">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附件1   环评委托书</w:t>
      </w:r>
    </w:p>
    <w:p w14:paraId="5F1E8CFE">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附件2   发改备案</w:t>
      </w:r>
    </w:p>
    <w:p w14:paraId="7CF4A4C0">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附件3   租赁合同</w:t>
      </w:r>
    </w:p>
    <w:p w14:paraId="09921DD6">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附件4   用地文件</w:t>
      </w:r>
    </w:p>
    <w:p w14:paraId="68215D94">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附件5   新墙镇政府及村委会意见</w:t>
      </w:r>
    </w:p>
    <w:p w14:paraId="264D07F9">
      <w:pPr>
        <w:pStyle w:val="25"/>
        <w:bidi w:val="0"/>
        <w:rPr>
          <w:rFonts w:hint="eastAsia"/>
          <w:highlight w:val="none"/>
          <w:u w:val="none" w:color="auto"/>
          <w:lang w:val="en-US" w:eastAsia="zh-CN"/>
        </w:rPr>
      </w:pPr>
      <w:r>
        <w:rPr>
          <w:rFonts w:hint="eastAsia"/>
          <w:highlight w:val="none"/>
          <w:u w:val="none" w:color="auto"/>
          <w:lang w:val="en-US" w:eastAsia="zh-CN"/>
        </w:rPr>
        <w:t>附件6</w:t>
      </w:r>
      <w:r>
        <w:rPr>
          <w:rFonts w:hint="eastAsia"/>
          <w:color w:val="auto"/>
          <w:highlight w:val="none"/>
          <w:u w:val="none" w:color="auto"/>
          <w:lang w:val="en-US" w:eastAsia="zh-CN"/>
        </w:rPr>
        <w:t xml:space="preserve">   </w:t>
      </w:r>
      <w:r>
        <w:rPr>
          <w:rFonts w:hint="eastAsia"/>
          <w:highlight w:val="none"/>
          <w:u w:val="none" w:color="auto"/>
          <w:lang w:val="en-US" w:eastAsia="zh-CN"/>
        </w:rPr>
        <w:t>引用数据的检测报告</w:t>
      </w:r>
    </w:p>
    <w:p w14:paraId="7D61511F">
      <w:pPr>
        <w:pStyle w:val="25"/>
        <w:bidi w:val="0"/>
        <w:rPr>
          <w:rFonts w:hint="default"/>
          <w:color w:val="auto"/>
          <w:highlight w:val="none"/>
          <w:u w:val="none" w:color="auto"/>
          <w:lang w:val="en-US" w:eastAsia="zh-CN"/>
        </w:rPr>
      </w:pPr>
      <w:r>
        <w:rPr>
          <w:rFonts w:hint="eastAsia"/>
          <w:color w:val="auto"/>
          <w:highlight w:val="none"/>
          <w:u w:val="none" w:color="auto"/>
          <w:lang w:val="en-US" w:eastAsia="zh-CN"/>
        </w:rPr>
        <w:t>附件7   生物质颗粒检测报告</w:t>
      </w:r>
    </w:p>
    <w:p w14:paraId="70B132E7">
      <w:pPr>
        <w:pStyle w:val="25"/>
        <w:bidi w:val="0"/>
        <w:ind w:left="0" w:leftChars="0" w:firstLine="0" w:firstLineChars="0"/>
        <w:rPr>
          <w:rFonts w:hint="default"/>
          <w:b/>
          <w:bCs/>
          <w:highlight w:val="none"/>
          <w:u w:val="none" w:color="auto"/>
          <w:lang w:val="en-US" w:eastAsia="zh-CN"/>
        </w:rPr>
      </w:pPr>
      <w:r>
        <w:rPr>
          <w:rFonts w:hint="eastAsia"/>
          <w:b/>
          <w:bCs/>
          <w:highlight w:val="none"/>
          <w:u w:val="none" w:color="auto"/>
          <w:lang w:val="en-US" w:eastAsia="zh-CN"/>
        </w:rPr>
        <w:t>附图：</w:t>
      </w:r>
    </w:p>
    <w:p w14:paraId="2C5B7D71">
      <w:pPr>
        <w:pStyle w:val="25"/>
        <w:bidi w:val="0"/>
        <w:rPr>
          <w:rFonts w:hint="default" w:ascii="Times New Roman" w:hAnsi="Times New Roman" w:cs="Times New Roman"/>
          <w:color w:val="auto"/>
          <w:highlight w:val="none"/>
          <w:u w:val="none" w:color="auto"/>
          <w:lang w:val="en-US" w:eastAsia="zh-CN"/>
        </w:rPr>
      </w:pPr>
      <w:r>
        <w:rPr>
          <w:rFonts w:hint="eastAsia"/>
          <w:color w:val="auto"/>
          <w:highlight w:val="none"/>
          <w:u w:val="none" w:color="auto"/>
          <w:lang w:val="en-US" w:eastAsia="zh-CN"/>
        </w:rPr>
        <w:t xml:space="preserve">附图1   </w:t>
      </w:r>
      <w:r>
        <w:rPr>
          <w:rFonts w:hint="default" w:ascii="Times New Roman" w:hAnsi="Times New Roman" w:cs="Times New Roman"/>
          <w:color w:val="auto"/>
          <w:highlight w:val="none"/>
          <w:u w:val="none" w:color="auto"/>
          <w:lang w:val="en-US" w:eastAsia="zh-CN"/>
        </w:rPr>
        <w:t>项目所在地地理位置图</w:t>
      </w:r>
    </w:p>
    <w:p w14:paraId="397F307C">
      <w:pPr>
        <w:pStyle w:val="25"/>
        <w:bidi w:val="0"/>
        <w:ind w:left="479" w:leftChars="228" w:firstLine="0" w:firstLineChars="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附图</w:t>
      </w:r>
      <w:r>
        <w:rPr>
          <w:rFonts w:hint="eastAsia" w:ascii="Times New Roman" w:hAnsi="Times New Roman" w:cs="Times New Roman"/>
          <w:color w:val="auto"/>
          <w:highlight w:val="none"/>
          <w:u w:val="none" w:color="auto"/>
          <w:lang w:val="en-US" w:eastAsia="zh-CN"/>
        </w:rPr>
        <w:t>2</w:t>
      </w:r>
      <w:r>
        <w:rPr>
          <w:rFonts w:hint="eastAsia"/>
          <w:color w:val="auto"/>
          <w:highlight w:val="none"/>
          <w:u w:val="none" w:color="auto"/>
          <w:lang w:val="en-US" w:eastAsia="zh-CN"/>
        </w:rPr>
        <w:t xml:space="preserve">   </w:t>
      </w:r>
      <w:r>
        <w:rPr>
          <w:rFonts w:hint="default" w:ascii="Times New Roman" w:hAnsi="Times New Roman" w:cs="Times New Roman"/>
          <w:color w:val="auto"/>
          <w:highlight w:val="none"/>
          <w:u w:val="none" w:color="auto"/>
          <w:lang w:val="en-US" w:eastAsia="zh-CN"/>
        </w:rPr>
        <w:t>项目</w:t>
      </w:r>
      <w:r>
        <w:rPr>
          <w:rFonts w:hint="eastAsia" w:ascii="Times New Roman" w:hAnsi="Times New Roman" w:cs="Times New Roman"/>
          <w:color w:val="auto"/>
          <w:highlight w:val="none"/>
          <w:u w:val="none" w:color="auto"/>
          <w:lang w:val="en-US" w:eastAsia="zh-CN"/>
        </w:rPr>
        <w:t>平面布置</w:t>
      </w:r>
      <w:r>
        <w:rPr>
          <w:rFonts w:hint="default" w:ascii="Times New Roman" w:hAnsi="Times New Roman" w:cs="Times New Roman"/>
          <w:color w:val="auto"/>
          <w:highlight w:val="none"/>
          <w:u w:val="none" w:color="auto"/>
          <w:lang w:val="en-US" w:eastAsia="zh-CN"/>
        </w:rPr>
        <w:t>图</w:t>
      </w:r>
    </w:p>
    <w:p w14:paraId="42484AB3">
      <w:pPr>
        <w:pStyle w:val="25"/>
        <w:bidi w:val="0"/>
        <w:ind w:left="479" w:leftChars="228" w:firstLine="0" w:firstLineChars="0"/>
        <w:rPr>
          <w:rFonts w:hint="eastAsia"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附图</w:t>
      </w:r>
      <w:r>
        <w:rPr>
          <w:rFonts w:hint="eastAsia" w:ascii="Times New Roman" w:hAnsi="Times New Roman" w:cs="Times New Roman"/>
          <w:color w:val="auto"/>
          <w:highlight w:val="none"/>
          <w:u w:val="none" w:color="auto"/>
          <w:lang w:val="en-US" w:eastAsia="zh-CN"/>
        </w:rPr>
        <w:t>3</w:t>
      </w:r>
      <w:r>
        <w:rPr>
          <w:rFonts w:hint="eastAsia"/>
          <w:color w:val="auto"/>
          <w:highlight w:val="none"/>
          <w:u w:val="none" w:color="auto"/>
          <w:lang w:val="en-US" w:eastAsia="zh-CN"/>
        </w:rPr>
        <w:t xml:space="preserve">   </w:t>
      </w:r>
      <w:r>
        <w:rPr>
          <w:rFonts w:hint="eastAsia"/>
          <w:b w:val="0"/>
          <w:bCs w:val="0"/>
          <w:sz w:val="24"/>
          <w:szCs w:val="32"/>
          <w:highlight w:val="none"/>
          <w:u w:val="none" w:color="auto"/>
          <w:lang w:val="en-US" w:eastAsia="zh-CN"/>
        </w:rPr>
        <w:t>项目保护目标示意图</w:t>
      </w:r>
    </w:p>
    <w:p w14:paraId="03C04C11">
      <w:pPr>
        <w:pStyle w:val="25"/>
        <w:bidi w:val="0"/>
        <w:ind w:left="479" w:leftChars="228" w:firstLine="0" w:firstLineChars="0"/>
        <w:rPr>
          <w:b w:val="0"/>
          <w:bCs w:val="0"/>
          <w:color w:val="auto"/>
          <w:sz w:val="24"/>
          <w:szCs w:val="32"/>
          <w:highlight w:val="none"/>
          <w:u w:val="none" w:color="auto"/>
        </w:rPr>
      </w:pPr>
      <w:r>
        <w:rPr>
          <w:rFonts w:hint="default" w:ascii="Times New Roman" w:hAnsi="Times New Roman" w:cs="Times New Roman"/>
          <w:color w:val="auto"/>
          <w:highlight w:val="none"/>
          <w:u w:val="none" w:color="auto"/>
          <w:lang w:val="en-US" w:eastAsia="zh-CN"/>
        </w:rPr>
        <w:t>附图</w:t>
      </w:r>
      <w:r>
        <w:rPr>
          <w:rFonts w:hint="eastAsia" w:ascii="Times New Roman" w:hAnsi="Times New Roman" w:cs="Times New Roman"/>
          <w:color w:val="auto"/>
          <w:highlight w:val="none"/>
          <w:u w:val="none" w:color="auto"/>
          <w:lang w:val="en-US" w:eastAsia="zh-CN"/>
        </w:rPr>
        <w:t>4</w:t>
      </w:r>
      <w:r>
        <w:rPr>
          <w:rFonts w:hint="eastAsia"/>
          <w:color w:val="auto"/>
          <w:highlight w:val="none"/>
          <w:u w:val="none" w:color="auto"/>
          <w:lang w:val="en-US" w:eastAsia="zh-CN"/>
        </w:rPr>
        <w:t xml:space="preserve">   </w:t>
      </w:r>
      <w:r>
        <w:rPr>
          <w:rFonts w:hint="eastAsia" w:ascii="Times New Roman" w:hAnsi="Times New Roman" w:cs="Times New Roman"/>
          <w:color w:val="auto"/>
          <w:highlight w:val="none"/>
          <w:u w:val="none" w:color="auto"/>
          <w:lang w:val="en-US" w:eastAsia="zh-CN"/>
        </w:rPr>
        <w:t>岳阳县环境管控单元图</w:t>
      </w:r>
    </w:p>
    <w:p w14:paraId="44BB0539">
      <w:pPr>
        <w:tabs>
          <w:tab w:val="left" w:pos="1021"/>
        </w:tabs>
        <w:jc w:val="center"/>
        <w:rPr>
          <w:rFonts w:hint="default" w:ascii="Times New Roman" w:hAnsi="Times New Roman" w:eastAsia="楷体_GB2312" w:cs="Times New Roman"/>
          <w:color w:val="auto"/>
          <w:kern w:val="2"/>
          <w:sz w:val="21"/>
          <w:szCs w:val="36"/>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E38EC6D">
      <w:pPr>
        <w:pStyle w:val="2"/>
        <w:numPr>
          <w:ilvl w:val="0"/>
          <w:numId w:val="2"/>
        </w:numPr>
        <w:bidi w:val="0"/>
        <w:jc w:val="center"/>
        <w:rPr>
          <w:rFonts w:hint="default"/>
          <w:highlight w:val="none"/>
          <w:u w:val="none" w:color="auto"/>
          <w:lang w:val="en-US" w:eastAsia="zh-CN"/>
        </w:rPr>
      </w:pPr>
      <w:bookmarkStart w:id="13" w:name="_Toc6696"/>
      <w:bookmarkStart w:id="14" w:name="_Toc4687"/>
      <w:bookmarkStart w:id="15" w:name="_Toc17619"/>
      <w:r>
        <w:rPr>
          <w:rFonts w:hint="default"/>
          <w:highlight w:val="none"/>
          <w:u w:val="none" w:color="auto"/>
          <w:lang w:val="en-US" w:eastAsia="zh-CN"/>
        </w:rPr>
        <w:t>建设项目基本情</w:t>
      </w:r>
      <w:bookmarkEnd w:id="13"/>
      <w:r>
        <w:rPr>
          <w:rFonts w:hint="default"/>
          <w:highlight w:val="none"/>
          <w:u w:val="none" w:color="auto"/>
          <w:lang w:val="en-US" w:eastAsia="zh-CN"/>
        </w:rPr>
        <w:t>况</w:t>
      </w:r>
      <w:bookmarkEnd w:id="14"/>
      <w:bookmarkEnd w:id="15"/>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19"/>
        <w:gridCol w:w="2007"/>
        <w:gridCol w:w="1853"/>
        <w:gridCol w:w="3158"/>
      </w:tblGrid>
      <w:tr w14:paraId="477CD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6371E7A9">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建设项目名称</w:t>
            </w:r>
          </w:p>
        </w:tc>
        <w:tc>
          <w:tcPr>
            <w:tcW w:w="7018" w:type="dxa"/>
            <w:gridSpan w:val="3"/>
            <w:tcBorders>
              <w:tl2br w:val="nil"/>
              <w:tr2bl w:val="nil"/>
            </w:tcBorders>
            <w:noWrap w:val="0"/>
            <w:vAlign w:val="center"/>
          </w:tcPr>
          <w:p w14:paraId="0F0A86EA">
            <w:pPr>
              <w:adjustRightInd w:val="0"/>
              <w:snapToGrid w:val="0"/>
              <w:spacing w:line="240" w:lineRule="auto"/>
              <w:ind w:leftChars="100"/>
              <w:jc w:val="center"/>
              <w:rPr>
                <w:rFonts w:hint="eastAsia" w:ascii="Times New Roman" w:hAnsi="Times New Roman" w:eastAsia="宋体" w:cs="Times New Roman"/>
                <w:color w:val="auto"/>
                <w:sz w:val="24"/>
                <w:szCs w:val="24"/>
                <w:highlight w:val="none"/>
                <w:u w:val="none" w:color="auto"/>
                <w:lang w:eastAsia="zh-CN"/>
              </w:rPr>
            </w:pPr>
            <w:r>
              <w:rPr>
                <w:rFonts w:hint="eastAsia" w:cs="Times New Roman"/>
                <w:color w:val="auto"/>
                <w:sz w:val="24"/>
                <w:szCs w:val="24"/>
                <w:highlight w:val="none"/>
                <w:u w:val="none" w:color="auto"/>
                <w:lang w:val="en-US" w:eastAsia="zh-CN"/>
              </w:rPr>
              <w:t>年处置12万只报废液化石油气钢瓶项目</w:t>
            </w:r>
          </w:p>
        </w:tc>
      </w:tr>
      <w:tr w14:paraId="6DCEC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3AF46F7D">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项目代码</w:t>
            </w:r>
          </w:p>
        </w:tc>
        <w:tc>
          <w:tcPr>
            <w:tcW w:w="7018" w:type="dxa"/>
            <w:gridSpan w:val="3"/>
            <w:tcBorders>
              <w:tl2br w:val="nil"/>
              <w:tr2bl w:val="nil"/>
            </w:tcBorders>
            <w:noWrap w:val="0"/>
            <w:vAlign w:val="center"/>
          </w:tcPr>
          <w:p w14:paraId="3E417AED">
            <w:pPr>
              <w:adjustRightInd w:val="0"/>
              <w:snapToGrid w:val="0"/>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2511-430621-04-01-907175</w:t>
            </w:r>
          </w:p>
        </w:tc>
      </w:tr>
      <w:tr w14:paraId="48D79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319" w:type="dxa"/>
            <w:tcBorders>
              <w:tl2br w:val="nil"/>
              <w:tr2bl w:val="nil"/>
            </w:tcBorders>
            <w:noWrap w:val="0"/>
            <w:tcMar>
              <w:top w:w="16" w:type="dxa"/>
              <w:left w:w="16" w:type="dxa"/>
              <w:right w:w="16" w:type="dxa"/>
            </w:tcMar>
            <w:vAlign w:val="center"/>
          </w:tcPr>
          <w:p w14:paraId="5201A224">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建设单位联系人</w:t>
            </w:r>
          </w:p>
        </w:tc>
        <w:tc>
          <w:tcPr>
            <w:tcW w:w="2007" w:type="dxa"/>
            <w:tcBorders>
              <w:tl2br w:val="nil"/>
              <w:tr2bl w:val="nil"/>
            </w:tcBorders>
            <w:noWrap w:val="0"/>
            <w:vAlign w:val="center"/>
          </w:tcPr>
          <w:p w14:paraId="0CDCB567">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李**</w:t>
            </w:r>
          </w:p>
        </w:tc>
        <w:tc>
          <w:tcPr>
            <w:tcW w:w="1853" w:type="dxa"/>
            <w:tcBorders>
              <w:tl2br w:val="nil"/>
              <w:tr2bl w:val="nil"/>
            </w:tcBorders>
            <w:noWrap w:val="0"/>
            <w:vAlign w:val="center"/>
          </w:tcPr>
          <w:p w14:paraId="58EF3707">
            <w:pPr>
              <w:adjustRightInd w:val="0"/>
              <w:snapToGrid w:val="0"/>
              <w:ind w:leftChars="10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联系方式</w:t>
            </w:r>
          </w:p>
        </w:tc>
        <w:tc>
          <w:tcPr>
            <w:tcW w:w="3158" w:type="dxa"/>
            <w:tcBorders>
              <w:tl2br w:val="nil"/>
              <w:tr2bl w:val="nil"/>
            </w:tcBorders>
            <w:noWrap w:val="0"/>
            <w:vAlign w:val="center"/>
          </w:tcPr>
          <w:p w14:paraId="40321C9E">
            <w:pPr>
              <w:adjustRightInd w:val="0"/>
              <w:snapToGrid w:val="0"/>
              <w:jc w:val="center"/>
              <w:rPr>
                <w:rFonts w:hint="default" w:ascii="Times New Roman" w:hAnsi="Times New Roman" w:cs="Times New Roman"/>
                <w:color w:val="auto"/>
                <w:sz w:val="24"/>
                <w:szCs w:val="24"/>
                <w:highlight w:val="none"/>
                <w:u w:val="none" w:color="auto"/>
                <w:lang w:val="en-US"/>
              </w:rPr>
            </w:pPr>
            <w:r>
              <w:rPr>
                <w:rFonts w:hint="eastAsia" w:cs="Times New Roman"/>
                <w:color w:val="auto"/>
                <w:sz w:val="24"/>
                <w:szCs w:val="24"/>
                <w:highlight w:val="none"/>
                <w:u w:val="none" w:color="auto"/>
                <w:lang w:val="en-US" w:eastAsia="zh-CN"/>
              </w:rPr>
              <w:t>186****6555</w:t>
            </w:r>
          </w:p>
        </w:tc>
      </w:tr>
      <w:tr w14:paraId="7B5D8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68202525">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建设地点</w:t>
            </w:r>
          </w:p>
        </w:tc>
        <w:tc>
          <w:tcPr>
            <w:tcW w:w="7018" w:type="dxa"/>
            <w:gridSpan w:val="3"/>
            <w:tcBorders>
              <w:tl2br w:val="nil"/>
              <w:tr2bl w:val="nil"/>
            </w:tcBorders>
            <w:noWrap w:val="0"/>
            <w:vAlign w:val="center"/>
          </w:tcPr>
          <w:p w14:paraId="1648D221">
            <w:pPr>
              <w:pStyle w:val="25"/>
              <w:keepNext w:val="0"/>
              <w:keepLines w:val="0"/>
              <w:pageBreakBefore w:val="0"/>
              <w:widowControl w:val="0"/>
              <w:kinsoku/>
              <w:wordWrap w:val="0"/>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4"/>
                <w:highlight w:val="none"/>
                <w:u w:val="none" w:color="auto"/>
                <w:lang w:val="en-US" w:eastAsia="zh-CN"/>
              </w:rPr>
            </w:pPr>
            <w:r>
              <w:rPr>
                <w:rFonts w:hint="eastAsia" w:ascii="Times New Roman" w:hAnsi="Times New Roman" w:eastAsia="宋体" w:cs="Times New Roman"/>
                <w:color w:val="auto"/>
                <w:kern w:val="2"/>
                <w:sz w:val="24"/>
                <w:szCs w:val="24"/>
                <w:highlight w:val="none"/>
                <w:u w:val="none" w:color="auto"/>
                <w:lang w:val="en-US" w:eastAsia="zh-CN" w:bidi="ar-SA"/>
              </w:rPr>
              <w:t>湖南省岳阳市岳阳县</w:t>
            </w:r>
            <w:r>
              <w:rPr>
                <w:rFonts w:hint="eastAsia" w:cs="Times New Roman"/>
                <w:color w:val="auto"/>
                <w:kern w:val="2"/>
                <w:sz w:val="24"/>
                <w:szCs w:val="24"/>
                <w:highlight w:val="none"/>
                <w:u w:val="none" w:color="auto"/>
                <w:lang w:val="en-US" w:eastAsia="zh-CN" w:bidi="ar-SA"/>
              </w:rPr>
              <w:t>新墙镇</w:t>
            </w:r>
          </w:p>
        </w:tc>
      </w:tr>
      <w:tr w14:paraId="1D828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28298BE8">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地理坐标</w:t>
            </w:r>
          </w:p>
        </w:tc>
        <w:tc>
          <w:tcPr>
            <w:tcW w:w="7018" w:type="dxa"/>
            <w:gridSpan w:val="3"/>
            <w:tcBorders>
              <w:tl2br w:val="nil"/>
              <w:tr2bl w:val="nil"/>
            </w:tcBorders>
            <w:noWrap w:val="0"/>
            <w:vAlign w:val="center"/>
          </w:tcPr>
          <w:p w14:paraId="09C4CE6D">
            <w:pPr>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Cs w:val="21"/>
                <w:highlight w:val="none"/>
                <w:u w:val="none" w:color="auto"/>
              </w:rPr>
              <w:t>（</w:t>
            </w:r>
            <w:r>
              <w:rPr>
                <w:rFonts w:hint="default" w:ascii="Times New Roman" w:hAnsi="Times New Roman" w:cs="Times New Roman"/>
                <w:color w:val="auto"/>
                <w:sz w:val="24"/>
                <w:szCs w:val="24"/>
                <w:highlight w:val="none"/>
                <w:u w:val="none" w:color="auto"/>
                <w:lang w:val="en-US" w:eastAsia="zh-CN"/>
              </w:rPr>
              <w:t>113</w:t>
            </w:r>
            <w:r>
              <w:rPr>
                <w:rFonts w:hint="default" w:ascii="Times New Roman" w:hAnsi="Times New Roman" w:eastAsia="宋体" w:cs="Times New Roman"/>
                <w:color w:val="auto"/>
                <w:sz w:val="24"/>
                <w:szCs w:val="24"/>
                <w:highlight w:val="none"/>
                <w:u w:val="none" w:color="auto"/>
                <w:lang w:val="en-US" w:eastAsia="zh-CN"/>
              </w:rPr>
              <w:t>度</w:t>
            </w:r>
            <w:r>
              <w:rPr>
                <w:rFonts w:hint="eastAsia" w:cs="Times New Roman"/>
                <w:color w:val="auto"/>
                <w:sz w:val="24"/>
                <w:szCs w:val="24"/>
                <w:highlight w:val="none"/>
                <w:u w:val="none" w:color="auto"/>
                <w:lang w:val="en-US" w:eastAsia="zh-CN"/>
              </w:rPr>
              <w:t>12</w:t>
            </w:r>
            <w:r>
              <w:rPr>
                <w:rFonts w:hint="default" w:ascii="Times New Roman" w:hAnsi="Times New Roman" w:eastAsia="宋体" w:cs="Times New Roman"/>
                <w:color w:val="auto"/>
                <w:sz w:val="24"/>
                <w:szCs w:val="24"/>
                <w:highlight w:val="none"/>
                <w:u w:val="none" w:color="auto"/>
                <w:lang w:val="en-US" w:eastAsia="zh-CN"/>
              </w:rPr>
              <w:t>分</w:t>
            </w:r>
            <w:r>
              <w:rPr>
                <w:rFonts w:hint="eastAsia" w:ascii="Times New Roman" w:hAnsi="Times New Roman" w:eastAsia="宋体" w:cs="Times New Roman"/>
                <w:color w:val="auto"/>
                <w:sz w:val="24"/>
                <w:szCs w:val="24"/>
                <w:highlight w:val="none"/>
                <w:u w:val="none" w:color="auto"/>
                <w:lang w:val="en-US" w:eastAsia="zh-CN"/>
              </w:rPr>
              <w:t>19.610</w:t>
            </w:r>
            <w:r>
              <w:rPr>
                <w:rFonts w:hint="default" w:ascii="Times New Roman" w:hAnsi="Times New Roman" w:eastAsia="宋体" w:cs="Times New Roman"/>
                <w:color w:val="auto"/>
                <w:sz w:val="24"/>
                <w:szCs w:val="24"/>
                <w:highlight w:val="none"/>
                <w:u w:val="none" w:color="auto"/>
                <w:lang w:val="en-US" w:eastAsia="zh-CN"/>
              </w:rPr>
              <w:t>秒，29度</w:t>
            </w:r>
            <w:r>
              <w:rPr>
                <w:rFonts w:hint="eastAsia" w:cs="Times New Roman"/>
                <w:color w:val="auto"/>
                <w:sz w:val="24"/>
                <w:szCs w:val="24"/>
                <w:highlight w:val="none"/>
                <w:u w:val="none" w:color="auto"/>
                <w:lang w:val="en-US" w:eastAsia="zh-CN"/>
              </w:rPr>
              <w:t>7</w:t>
            </w:r>
            <w:r>
              <w:rPr>
                <w:rFonts w:hint="default" w:ascii="Times New Roman" w:hAnsi="Times New Roman" w:eastAsia="宋体" w:cs="Times New Roman"/>
                <w:color w:val="auto"/>
                <w:sz w:val="24"/>
                <w:szCs w:val="24"/>
                <w:highlight w:val="none"/>
                <w:u w:val="none" w:color="auto"/>
                <w:lang w:val="en-US" w:eastAsia="zh-CN"/>
              </w:rPr>
              <w:t>分</w:t>
            </w:r>
            <w:r>
              <w:rPr>
                <w:rFonts w:hint="eastAsia" w:cs="Times New Roman"/>
                <w:color w:val="auto"/>
                <w:sz w:val="24"/>
                <w:szCs w:val="24"/>
                <w:highlight w:val="none"/>
                <w:u w:val="none" w:color="auto"/>
                <w:lang w:val="en-US" w:eastAsia="zh-CN"/>
              </w:rPr>
              <w:t>34.437</w:t>
            </w:r>
            <w:r>
              <w:rPr>
                <w:rFonts w:hint="default" w:ascii="Times New Roman" w:hAnsi="Times New Roman" w:eastAsia="宋体" w:cs="Times New Roman"/>
                <w:color w:val="auto"/>
                <w:sz w:val="24"/>
                <w:szCs w:val="24"/>
                <w:highlight w:val="none"/>
                <w:u w:val="none" w:color="auto"/>
                <w:lang w:val="en-US" w:eastAsia="zh-CN"/>
              </w:rPr>
              <w:t>秒）</w:t>
            </w:r>
          </w:p>
        </w:tc>
      </w:tr>
      <w:tr w14:paraId="17F3F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8" w:hRule="atLeast"/>
          <w:jc w:val="center"/>
        </w:trPr>
        <w:tc>
          <w:tcPr>
            <w:tcW w:w="1319" w:type="dxa"/>
            <w:tcBorders>
              <w:tl2br w:val="nil"/>
              <w:tr2bl w:val="nil"/>
            </w:tcBorders>
            <w:noWrap w:val="0"/>
            <w:tcMar>
              <w:top w:w="16" w:type="dxa"/>
              <w:left w:w="16" w:type="dxa"/>
              <w:right w:w="16" w:type="dxa"/>
            </w:tcMar>
            <w:vAlign w:val="center"/>
          </w:tcPr>
          <w:p w14:paraId="1DC7B381">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国民经济</w:t>
            </w:r>
          </w:p>
          <w:p w14:paraId="070EEF0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行业类别</w:t>
            </w:r>
          </w:p>
        </w:tc>
        <w:tc>
          <w:tcPr>
            <w:tcW w:w="2007" w:type="dxa"/>
            <w:tcBorders>
              <w:tl2br w:val="nil"/>
              <w:tr2bl w:val="nil"/>
            </w:tcBorders>
            <w:noWrap w:val="0"/>
            <w:vAlign w:val="center"/>
          </w:tcPr>
          <w:p w14:paraId="0F0225F2">
            <w:pPr>
              <w:keepNext w:val="0"/>
              <w:keepLines w:val="0"/>
              <w:widowControl/>
              <w:suppressLineNumbers w:val="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C4210金属废料和碎屑加工处理</w:t>
            </w:r>
          </w:p>
        </w:tc>
        <w:tc>
          <w:tcPr>
            <w:tcW w:w="1853" w:type="dxa"/>
            <w:tcBorders>
              <w:tl2br w:val="nil"/>
              <w:tr2bl w:val="nil"/>
            </w:tcBorders>
            <w:noWrap w:val="0"/>
            <w:vAlign w:val="center"/>
          </w:tcPr>
          <w:p w14:paraId="103D6E6F">
            <w:pPr>
              <w:adjustRightInd w:val="0"/>
              <w:snapToGrid w:val="0"/>
              <w:jc w:val="center"/>
              <w:rPr>
                <w:rFonts w:hint="default" w:ascii="Times New Roman" w:hAnsi="Times New Roman" w:cs="Times New Roman"/>
                <w:color w:val="auto"/>
                <w:sz w:val="24"/>
                <w:szCs w:val="24"/>
                <w:highlight w:val="none"/>
                <w:u w:val="none" w:color="auto"/>
              </w:rPr>
            </w:pPr>
            <w:bookmarkStart w:id="16" w:name="_Hlk49843745"/>
            <w:r>
              <w:rPr>
                <w:rFonts w:hint="default" w:ascii="Times New Roman" w:hAnsi="Times New Roman" w:cs="Times New Roman"/>
                <w:color w:val="auto"/>
                <w:sz w:val="24"/>
                <w:szCs w:val="24"/>
                <w:highlight w:val="none"/>
                <w:u w:val="none" w:color="auto"/>
              </w:rPr>
              <w:t>建设项目</w:t>
            </w:r>
          </w:p>
          <w:p w14:paraId="54856777">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行业类别</w:t>
            </w:r>
            <w:bookmarkEnd w:id="16"/>
          </w:p>
        </w:tc>
        <w:tc>
          <w:tcPr>
            <w:tcW w:w="3158" w:type="dxa"/>
            <w:tcBorders>
              <w:tl2br w:val="nil"/>
              <w:tr2bl w:val="nil"/>
            </w:tcBorders>
            <w:noWrap w:val="0"/>
            <w:vAlign w:val="center"/>
          </w:tcPr>
          <w:p w14:paraId="32961160">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三十九、废弃资源综合利用业42 85.金属废料和碎屑加工处理421</w:t>
            </w:r>
          </w:p>
        </w:tc>
      </w:tr>
      <w:tr w14:paraId="4A7C2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319" w:type="dxa"/>
            <w:tcBorders>
              <w:tl2br w:val="nil"/>
              <w:tr2bl w:val="nil"/>
            </w:tcBorders>
            <w:noWrap w:val="0"/>
            <w:tcMar>
              <w:top w:w="16" w:type="dxa"/>
              <w:left w:w="16" w:type="dxa"/>
              <w:right w:w="16" w:type="dxa"/>
            </w:tcMar>
            <w:vAlign w:val="center"/>
          </w:tcPr>
          <w:p w14:paraId="19AE2022">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建设性质</w:t>
            </w:r>
          </w:p>
        </w:tc>
        <w:tc>
          <w:tcPr>
            <w:tcW w:w="2007" w:type="dxa"/>
            <w:tcBorders>
              <w:tl2br w:val="nil"/>
              <w:tr2bl w:val="nil"/>
            </w:tcBorders>
            <w:noWrap w:val="0"/>
            <w:vAlign w:val="center"/>
          </w:tcPr>
          <w:p w14:paraId="0952A65A">
            <w:pPr>
              <w:ind w:leftChars="100"/>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新建（</w:t>
            </w:r>
            <w:r>
              <w:rPr>
                <w:rFonts w:hint="eastAsia" w:cs="Times New Roman"/>
                <w:color w:val="auto"/>
                <w:sz w:val="24"/>
                <w:szCs w:val="24"/>
                <w:highlight w:val="none"/>
                <w:u w:val="none" w:color="auto"/>
                <w:lang w:val="en-US" w:eastAsia="zh-CN"/>
              </w:rPr>
              <w:t>补办</w:t>
            </w:r>
            <w:r>
              <w:rPr>
                <w:rFonts w:hint="default" w:ascii="Times New Roman" w:hAnsi="Times New Roman" w:cs="Times New Roman"/>
                <w:color w:val="auto"/>
                <w:sz w:val="24"/>
                <w:szCs w:val="24"/>
                <w:highlight w:val="none"/>
                <w:u w:val="none" w:color="auto"/>
              </w:rPr>
              <w:t>）</w:t>
            </w:r>
          </w:p>
          <w:p w14:paraId="2A715169">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改建</w:t>
            </w:r>
          </w:p>
          <w:p w14:paraId="29EBB22F">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扩建</w:t>
            </w:r>
          </w:p>
          <w:p w14:paraId="1F008DE8">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技术改造</w:t>
            </w:r>
          </w:p>
        </w:tc>
        <w:tc>
          <w:tcPr>
            <w:tcW w:w="1853" w:type="dxa"/>
            <w:tcBorders>
              <w:tl2br w:val="nil"/>
              <w:tr2bl w:val="nil"/>
            </w:tcBorders>
            <w:noWrap w:val="0"/>
            <w:vAlign w:val="center"/>
          </w:tcPr>
          <w:p w14:paraId="280A6922">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建设项目</w:t>
            </w:r>
          </w:p>
          <w:p w14:paraId="0277D09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申报情形</w:t>
            </w:r>
          </w:p>
        </w:tc>
        <w:tc>
          <w:tcPr>
            <w:tcW w:w="3158" w:type="dxa"/>
            <w:tcBorders>
              <w:tl2br w:val="nil"/>
              <w:tr2bl w:val="nil"/>
            </w:tcBorders>
            <w:noWrap w:val="0"/>
            <w:vAlign w:val="center"/>
          </w:tcPr>
          <w:p w14:paraId="6A74E624">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首次申报项目</w:t>
            </w:r>
          </w:p>
          <w:p w14:paraId="2B8652FA">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不予批准后再次申报项目</w:t>
            </w:r>
          </w:p>
          <w:p w14:paraId="1B99940E">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超五年重新审核项目</w:t>
            </w:r>
          </w:p>
          <w:p w14:paraId="4041E43B">
            <w:pPr>
              <w:ind w:leftChars="100"/>
              <w:jc w:val="left"/>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cs="Times New Roman"/>
                <w:color w:val="auto"/>
                <w:sz w:val="24"/>
                <w:szCs w:val="24"/>
                <w:highlight w:val="none"/>
                <w:u w:val="none" w:color="auto"/>
              </w:rPr>
              <w:t>重大变动重新报批项目</w:t>
            </w:r>
          </w:p>
        </w:tc>
      </w:tr>
      <w:tr w14:paraId="059D1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319" w:type="dxa"/>
            <w:tcBorders>
              <w:tl2br w:val="nil"/>
              <w:tr2bl w:val="nil"/>
            </w:tcBorders>
            <w:noWrap w:val="0"/>
            <w:tcMar>
              <w:top w:w="16" w:type="dxa"/>
              <w:left w:w="16" w:type="dxa"/>
              <w:right w:w="16" w:type="dxa"/>
            </w:tcMar>
            <w:vAlign w:val="center"/>
          </w:tcPr>
          <w:p w14:paraId="644AA503">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项目审批（核准/</w:t>
            </w:r>
          </w:p>
          <w:p w14:paraId="6E0A3593">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备案）部门</w:t>
            </w:r>
          </w:p>
        </w:tc>
        <w:tc>
          <w:tcPr>
            <w:tcW w:w="2007" w:type="dxa"/>
            <w:tcBorders>
              <w:tl2br w:val="nil"/>
              <w:tr2bl w:val="nil"/>
            </w:tcBorders>
            <w:noWrap w:val="0"/>
            <w:vAlign w:val="center"/>
          </w:tcPr>
          <w:p w14:paraId="12021E23">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岳阳</w:t>
            </w:r>
            <w:r>
              <w:rPr>
                <w:rFonts w:hint="eastAsia" w:cs="Times New Roman"/>
                <w:color w:val="auto"/>
                <w:sz w:val="24"/>
                <w:szCs w:val="24"/>
                <w:highlight w:val="none"/>
                <w:u w:val="none" w:color="auto"/>
                <w:lang w:val="en-US" w:eastAsia="zh-CN"/>
              </w:rPr>
              <w:t>县</w:t>
            </w:r>
            <w:r>
              <w:rPr>
                <w:rFonts w:hint="default" w:ascii="Times New Roman" w:hAnsi="Times New Roman" w:cs="Times New Roman"/>
                <w:color w:val="auto"/>
                <w:sz w:val="24"/>
                <w:szCs w:val="24"/>
                <w:highlight w:val="none"/>
                <w:u w:val="none" w:color="auto"/>
              </w:rPr>
              <w:t>发展和改革委员会</w:t>
            </w:r>
          </w:p>
        </w:tc>
        <w:tc>
          <w:tcPr>
            <w:tcW w:w="1853" w:type="dxa"/>
            <w:tcBorders>
              <w:tl2br w:val="nil"/>
              <w:tr2bl w:val="nil"/>
            </w:tcBorders>
            <w:noWrap w:val="0"/>
            <w:vAlign w:val="center"/>
          </w:tcPr>
          <w:p w14:paraId="74D51077">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项目审批（核准/备案）文号</w:t>
            </w:r>
          </w:p>
        </w:tc>
        <w:tc>
          <w:tcPr>
            <w:tcW w:w="3158" w:type="dxa"/>
            <w:tcBorders>
              <w:tl2br w:val="nil"/>
              <w:tr2bl w:val="nil"/>
            </w:tcBorders>
            <w:noWrap w:val="0"/>
            <w:vAlign w:val="center"/>
          </w:tcPr>
          <w:p w14:paraId="2271061C">
            <w:pPr>
              <w:adjustRightInd w:val="0"/>
              <w:snapToGrid w:val="0"/>
              <w:jc w:val="center"/>
              <w:rPr>
                <w:rFonts w:hint="eastAsia"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p>
        </w:tc>
      </w:tr>
      <w:tr w14:paraId="1798E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30D1802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总投资（万元）</w:t>
            </w:r>
          </w:p>
        </w:tc>
        <w:tc>
          <w:tcPr>
            <w:tcW w:w="2007" w:type="dxa"/>
            <w:tcBorders>
              <w:tl2br w:val="nil"/>
              <w:tr2bl w:val="nil"/>
            </w:tcBorders>
            <w:noWrap w:val="0"/>
            <w:vAlign w:val="center"/>
          </w:tcPr>
          <w:p w14:paraId="632CD5A5">
            <w:pPr>
              <w:adjustRightInd w:val="0"/>
              <w:snapToGrid w:val="0"/>
              <w:jc w:val="center"/>
              <w:rPr>
                <w:rFonts w:hint="default" w:ascii="Times New Roman" w:hAnsi="Times New Roman" w:cs="Times New Roman"/>
                <w:color w:val="auto"/>
                <w:sz w:val="24"/>
                <w:szCs w:val="24"/>
                <w:highlight w:val="none"/>
                <w:u w:val="none" w:color="auto"/>
                <w:lang w:val="en-US"/>
              </w:rPr>
            </w:pPr>
            <w:r>
              <w:rPr>
                <w:rFonts w:hint="eastAsia" w:cs="Times New Roman"/>
                <w:color w:val="auto"/>
                <w:sz w:val="24"/>
                <w:szCs w:val="24"/>
                <w:highlight w:val="none"/>
                <w:u w:val="none" w:color="auto"/>
                <w:lang w:val="en-US" w:eastAsia="zh-CN"/>
              </w:rPr>
              <w:t>160</w:t>
            </w:r>
          </w:p>
        </w:tc>
        <w:tc>
          <w:tcPr>
            <w:tcW w:w="1853" w:type="dxa"/>
            <w:tcBorders>
              <w:tl2br w:val="nil"/>
              <w:tr2bl w:val="nil"/>
            </w:tcBorders>
            <w:noWrap w:val="0"/>
            <w:tcMar>
              <w:top w:w="16" w:type="dxa"/>
              <w:left w:w="16" w:type="dxa"/>
              <w:right w:w="16" w:type="dxa"/>
            </w:tcMar>
            <w:vAlign w:val="center"/>
          </w:tcPr>
          <w:p w14:paraId="55EC475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环保投资</w:t>
            </w:r>
          </w:p>
          <w:p w14:paraId="514FE2BB">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（万元）</w:t>
            </w:r>
          </w:p>
        </w:tc>
        <w:tc>
          <w:tcPr>
            <w:tcW w:w="3158" w:type="dxa"/>
            <w:tcBorders>
              <w:tl2br w:val="nil"/>
              <w:tr2bl w:val="nil"/>
            </w:tcBorders>
            <w:noWrap w:val="0"/>
            <w:vAlign w:val="center"/>
          </w:tcPr>
          <w:p w14:paraId="08767566">
            <w:pPr>
              <w:jc w:val="center"/>
              <w:rPr>
                <w:rFonts w:hint="default" w:ascii="Times New Roman" w:hAnsi="Times New Roman" w:cs="Times New Roman"/>
                <w:color w:val="auto"/>
                <w:sz w:val="24"/>
                <w:szCs w:val="24"/>
                <w:highlight w:val="none"/>
                <w:u w:val="none" w:color="auto"/>
                <w:lang w:val="en-US" w:eastAsia="zh-CN"/>
              </w:rPr>
            </w:pPr>
            <w:r>
              <w:rPr>
                <w:rStyle w:val="35"/>
                <w:rFonts w:hint="eastAsia"/>
                <w:highlight w:val="none"/>
                <w:u w:val="none" w:color="auto"/>
                <w:lang w:val="en-US" w:eastAsia="zh-CN"/>
              </w:rPr>
              <w:t>19.5</w:t>
            </w:r>
          </w:p>
        </w:tc>
      </w:tr>
      <w:tr w14:paraId="11B6D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319" w:type="dxa"/>
            <w:tcBorders>
              <w:tl2br w:val="nil"/>
              <w:tr2bl w:val="nil"/>
            </w:tcBorders>
            <w:noWrap w:val="0"/>
            <w:tcMar>
              <w:top w:w="16" w:type="dxa"/>
              <w:left w:w="16" w:type="dxa"/>
              <w:right w:w="16" w:type="dxa"/>
            </w:tcMar>
            <w:vAlign w:val="center"/>
          </w:tcPr>
          <w:p w14:paraId="26DF42D5">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环保投资占比（%）</w:t>
            </w:r>
          </w:p>
        </w:tc>
        <w:tc>
          <w:tcPr>
            <w:tcW w:w="2007" w:type="dxa"/>
            <w:tcBorders>
              <w:tl2br w:val="nil"/>
              <w:tr2bl w:val="nil"/>
            </w:tcBorders>
            <w:noWrap w:val="0"/>
            <w:vAlign w:val="center"/>
          </w:tcPr>
          <w:p w14:paraId="2A5B5F25">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12.2</w:t>
            </w:r>
          </w:p>
        </w:tc>
        <w:tc>
          <w:tcPr>
            <w:tcW w:w="1853" w:type="dxa"/>
            <w:tcBorders>
              <w:tl2br w:val="nil"/>
              <w:tr2bl w:val="nil"/>
            </w:tcBorders>
            <w:noWrap w:val="0"/>
            <w:tcMar>
              <w:top w:w="16" w:type="dxa"/>
              <w:left w:w="16" w:type="dxa"/>
              <w:right w:w="16" w:type="dxa"/>
            </w:tcMar>
            <w:vAlign w:val="center"/>
          </w:tcPr>
          <w:p w14:paraId="3FA7849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施工工期</w:t>
            </w:r>
          </w:p>
        </w:tc>
        <w:tc>
          <w:tcPr>
            <w:tcW w:w="3158" w:type="dxa"/>
            <w:tcBorders>
              <w:tl2br w:val="nil"/>
              <w:tr2bl w:val="nil"/>
            </w:tcBorders>
            <w:noWrap w:val="0"/>
            <w:vAlign w:val="center"/>
          </w:tcPr>
          <w:p w14:paraId="43A16C35">
            <w:pPr>
              <w:adjustRightInd w:val="0"/>
              <w:snapToGrid w:val="0"/>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eastAsia"/>
                <w:color w:val="auto"/>
                <w:highlight w:val="none"/>
                <w:u w:val="none" w:color="auto"/>
              </w:rPr>
              <w:t>/</w:t>
            </w:r>
          </w:p>
        </w:tc>
      </w:tr>
      <w:tr w14:paraId="381A0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319" w:type="dxa"/>
            <w:tcBorders>
              <w:tl2br w:val="nil"/>
              <w:tr2bl w:val="nil"/>
            </w:tcBorders>
            <w:noWrap w:val="0"/>
            <w:tcMar>
              <w:top w:w="16" w:type="dxa"/>
              <w:left w:w="16" w:type="dxa"/>
              <w:right w:w="16" w:type="dxa"/>
            </w:tcMar>
            <w:vAlign w:val="center"/>
          </w:tcPr>
          <w:p w14:paraId="1AC8EA9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是否开工建设</w:t>
            </w:r>
          </w:p>
        </w:tc>
        <w:tc>
          <w:tcPr>
            <w:tcW w:w="2007" w:type="dxa"/>
            <w:tcBorders>
              <w:tl2br w:val="nil"/>
              <w:tr2bl w:val="nil"/>
            </w:tcBorders>
            <w:noWrap w:val="0"/>
            <w:vAlign w:val="center"/>
          </w:tcPr>
          <w:p w14:paraId="0FD91BC4">
            <w:pPr>
              <w:adjustRightInd w:val="0"/>
              <w:snapToGrid w:val="0"/>
              <w:jc w:val="both"/>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否</w:t>
            </w:r>
          </w:p>
          <w:p w14:paraId="71CC0DE1">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是：</w:t>
            </w:r>
            <w:r>
              <w:rPr>
                <w:rFonts w:hint="eastAsia"/>
                <w:highlight w:val="none"/>
                <w:u w:val="none" w:color="auto"/>
                <w:lang w:val="en-US" w:eastAsia="zh-CN"/>
              </w:rPr>
              <w:t>该企业于2025年9月开工建设，设备已安装完毕，但尚未调试。</w:t>
            </w:r>
          </w:p>
        </w:tc>
        <w:tc>
          <w:tcPr>
            <w:tcW w:w="1853" w:type="dxa"/>
            <w:tcBorders>
              <w:tl2br w:val="nil"/>
              <w:tr2bl w:val="nil"/>
            </w:tcBorders>
            <w:noWrap w:val="0"/>
            <w:tcMar>
              <w:top w:w="16" w:type="dxa"/>
              <w:left w:w="16" w:type="dxa"/>
              <w:right w:w="16" w:type="dxa"/>
            </w:tcMar>
            <w:vAlign w:val="center"/>
          </w:tcPr>
          <w:p w14:paraId="73969859">
            <w:pPr>
              <w:adjustRightInd w:val="0"/>
              <w:snapToGrid w:val="0"/>
              <w:jc w:val="center"/>
              <w:rPr>
                <w:rFonts w:hint="default" w:ascii="Times New Roman" w:hAnsi="Times New Roman" w:cs="Times New Roman"/>
                <w:color w:val="auto"/>
                <w:spacing w:val="-6"/>
                <w:sz w:val="24"/>
                <w:szCs w:val="24"/>
                <w:highlight w:val="none"/>
                <w:u w:val="none" w:color="auto"/>
              </w:rPr>
            </w:pPr>
            <w:r>
              <w:rPr>
                <w:rFonts w:hint="default" w:ascii="Times New Roman" w:hAnsi="Times New Roman" w:cs="Times New Roman"/>
                <w:color w:val="auto"/>
                <w:spacing w:val="-6"/>
                <w:sz w:val="24"/>
                <w:szCs w:val="24"/>
                <w:highlight w:val="none"/>
                <w:u w:val="none" w:color="auto"/>
              </w:rPr>
              <w:t>用地（用海）</w:t>
            </w:r>
          </w:p>
          <w:p w14:paraId="60A253F8">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pacing w:val="-6"/>
                <w:sz w:val="24"/>
                <w:szCs w:val="24"/>
                <w:highlight w:val="none"/>
                <w:u w:val="none" w:color="auto"/>
              </w:rPr>
              <w:t>面积（m</w:t>
            </w:r>
            <w:r>
              <w:rPr>
                <w:rFonts w:hint="default" w:ascii="Times New Roman" w:hAnsi="Times New Roman" w:cs="Times New Roman"/>
                <w:color w:val="auto"/>
                <w:spacing w:val="-6"/>
                <w:sz w:val="24"/>
                <w:szCs w:val="24"/>
                <w:highlight w:val="none"/>
                <w:u w:val="none" w:color="auto"/>
                <w:vertAlign w:val="superscript"/>
              </w:rPr>
              <w:t>2</w:t>
            </w:r>
            <w:r>
              <w:rPr>
                <w:rFonts w:hint="default" w:ascii="Times New Roman" w:hAnsi="Times New Roman" w:cs="Times New Roman"/>
                <w:color w:val="auto"/>
                <w:spacing w:val="-6"/>
                <w:sz w:val="24"/>
                <w:szCs w:val="24"/>
                <w:highlight w:val="none"/>
                <w:u w:val="none" w:color="auto"/>
              </w:rPr>
              <w:t>）</w:t>
            </w:r>
          </w:p>
        </w:tc>
        <w:tc>
          <w:tcPr>
            <w:tcW w:w="3158" w:type="dxa"/>
            <w:tcBorders>
              <w:tl2br w:val="nil"/>
              <w:tr2bl w:val="nil"/>
            </w:tcBorders>
            <w:noWrap w:val="0"/>
            <w:vAlign w:val="center"/>
          </w:tcPr>
          <w:p w14:paraId="28AF2F6F">
            <w:pPr>
              <w:adjustRightInd w:val="0"/>
              <w:snapToGrid w:val="0"/>
              <w:ind w:leftChars="100"/>
              <w:jc w:val="center"/>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val="en-US" w:eastAsia="zh-CN"/>
              </w:rPr>
              <w:t>1250</w:t>
            </w:r>
            <w:r>
              <w:rPr>
                <w:rFonts w:hint="default" w:ascii="Times New Roman" w:hAnsi="Times New Roman" w:cs="Times New Roman"/>
                <w:color w:val="auto"/>
                <w:sz w:val="24"/>
                <w:szCs w:val="24"/>
                <w:highlight w:val="none"/>
                <w:u w:val="none" w:color="auto"/>
              </w:rPr>
              <w:t>m</w:t>
            </w:r>
            <w:r>
              <w:rPr>
                <w:rFonts w:hint="default" w:ascii="Times New Roman" w:hAnsi="Times New Roman" w:cs="Times New Roman"/>
                <w:color w:val="auto"/>
                <w:sz w:val="24"/>
                <w:szCs w:val="24"/>
                <w:highlight w:val="none"/>
                <w:u w:val="none" w:color="auto"/>
                <w:vertAlign w:val="superscript"/>
              </w:rPr>
              <w:t>2</w:t>
            </w:r>
          </w:p>
        </w:tc>
      </w:tr>
      <w:tr w14:paraId="47572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1" w:hRule="atLeast"/>
          <w:jc w:val="center"/>
        </w:trPr>
        <w:tc>
          <w:tcPr>
            <w:tcW w:w="1319" w:type="dxa"/>
            <w:tcBorders>
              <w:tl2br w:val="nil"/>
              <w:tr2bl w:val="nil"/>
            </w:tcBorders>
            <w:noWrap w:val="0"/>
            <w:vAlign w:val="center"/>
          </w:tcPr>
          <w:p w14:paraId="205B2028">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kern w:val="0"/>
                <w:sz w:val="24"/>
                <w:szCs w:val="24"/>
                <w:highlight w:val="none"/>
                <w:u w:val="none" w:color="auto"/>
              </w:rPr>
              <w:t>专项评价设置情况</w:t>
            </w:r>
          </w:p>
        </w:tc>
        <w:tc>
          <w:tcPr>
            <w:tcW w:w="7018" w:type="dxa"/>
            <w:gridSpan w:val="3"/>
            <w:tcBorders>
              <w:tl2br w:val="nil"/>
              <w:tr2bl w:val="nil"/>
            </w:tcBorders>
            <w:noWrap w:val="0"/>
            <w:vAlign w:val="center"/>
          </w:tcPr>
          <w:p w14:paraId="5F4C1F3F">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根据《建设项目环境影响报告表编制技术指南(污染影响类)》专项设置评价如下表。</w:t>
            </w:r>
          </w:p>
          <w:p w14:paraId="6B17D4C8">
            <w:pPr>
              <w:pStyle w:val="30"/>
              <w:bidi w:val="0"/>
              <w:jc w:val="center"/>
              <w:rPr>
                <w:rFonts w:hint="eastAsia"/>
                <w:b/>
                <w:bCs/>
                <w:color w:val="auto"/>
                <w:highlight w:val="none"/>
                <w:u w:val="none" w:color="auto"/>
                <w:lang w:val="en-US" w:eastAsia="zh-CN"/>
              </w:rPr>
            </w:pPr>
            <w:r>
              <w:rPr>
                <w:rFonts w:hint="eastAsia"/>
                <w:b/>
                <w:bCs/>
                <w:color w:val="auto"/>
                <w:highlight w:val="none"/>
                <w:u w:val="none" w:color="auto"/>
                <w:lang w:val="en-US" w:eastAsia="zh-CN"/>
              </w:rPr>
              <w:t>表1-1   项目专项评价设置表</w:t>
            </w:r>
          </w:p>
          <w:tbl>
            <w:tblPr>
              <w:tblStyle w:val="1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1912"/>
              <w:gridCol w:w="1691"/>
              <w:gridCol w:w="1695"/>
            </w:tblGrid>
            <w:tr w14:paraId="653AF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8" w:type="pct"/>
                  <w:tcBorders>
                    <w:tl2br w:val="nil"/>
                    <w:tr2bl w:val="nil"/>
                  </w:tcBorders>
                  <w:vAlign w:val="center"/>
                </w:tcPr>
                <w:p w14:paraId="3900AA79">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要素</w:t>
                  </w:r>
                </w:p>
              </w:tc>
              <w:tc>
                <w:tcPr>
                  <w:tcW w:w="1411" w:type="pct"/>
                  <w:tcBorders>
                    <w:tl2br w:val="nil"/>
                    <w:tr2bl w:val="nil"/>
                  </w:tcBorders>
                  <w:vAlign w:val="center"/>
                </w:tcPr>
                <w:p w14:paraId="16CB19E0">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判断依据</w:t>
                  </w:r>
                </w:p>
              </w:tc>
              <w:tc>
                <w:tcPr>
                  <w:tcW w:w="1248" w:type="pct"/>
                  <w:tcBorders>
                    <w:tl2br w:val="nil"/>
                    <w:tr2bl w:val="nil"/>
                  </w:tcBorders>
                  <w:vAlign w:val="center"/>
                </w:tcPr>
                <w:p w14:paraId="5965CB24">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本项目情况</w:t>
                  </w:r>
                </w:p>
              </w:tc>
              <w:tc>
                <w:tcPr>
                  <w:tcW w:w="1251" w:type="pct"/>
                  <w:tcBorders>
                    <w:tl2br w:val="nil"/>
                    <w:tr2bl w:val="nil"/>
                  </w:tcBorders>
                  <w:vAlign w:val="center"/>
                </w:tcPr>
                <w:p w14:paraId="11D52438">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是否设置专项评价</w:t>
                  </w:r>
                </w:p>
              </w:tc>
            </w:tr>
            <w:tr w14:paraId="4CDE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8" w:type="pct"/>
                  <w:tcBorders>
                    <w:tl2br w:val="nil"/>
                    <w:tr2bl w:val="nil"/>
                  </w:tcBorders>
                  <w:vAlign w:val="center"/>
                </w:tcPr>
                <w:p w14:paraId="32AE341B">
                  <w:pPr>
                    <w:pStyle w:val="30"/>
                    <w:bidi w:val="0"/>
                    <w:jc w:val="center"/>
                    <w:rPr>
                      <w:rFonts w:hint="default"/>
                      <w:highlight w:val="none"/>
                      <w:u w:val="none" w:color="auto"/>
                      <w:lang w:val="en-US" w:eastAsia="zh-CN"/>
                    </w:rPr>
                  </w:pPr>
                  <w:r>
                    <w:rPr>
                      <w:rFonts w:hint="default"/>
                      <w:highlight w:val="none"/>
                      <w:u w:val="none" w:color="auto"/>
                      <w:lang w:val="en-US" w:eastAsia="zh-CN"/>
                    </w:rPr>
                    <w:t>大气</w:t>
                  </w:r>
                </w:p>
              </w:tc>
              <w:tc>
                <w:tcPr>
                  <w:tcW w:w="1411" w:type="pct"/>
                  <w:tcBorders>
                    <w:tl2br w:val="nil"/>
                    <w:tr2bl w:val="nil"/>
                  </w:tcBorders>
                  <w:vAlign w:val="center"/>
                </w:tcPr>
                <w:p w14:paraId="640E548D">
                  <w:pPr>
                    <w:pStyle w:val="30"/>
                    <w:bidi w:val="0"/>
                    <w:jc w:val="center"/>
                    <w:rPr>
                      <w:rFonts w:hint="default"/>
                      <w:highlight w:val="none"/>
                      <w:u w:val="none" w:color="auto"/>
                      <w:lang w:val="en-US" w:eastAsia="zh-CN"/>
                    </w:rPr>
                  </w:pPr>
                  <w:r>
                    <w:rPr>
                      <w:rFonts w:hint="default"/>
                      <w:highlight w:val="none"/>
                      <w:u w:val="none" w:color="auto"/>
                      <w:lang w:val="en-US" w:eastAsia="zh-CN"/>
                    </w:rPr>
                    <w:t>排放废气含有毒有害污染物、二噁英、苯并[a]芘、氰化物、氯气且厂界外500米范围内有环境空气保护目标的建设项目</w:t>
                  </w:r>
                </w:p>
              </w:tc>
              <w:tc>
                <w:tcPr>
                  <w:tcW w:w="1248" w:type="pct"/>
                  <w:tcBorders>
                    <w:tl2br w:val="nil"/>
                    <w:tr2bl w:val="nil"/>
                  </w:tcBorders>
                  <w:vAlign w:val="center"/>
                </w:tcPr>
                <w:p w14:paraId="1470C704">
                  <w:pPr>
                    <w:pStyle w:val="30"/>
                    <w:bidi w:val="0"/>
                    <w:jc w:val="center"/>
                    <w:rPr>
                      <w:rFonts w:hint="default"/>
                      <w:highlight w:val="none"/>
                      <w:u w:val="none" w:color="auto"/>
                      <w:lang w:val="en-US" w:eastAsia="zh-CN"/>
                    </w:rPr>
                  </w:pPr>
                  <w:r>
                    <w:rPr>
                      <w:rFonts w:hint="default"/>
                      <w:highlight w:val="none"/>
                      <w:u w:val="none" w:color="auto"/>
                      <w:lang w:val="en-US" w:eastAsia="zh-CN"/>
                    </w:rPr>
                    <w:t>本项目废气污染物为</w:t>
                  </w:r>
                  <w:r>
                    <w:rPr>
                      <w:rFonts w:hint="eastAsia"/>
                      <w:highlight w:val="none"/>
                      <w:u w:val="none" w:color="auto"/>
                      <w:lang w:val="en-US" w:eastAsia="zh-CN"/>
                    </w:rPr>
                    <w:t>非甲烷总烃、恶臭、颗粒物、SO</w:t>
                  </w:r>
                  <w:r>
                    <w:rPr>
                      <w:rFonts w:hint="eastAsia"/>
                      <w:highlight w:val="none"/>
                      <w:u w:val="none" w:color="auto"/>
                      <w:vertAlign w:val="subscript"/>
                      <w:lang w:val="en-US" w:eastAsia="zh-CN"/>
                    </w:rPr>
                    <w:t>2</w:t>
                  </w:r>
                  <w:r>
                    <w:rPr>
                      <w:rFonts w:hint="eastAsia"/>
                      <w:highlight w:val="none"/>
                      <w:u w:val="none" w:color="auto"/>
                      <w:lang w:val="en-US" w:eastAsia="zh-CN"/>
                    </w:rPr>
                    <w:t>、NOx</w:t>
                  </w:r>
                  <w:r>
                    <w:rPr>
                      <w:rFonts w:hint="default"/>
                      <w:highlight w:val="none"/>
                      <w:u w:val="none" w:color="auto"/>
                      <w:lang w:val="en-US" w:eastAsia="zh-CN"/>
                    </w:rPr>
                    <w:t>，不涉及左侧有毒有害污染物</w:t>
                  </w:r>
                </w:p>
              </w:tc>
              <w:tc>
                <w:tcPr>
                  <w:tcW w:w="1251" w:type="pct"/>
                  <w:tcBorders>
                    <w:tl2br w:val="nil"/>
                    <w:tr2bl w:val="nil"/>
                  </w:tcBorders>
                  <w:vAlign w:val="center"/>
                </w:tcPr>
                <w:p w14:paraId="45545388">
                  <w:pPr>
                    <w:pStyle w:val="30"/>
                    <w:bidi w:val="0"/>
                    <w:jc w:val="center"/>
                    <w:rPr>
                      <w:rFonts w:hint="default"/>
                      <w:highlight w:val="none"/>
                      <w:u w:val="none" w:color="auto"/>
                      <w:lang w:val="en-US" w:eastAsia="zh-CN"/>
                    </w:rPr>
                  </w:pPr>
                  <w:r>
                    <w:rPr>
                      <w:rFonts w:hint="default"/>
                      <w:highlight w:val="none"/>
                      <w:u w:val="none" w:color="auto"/>
                      <w:lang w:val="en-US" w:eastAsia="zh-CN"/>
                    </w:rPr>
                    <w:t>否</w:t>
                  </w:r>
                </w:p>
              </w:tc>
            </w:tr>
            <w:tr w14:paraId="6CAD8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088" w:type="pct"/>
                  <w:tcBorders>
                    <w:tl2br w:val="nil"/>
                    <w:tr2bl w:val="nil"/>
                  </w:tcBorders>
                  <w:vAlign w:val="center"/>
                </w:tcPr>
                <w:p w14:paraId="59FF7117">
                  <w:pPr>
                    <w:pStyle w:val="30"/>
                    <w:bidi w:val="0"/>
                    <w:jc w:val="center"/>
                    <w:rPr>
                      <w:rFonts w:hint="default"/>
                      <w:highlight w:val="none"/>
                      <w:u w:val="none" w:color="auto"/>
                      <w:lang w:val="en-US" w:eastAsia="zh-CN"/>
                    </w:rPr>
                  </w:pPr>
                  <w:r>
                    <w:rPr>
                      <w:rFonts w:hint="default"/>
                      <w:highlight w:val="none"/>
                      <w:u w:val="none" w:color="auto"/>
                      <w:lang w:val="en-US" w:eastAsia="zh-CN"/>
                    </w:rPr>
                    <w:t>地表水</w:t>
                  </w:r>
                </w:p>
              </w:tc>
              <w:tc>
                <w:tcPr>
                  <w:tcW w:w="1411" w:type="pct"/>
                  <w:tcBorders>
                    <w:tl2br w:val="nil"/>
                    <w:tr2bl w:val="nil"/>
                  </w:tcBorders>
                  <w:vAlign w:val="center"/>
                </w:tcPr>
                <w:p w14:paraId="14368422">
                  <w:pPr>
                    <w:pStyle w:val="30"/>
                    <w:bidi w:val="0"/>
                    <w:jc w:val="center"/>
                    <w:rPr>
                      <w:rFonts w:hint="default"/>
                      <w:highlight w:val="none"/>
                      <w:u w:val="none" w:color="auto"/>
                      <w:lang w:val="en-US" w:eastAsia="zh-CN"/>
                    </w:rPr>
                  </w:pPr>
                  <w:r>
                    <w:rPr>
                      <w:rFonts w:hint="default"/>
                      <w:highlight w:val="none"/>
                      <w:u w:val="none" w:color="auto"/>
                      <w:lang w:val="en-US" w:eastAsia="zh-CN"/>
                    </w:rPr>
                    <w:t>新增工业废水直排建设项目（槽罐车外送污水处理厂的除外）；新增废水直排的污水集中处理厂</w:t>
                  </w:r>
                </w:p>
              </w:tc>
              <w:tc>
                <w:tcPr>
                  <w:tcW w:w="1248" w:type="pct"/>
                  <w:tcBorders>
                    <w:tl2br w:val="nil"/>
                    <w:tr2bl w:val="nil"/>
                  </w:tcBorders>
                  <w:vAlign w:val="center"/>
                </w:tcPr>
                <w:p w14:paraId="18F94478">
                  <w:pPr>
                    <w:pStyle w:val="30"/>
                    <w:bidi w:val="0"/>
                    <w:jc w:val="center"/>
                    <w:rPr>
                      <w:rFonts w:hint="default"/>
                      <w:highlight w:val="none"/>
                      <w:u w:val="none" w:color="auto"/>
                      <w:lang w:val="en-US" w:eastAsia="zh-CN"/>
                    </w:rPr>
                  </w:pPr>
                  <w:r>
                    <w:rPr>
                      <w:rFonts w:hint="default"/>
                      <w:highlight w:val="none"/>
                      <w:u w:val="none" w:color="auto"/>
                      <w:lang w:eastAsia="zh-CN"/>
                    </w:rPr>
                    <w:t>项目废水</w:t>
                  </w:r>
                  <w:r>
                    <w:rPr>
                      <w:rFonts w:hint="default"/>
                      <w:highlight w:val="none"/>
                      <w:u w:val="none" w:color="auto"/>
                      <w:lang w:val="en-US" w:eastAsia="zh-CN"/>
                    </w:rPr>
                    <w:t>主要为生活</w:t>
                  </w:r>
                  <w:r>
                    <w:rPr>
                      <w:rFonts w:hint="eastAsia"/>
                      <w:highlight w:val="none"/>
                      <w:u w:val="none" w:color="auto"/>
                      <w:lang w:val="en-US" w:eastAsia="zh-CN"/>
                    </w:rPr>
                    <w:t>污水</w:t>
                  </w:r>
                  <w:r>
                    <w:rPr>
                      <w:rFonts w:hint="default"/>
                      <w:highlight w:val="none"/>
                      <w:u w:val="none" w:color="auto"/>
                      <w:lang w:val="en-US" w:eastAsia="zh-CN"/>
                    </w:rPr>
                    <w:t>，生活</w:t>
                  </w:r>
                  <w:r>
                    <w:rPr>
                      <w:rFonts w:hint="eastAsia"/>
                      <w:highlight w:val="none"/>
                      <w:u w:val="none" w:color="auto"/>
                      <w:lang w:val="en-US" w:eastAsia="zh-CN"/>
                    </w:rPr>
                    <w:t>污水经三级化粪池处理后用作农肥；水膜除尘用水循环使用，</w:t>
                  </w:r>
                  <w:r>
                    <w:rPr>
                      <w:rFonts w:hint="default"/>
                      <w:highlight w:val="none"/>
                      <w:u w:val="none" w:color="auto"/>
                      <w:lang w:val="en-US" w:eastAsia="zh-CN"/>
                    </w:rPr>
                    <w:t>不外排</w:t>
                  </w:r>
                  <w:r>
                    <w:rPr>
                      <w:rFonts w:hint="eastAsia"/>
                      <w:highlight w:val="none"/>
                      <w:u w:val="none" w:color="auto"/>
                      <w:lang w:val="en-US" w:eastAsia="zh-CN"/>
                    </w:rPr>
                    <w:t>；</w:t>
                  </w:r>
                  <w:r>
                    <w:rPr>
                      <w:rFonts w:hint="default"/>
                      <w:highlight w:val="none"/>
                      <w:u w:val="none" w:color="auto"/>
                      <w:lang w:val="en-US" w:eastAsia="zh-CN"/>
                    </w:rPr>
                    <w:t>本项目不属于新增工业废水直排项目以及废水直排的污水集中处理厂</w:t>
                  </w:r>
                </w:p>
              </w:tc>
              <w:tc>
                <w:tcPr>
                  <w:tcW w:w="1251" w:type="pct"/>
                  <w:tcBorders>
                    <w:tl2br w:val="nil"/>
                    <w:tr2bl w:val="nil"/>
                  </w:tcBorders>
                  <w:vAlign w:val="center"/>
                </w:tcPr>
                <w:p w14:paraId="1D2A3AC8">
                  <w:pPr>
                    <w:pStyle w:val="30"/>
                    <w:bidi w:val="0"/>
                    <w:jc w:val="center"/>
                    <w:rPr>
                      <w:rFonts w:hint="default"/>
                      <w:highlight w:val="none"/>
                      <w:u w:val="none" w:color="auto"/>
                      <w:lang w:val="en-US" w:eastAsia="zh-CN"/>
                    </w:rPr>
                  </w:pPr>
                  <w:r>
                    <w:rPr>
                      <w:rFonts w:hint="default"/>
                      <w:highlight w:val="none"/>
                      <w:u w:val="none" w:color="auto"/>
                      <w:lang w:val="en-US" w:eastAsia="zh-CN"/>
                    </w:rPr>
                    <w:t>否</w:t>
                  </w:r>
                </w:p>
              </w:tc>
            </w:tr>
            <w:tr w14:paraId="3658B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8" w:type="pct"/>
                  <w:tcBorders>
                    <w:tl2br w:val="nil"/>
                    <w:tr2bl w:val="nil"/>
                  </w:tcBorders>
                  <w:vAlign w:val="center"/>
                </w:tcPr>
                <w:p w14:paraId="56CEA4D5">
                  <w:pPr>
                    <w:pStyle w:val="30"/>
                    <w:bidi w:val="0"/>
                    <w:jc w:val="center"/>
                    <w:rPr>
                      <w:rFonts w:hint="default"/>
                      <w:highlight w:val="none"/>
                      <w:u w:val="none" w:color="auto"/>
                      <w:lang w:val="en-US" w:eastAsia="zh-CN"/>
                    </w:rPr>
                  </w:pPr>
                  <w:r>
                    <w:rPr>
                      <w:rFonts w:hint="default"/>
                      <w:highlight w:val="none"/>
                      <w:u w:val="none" w:color="auto"/>
                      <w:lang w:val="en-US" w:eastAsia="zh-CN"/>
                    </w:rPr>
                    <w:t>环境风险</w:t>
                  </w:r>
                </w:p>
              </w:tc>
              <w:tc>
                <w:tcPr>
                  <w:tcW w:w="1411" w:type="pct"/>
                  <w:tcBorders>
                    <w:tl2br w:val="nil"/>
                    <w:tr2bl w:val="nil"/>
                  </w:tcBorders>
                  <w:vAlign w:val="center"/>
                </w:tcPr>
                <w:p w14:paraId="5BEBA611">
                  <w:pPr>
                    <w:pStyle w:val="30"/>
                    <w:bidi w:val="0"/>
                    <w:jc w:val="center"/>
                    <w:rPr>
                      <w:rFonts w:hint="default"/>
                      <w:highlight w:val="none"/>
                      <w:u w:val="none" w:color="auto"/>
                      <w:lang w:val="en-US" w:eastAsia="zh-CN"/>
                    </w:rPr>
                  </w:pPr>
                  <w:r>
                    <w:rPr>
                      <w:rFonts w:hint="default"/>
                      <w:highlight w:val="none"/>
                      <w:u w:val="none" w:color="auto"/>
                      <w:lang w:val="en-US" w:eastAsia="zh-CN"/>
                    </w:rPr>
                    <w:t>有毒有害和易燃易爆危险物质存储量超过临界量的建设项目</w:t>
                  </w:r>
                </w:p>
              </w:tc>
              <w:tc>
                <w:tcPr>
                  <w:tcW w:w="1248" w:type="pct"/>
                  <w:tcBorders>
                    <w:tl2br w:val="nil"/>
                    <w:tr2bl w:val="nil"/>
                  </w:tcBorders>
                  <w:vAlign w:val="center"/>
                </w:tcPr>
                <w:p w14:paraId="4D259A2A">
                  <w:pPr>
                    <w:pStyle w:val="30"/>
                    <w:bidi w:val="0"/>
                    <w:jc w:val="center"/>
                    <w:rPr>
                      <w:rFonts w:hint="eastAsia" w:eastAsia="宋体"/>
                      <w:highlight w:val="none"/>
                      <w:u w:val="none" w:color="auto"/>
                      <w:lang w:val="en-US" w:eastAsia="zh-CN"/>
                    </w:rPr>
                  </w:pPr>
                  <w:r>
                    <w:rPr>
                      <w:rFonts w:hint="default"/>
                      <w:highlight w:val="none"/>
                      <w:u w:val="none" w:color="auto"/>
                      <w:lang w:val="en-US" w:eastAsia="zh-CN"/>
                    </w:rPr>
                    <w:t>本项目</w:t>
                  </w:r>
                  <w:r>
                    <w:rPr>
                      <w:rFonts w:hint="eastAsia"/>
                      <w:highlight w:val="none"/>
                      <w:u w:val="none" w:color="auto"/>
                      <w:lang w:val="en-US" w:eastAsia="zh-CN"/>
                    </w:rPr>
                    <w:t>的Q值为</w:t>
                  </w:r>
                  <w:r>
                    <w:rPr>
                      <w:rStyle w:val="35"/>
                      <w:rFonts w:hint="eastAsia"/>
                      <w:highlight w:val="none"/>
                      <w:u w:val="none" w:color="auto"/>
                      <w:lang w:val="en-US" w:eastAsia="zh-CN"/>
                    </w:rPr>
                    <w:t>0.012，</w:t>
                  </w:r>
                  <w:r>
                    <w:rPr>
                      <w:rFonts w:hint="default"/>
                      <w:highlight w:val="none"/>
                      <w:u w:val="none" w:color="auto"/>
                      <w:lang w:val="en-US" w:eastAsia="zh-CN"/>
                    </w:rPr>
                    <w:t>有毒有害和易燃易爆危险物质存储量均未超过临界量</w:t>
                  </w:r>
                </w:p>
              </w:tc>
              <w:tc>
                <w:tcPr>
                  <w:tcW w:w="1251" w:type="pct"/>
                  <w:tcBorders>
                    <w:tl2br w:val="nil"/>
                    <w:tr2bl w:val="nil"/>
                  </w:tcBorders>
                  <w:vAlign w:val="center"/>
                </w:tcPr>
                <w:p w14:paraId="6D5F824F">
                  <w:pPr>
                    <w:pStyle w:val="30"/>
                    <w:bidi w:val="0"/>
                    <w:jc w:val="center"/>
                    <w:rPr>
                      <w:rFonts w:hint="default"/>
                      <w:highlight w:val="none"/>
                      <w:u w:val="none" w:color="auto"/>
                      <w:lang w:val="en-US" w:eastAsia="zh-CN"/>
                    </w:rPr>
                  </w:pPr>
                  <w:r>
                    <w:rPr>
                      <w:rFonts w:hint="default"/>
                      <w:highlight w:val="none"/>
                      <w:u w:val="none" w:color="auto"/>
                      <w:lang w:val="en-US" w:eastAsia="zh-CN"/>
                    </w:rPr>
                    <w:t>否</w:t>
                  </w:r>
                </w:p>
              </w:tc>
            </w:tr>
            <w:tr w14:paraId="65201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8" w:type="pct"/>
                  <w:tcBorders>
                    <w:tl2br w:val="nil"/>
                    <w:tr2bl w:val="nil"/>
                  </w:tcBorders>
                  <w:vAlign w:val="center"/>
                </w:tcPr>
                <w:p w14:paraId="42767708">
                  <w:pPr>
                    <w:pStyle w:val="30"/>
                    <w:bidi w:val="0"/>
                    <w:jc w:val="center"/>
                    <w:rPr>
                      <w:rFonts w:hint="default"/>
                      <w:highlight w:val="none"/>
                      <w:u w:val="none" w:color="auto"/>
                      <w:lang w:val="en-US" w:eastAsia="zh-CN"/>
                    </w:rPr>
                  </w:pPr>
                  <w:r>
                    <w:rPr>
                      <w:rFonts w:hint="default"/>
                      <w:highlight w:val="none"/>
                      <w:u w:val="none" w:color="auto"/>
                      <w:lang w:val="en-US" w:eastAsia="zh-CN"/>
                    </w:rPr>
                    <w:t>生态环境</w:t>
                  </w:r>
                </w:p>
              </w:tc>
              <w:tc>
                <w:tcPr>
                  <w:tcW w:w="1411" w:type="pct"/>
                  <w:tcBorders>
                    <w:tl2br w:val="nil"/>
                    <w:tr2bl w:val="nil"/>
                  </w:tcBorders>
                  <w:vAlign w:val="center"/>
                </w:tcPr>
                <w:p w14:paraId="0A49CFF3">
                  <w:pPr>
                    <w:pStyle w:val="30"/>
                    <w:bidi w:val="0"/>
                    <w:jc w:val="center"/>
                    <w:rPr>
                      <w:rFonts w:hint="default"/>
                      <w:highlight w:val="none"/>
                      <w:u w:val="none" w:color="auto"/>
                      <w:lang w:val="en-US" w:eastAsia="zh-CN"/>
                    </w:rPr>
                  </w:pPr>
                  <w:r>
                    <w:rPr>
                      <w:rFonts w:hint="default"/>
                      <w:highlight w:val="none"/>
                      <w:u w:val="none" w:color="auto"/>
                      <w:lang w:val="en-US" w:eastAsia="zh-CN"/>
                    </w:rPr>
                    <w:t>取水口下游500米范围内有重要水生生物的自然产卵场、索饵场、越冬场和洄游通道的新增河道取水的污染类建设项目</w:t>
                  </w:r>
                </w:p>
              </w:tc>
              <w:tc>
                <w:tcPr>
                  <w:tcW w:w="1248" w:type="pct"/>
                  <w:tcBorders>
                    <w:tl2br w:val="nil"/>
                    <w:tr2bl w:val="nil"/>
                  </w:tcBorders>
                  <w:vAlign w:val="center"/>
                </w:tcPr>
                <w:p w14:paraId="404495A8">
                  <w:pPr>
                    <w:pStyle w:val="30"/>
                    <w:bidi w:val="0"/>
                    <w:jc w:val="center"/>
                    <w:rPr>
                      <w:rFonts w:hint="default"/>
                      <w:highlight w:val="none"/>
                      <w:u w:val="none" w:color="auto"/>
                      <w:lang w:val="en-US" w:eastAsia="zh-CN"/>
                    </w:rPr>
                  </w:pPr>
                  <w:r>
                    <w:rPr>
                      <w:rFonts w:hint="default"/>
                      <w:highlight w:val="none"/>
                      <w:u w:val="none" w:color="auto"/>
                      <w:lang w:val="en-US" w:eastAsia="zh-CN"/>
                    </w:rPr>
                    <w:t>本项目不设置取水口</w:t>
                  </w:r>
                </w:p>
              </w:tc>
              <w:tc>
                <w:tcPr>
                  <w:tcW w:w="1251" w:type="pct"/>
                  <w:tcBorders>
                    <w:tl2br w:val="nil"/>
                    <w:tr2bl w:val="nil"/>
                  </w:tcBorders>
                  <w:vAlign w:val="center"/>
                </w:tcPr>
                <w:p w14:paraId="1C38019B">
                  <w:pPr>
                    <w:pStyle w:val="30"/>
                    <w:bidi w:val="0"/>
                    <w:jc w:val="center"/>
                    <w:rPr>
                      <w:rFonts w:hint="default"/>
                      <w:highlight w:val="none"/>
                      <w:u w:val="none" w:color="auto"/>
                      <w:lang w:val="en-US" w:eastAsia="zh-CN"/>
                    </w:rPr>
                  </w:pPr>
                  <w:r>
                    <w:rPr>
                      <w:rFonts w:hint="default"/>
                      <w:highlight w:val="none"/>
                      <w:u w:val="none" w:color="auto"/>
                      <w:lang w:val="en-US" w:eastAsia="zh-CN"/>
                    </w:rPr>
                    <w:t>否</w:t>
                  </w:r>
                </w:p>
              </w:tc>
            </w:tr>
            <w:tr w14:paraId="3BAB0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8" w:type="pct"/>
                  <w:tcBorders>
                    <w:tl2br w:val="nil"/>
                    <w:tr2bl w:val="nil"/>
                  </w:tcBorders>
                  <w:vAlign w:val="center"/>
                </w:tcPr>
                <w:p w14:paraId="695F0727">
                  <w:pPr>
                    <w:pStyle w:val="30"/>
                    <w:bidi w:val="0"/>
                    <w:jc w:val="center"/>
                    <w:rPr>
                      <w:rFonts w:hint="default"/>
                      <w:highlight w:val="none"/>
                      <w:u w:val="none" w:color="auto"/>
                      <w:lang w:val="en-US" w:eastAsia="zh-CN"/>
                    </w:rPr>
                  </w:pPr>
                  <w:r>
                    <w:rPr>
                      <w:rFonts w:hint="default"/>
                      <w:highlight w:val="none"/>
                      <w:u w:val="none" w:color="auto"/>
                      <w:lang w:val="en-US" w:eastAsia="zh-CN"/>
                    </w:rPr>
                    <w:t>海洋</w:t>
                  </w:r>
                </w:p>
              </w:tc>
              <w:tc>
                <w:tcPr>
                  <w:tcW w:w="1411" w:type="pct"/>
                  <w:tcBorders>
                    <w:tl2br w:val="nil"/>
                    <w:tr2bl w:val="nil"/>
                  </w:tcBorders>
                  <w:vAlign w:val="center"/>
                </w:tcPr>
                <w:p w14:paraId="6A6A4200">
                  <w:pPr>
                    <w:pStyle w:val="30"/>
                    <w:bidi w:val="0"/>
                    <w:jc w:val="center"/>
                    <w:rPr>
                      <w:rFonts w:hint="default"/>
                      <w:highlight w:val="none"/>
                      <w:u w:val="none" w:color="auto"/>
                      <w:lang w:val="en-US" w:eastAsia="zh-CN"/>
                    </w:rPr>
                  </w:pPr>
                  <w:r>
                    <w:rPr>
                      <w:rFonts w:hint="default"/>
                      <w:highlight w:val="none"/>
                      <w:u w:val="none" w:color="auto"/>
                      <w:lang w:val="en-US" w:eastAsia="zh-CN"/>
                    </w:rPr>
                    <w:t>直接向海排放污染物的海洋工程建设项目</w:t>
                  </w:r>
                </w:p>
              </w:tc>
              <w:tc>
                <w:tcPr>
                  <w:tcW w:w="1248" w:type="pct"/>
                  <w:tcBorders>
                    <w:tl2br w:val="nil"/>
                    <w:tr2bl w:val="nil"/>
                  </w:tcBorders>
                  <w:vAlign w:val="center"/>
                </w:tcPr>
                <w:p w14:paraId="7E54B951">
                  <w:pPr>
                    <w:pStyle w:val="30"/>
                    <w:bidi w:val="0"/>
                    <w:jc w:val="center"/>
                    <w:rPr>
                      <w:rFonts w:hint="default"/>
                      <w:highlight w:val="none"/>
                      <w:u w:val="none" w:color="auto"/>
                      <w:lang w:val="en-US" w:eastAsia="zh-CN"/>
                    </w:rPr>
                  </w:pPr>
                  <w:r>
                    <w:rPr>
                      <w:rFonts w:hint="default"/>
                      <w:highlight w:val="none"/>
                      <w:u w:val="none" w:color="auto"/>
                      <w:lang w:val="en-US" w:eastAsia="zh-CN"/>
                    </w:rPr>
                    <w:t>本项目不属于直接向海排放污染物的海洋工程建设项目</w:t>
                  </w:r>
                </w:p>
              </w:tc>
              <w:tc>
                <w:tcPr>
                  <w:tcW w:w="1251" w:type="pct"/>
                  <w:tcBorders>
                    <w:tl2br w:val="nil"/>
                    <w:tr2bl w:val="nil"/>
                  </w:tcBorders>
                  <w:vAlign w:val="center"/>
                </w:tcPr>
                <w:p w14:paraId="722D5B31">
                  <w:pPr>
                    <w:pStyle w:val="30"/>
                    <w:bidi w:val="0"/>
                    <w:jc w:val="center"/>
                    <w:rPr>
                      <w:rFonts w:hint="default"/>
                      <w:highlight w:val="none"/>
                      <w:u w:val="none" w:color="auto"/>
                      <w:lang w:val="en-US" w:eastAsia="zh-CN"/>
                    </w:rPr>
                  </w:pPr>
                  <w:r>
                    <w:rPr>
                      <w:rFonts w:hint="default"/>
                      <w:highlight w:val="none"/>
                      <w:u w:val="none" w:color="auto"/>
                      <w:lang w:val="en-US" w:eastAsia="zh-CN"/>
                    </w:rPr>
                    <w:t>否</w:t>
                  </w:r>
                </w:p>
              </w:tc>
            </w:tr>
          </w:tbl>
          <w:p w14:paraId="5038F957">
            <w:pPr>
              <w:pStyle w:val="25"/>
              <w:bidi w:val="0"/>
              <w:rPr>
                <w:rFonts w:hint="default" w:ascii="Times New Roman" w:hAnsi="Times New Roman" w:eastAsia="宋体" w:cs="Times New Roman"/>
                <w:color w:val="auto"/>
                <w:kern w:val="0"/>
                <w:sz w:val="24"/>
                <w:szCs w:val="24"/>
                <w:highlight w:val="none"/>
                <w:u w:val="none" w:color="auto"/>
                <w:lang w:val="en-US" w:eastAsia="zh-CN"/>
              </w:rPr>
            </w:pPr>
            <w:r>
              <w:rPr>
                <w:rFonts w:hint="eastAsia"/>
                <w:highlight w:val="none"/>
                <w:u w:val="none" w:color="auto"/>
                <w:lang w:val="en-US" w:eastAsia="zh-CN"/>
              </w:rPr>
              <w:t>由上表可知，本项目无须设置专项评价。</w:t>
            </w:r>
          </w:p>
        </w:tc>
      </w:tr>
      <w:tr w14:paraId="47970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9" w:type="dxa"/>
            <w:tcBorders>
              <w:tl2br w:val="nil"/>
              <w:tr2bl w:val="nil"/>
            </w:tcBorders>
            <w:noWrap w:val="0"/>
            <w:vAlign w:val="center"/>
          </w:tcPr>
          <w:p w14:paraId="4CC47835">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sz w:val="24"/>
                <w:szCs w:val="24"/>
                <w:highlight w:val="none"/>
                <w:u w:val="none" w:color="auto"/>
              </w:rPr>
              <w:t>规划情况</w:t>
            </w:r>
          </w:p>
        </w:tc>
        <w:tc>
          <w:tcPr>
            <w:tcW w:w="7018" w:type="dxa"/>
            <w:gridSpan w:val="3"/>
            <w:tcBorders>
              <w:tl2br w:val="nil"/>
              <w:tr2bl w:val="nil"/>
            </w:tcBorders>
            <w:noWrap w:val="0"/>
            <w:vAlign w:val="center"/>
          </w:tcPr>
          <w:p w14:paraId="2585B992">
            <w:pPr>
              <w:pStyle w:val="25"/>
              <w:bidi w:val="0"/>
              <w:ind w:left="0" w:leftChars="0" w:firstLine="0" w:firstLineChars="0"/>
              <w:jc w:val="center"/>
              <w:rPr>
                <w:rFonts w:hint="eastAsia"/>
                <w:highlight w:val="none"/>
                <w:u w:val="none" w:color="auto"/>
                <w:lang w:val="en-US" w:eastAsia="zh-CN"/>
              </w:rPr>
            </w:pPr>
            <w:r>
              <w:rPr>
                <w:rFonts w:hint="eastAsia" w:cs="Times New Roman"/>
                <w:color w:val="auto"/>
                <w:kern w:val="0"/>
                <w:sz w:val="24"/>
                <w:highlight w:val="none"/>
                <w:u w:val="none" w:color="auto"/>
                <w:lang w:val="en-US" w:eastAsia="zh-CN"/>
              </w:rPr>
              <w:t>规划名称：《岳阳县国土空间总体规划》（2021-2035）</w:t>
            </w:r>
          </w:p>
        </w:tc>
      </w:tr>
      <w:tr w14:paraId="6A1CD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1319" w:type="dxa"/>
            <w:tcBorders>
              <w:tl2br w:val="nil"/>
              <w:tr2bl w:val="nil"/>
            </w:tcBorders>
            <w:noWrap w:val="0"/>
            <w:vAlign w:val="center"/>
          </w:tcPr>
          <w:p w14:paraId="545C9678">
            <w:pPr>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sz w:val="24"/>
                <w:szCs w:val="24"/>
                <w:highlight w:val="none"/>
                <w:u w:val="none" w:color="auto"/>
              </w:rPr>
              <w:t>规划环境影响评价情况</w:t>
            </w:r>
          </w:p>
        </w:tc>
        <w:tc>
          <w:tcPr>
            <w:tcW w:w="7018" w:type="dxa"/>
            <w:gridSpan w:val="3"/>
            <w:tcBorders>
              <w:tl2br w:val="nil"/>
              <w:tr2bl w:val="nil"/>
            </w:tcBorders>
            <w:noWrap w:val="0"/>
            <w:vAlign w:val="center"/>
          </w:tcPr>
          <w:p w14:paraId="40E06CF7">
            <w:pPr>
              <w:pStyle w:val="25"/>
              <w:bidi w:val="0"/>
              <w:ind w:left="0" w:leftChars="0" w:firstLine="0" w:firstLineChars="0"/>
              <w:jc w:val="center"/>
              <w:rPr>
                <w:rFonts w:hint="eastAsia"/>
                <w:highlight w:val="none"/>
                <w:u w:val="none" w:color="auto"/>
                <w:lang w:val="en-US" w:eastAsia="zh-CN"/>
              </w:rPr>
            </w:pPr>
            <w:r>
              <w:rPr>
                <w:rFonts w:hint="eastAsia"/>
                <w:highlight w:val="none"/>
                <w:u w:val="none" w:color="auto"/>
                <w:lang w:val="en-US" w:eastAsia="zh-CN"/>
              </w:rPr>
              <w:t>无</w:t>
            </w:r>
          </w:p>
        </w:tc>
      </w:tr>
      <w:tr w14:paraId="16FA5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9" w:type="dxa"/>
            <w:tcBorders>
              <w:tl2br w:val="nil"/>
              <w:tr2bl w:val="nil"/>
            </w:tcBorders>
            <w:noWrap w:val="0"/>
            <w:vAlign w:val="center"/>
          </w:tcPr>
          <w:p w14:paraId="6040FE9E">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kern w:val="0"/>
                <w:sz w:val="24"/>
                <w:szCs w:val="24"/>
                <w:highlight w:val="none"/>
                <w:u w:val="none" w:color="auto"/>
              </w:rPr>
              <w:t>规划及规划环境影响评价符合性分析</w:t>
            </w:r>
          </w:p>
        </w:tc>
        <w:tc>
          <w:tcPr>
            <w:tcW w:w="7018" w:type="dxa"/>
            <w:gridSpan w:val="3"/>
            <w:tcBorders>
              <w:tl2br w:val="nil"/>
              <w:tr2bl w:val="nil"/>
            </w:tcBorders>
            <w:noWrap w:val="0"/>
            <w:vAlign w:val="center"/>
          </w:tcPr>
          <w:p w14:paraId="20672A6D">
            <w:pPr>
              <w:pStyle w:val="25"/>
              <w:keepNext w:val="0"/>
              <w:keepLines w:val="0"/>
              <w:pageBreakBefore w:val="0"/>
              <w:widowControl w:val="0"/>
              <w:kinsoku/>
              <w:wordWrap w:val="0"/>
              <w:overflowPunct/>
              <w:topLinePunct/>
              <w:autoSpaceDE/>
              <w:autoSpaceDN/>
              <w:bidi w:val="0"/>
              <w:adjustRightInd/>
              <w:snapToGrid/>
              <w:ind w:left="0" w:leftChars="0" w:firstLine="480" w:firstLineChars="200"/>
              <w:jc w:val="both"/>
              <w:textAlignment w:val="auto"/>
              <w:rPr>
                <w:rFonts w:hint="eastAsia"/>
                <w:highlight w:val="none"/>
                <w:u w:val="none" w:color="auto"/>
                <w:lang w:val="en-US" w:eastAsia="zh-CN"/>
              </w:rPr>
            </w:pPr>
            <w:r>
              <w:rPr>
                <w:rStyle w:val="35"/>
                <w:highlight w:val="none"/>
                <w:u w:val="none" w:color="auto"/>
              </w:rPr>
              <w:t>本项目位于</w:t>
            </w:r>
            <w:r>
              <w:rPr>
                <w:rStyle w:val="35"/>
                <w:rFonts w:hint="eastAsia"/>
                <w:highlight w:val="none"/>
                <w:u w:val="none" w:color="auto"/>
              </w:rPr>
              <w:t>岳阳市</w:t>
            </w:r>
            <w:r>
              <w:rPr>
                <w:rStyle w:val="35"/>
                <w:rFonts w:hint="eastAsia"/>
                <w:highlight w:val="none"/>
                <w:u w:val="none" w:color="auto"/>
                <w:lang w:eastAsia="zh-CN"/>
              </w:rPr>
              <w:t>岳阳县</w:t>
            </w:r>
            <w:r>
              <w:rPr>
                <w:rStyle w:val="35"/>
                <w:rFonts w:hint="eastAsia"/>
                <w:highlight w:val="none"/>
                <w:u w:val="none" w:color="auto"/>
                <w:lang w:val="en-US" w:eastAsia="zh-CN"/>
              </w:rPr>
              <w:t>新墙镇</w:t>
            </w:r>
            <w:r>
              <w:rPr>
                <w:rStyle w:val="35"/>
                <w:rFonts w:hint="eastAsia"/>
                <w:highlight w:val="none"/>
                <w:u w:val="none" w:color="auto"/>
              </w:rPr>
              <w:t>，</w:t>
            </w:r>
            <w:r>
              <w:rPr>
                <w:rStyle w:val="35"/>
                <w:rFonts w:hint="eastAsia"/>
                <w:highlight w:val="none"/>
                <w:u w:val="none" w:color="auto"/>
                <w:lang w:val="en-US" w:eastAsia="zh-CN"/>
              </w:rPr>
              <w:t>新墙镇</w:t>
            </w:r>
            <w:r>
              <w:rPr>
                <w:rStyle w:val="35"/>
                <w:rFonts w:hint="eastAsia"/>
                <w:highlight w:val="none"/>
                <w:u w:val="none" w:color="auto"/>
              </w:rPr>
              <w:t>是</w:t>
            </w:r>
            <w:r>
              <w:rPr>
                <w:rStyle w:val="35"/>
                <w:rFonts w:hint="eastAsia"/>
                <w:highlight w:val="none"/>
                <w:u w:val="none" w:color="auto"/>
                <w:lang w:val="en-US" w:eastAsia="zh-CN"/>
              </w:rPr>
              <w:t>《岳阳县国土空间总体规划》（2021-2035）</w:t>
            </w:r>
            <w:r>
              <w:rPr>
                <w:rStyle w:val="35"/>
                <w:highlight w:val="none"/>
                <w:u w:val="none" w:color="auto"/>
              </w:rPr>
              <w:t>中提到的</w:t>
            </w:r>
            <w:r>
              <w:rPr>
                <w:rStyle w:val="35"/>
                <w:rFonts w:hint="eastAsia"/>
                <w:highlight w:val="none"/>
                <w:u w:val="none" w:color="auto"/>
              </w:rPr>
              <w:t>城郊</w:t>
            </w:r>
            <w:r>
              <w:rPr>
                <w:rStyle w:val="35"/>
                <w:rFonts w:hint="eastAsia"/>
                <w:highlight w:val="none"/>
                <w:u w:val="none" w:color="auto"/>
                <w:lang w:val="en-US" w:eastAsia="zh-CN"/>
              </w:rPr>
              <w:t>融合类</w:t>
            </w:r>
            <w:r>
              <w:rPr>
                <w:rStyle w:val="35"/>
                <w:highlight w:val="none"/>
                <w:u w:val="none" w:color="auto"/>
              </w:rPr>
              <w:t>村</w:t>
            </w:r>
            <w:r>
              <w:rPr>
                <w:rStyle w:val="35"/>
                <w:rFonts w:hint="eastAsia"/>
                <w:highlight w:val="none"/>
                <w:u w:val="none" w:color="auto"/>
                <w:lang w:val="en-US" w:eastAsia="zh-CN"/>
              </w:rPr>
              <w:t>庄</w:t>
            </w:r>
            <w:r>
              <w:rPr>
                <w:rStyle w:val="35"/>
                <w:highlight w:val="none"/>
                <w:u w:val="none" w:color="auto"/>
              </w:rPr>
              <w:t>，本项目</w:t>
            </w:r>
            <w:r>
              <w:rPr>
                <w:rStyle w:val="35"/>
                <w:rFonts w:hint="eastAsia"/>
                <w:highlight w:val="none"/>
                <w:u w:val="none" w:color="auto"/>
                <w:lang w:val="en-US" w:eastAsia="zh-CN"/>
              </w:rPr>
              <w:t>为废弃资源综合利用业</w:t>
            </w:r>
            <w:r>
              <w:rPr>
                <w:rStyle w:val="35"/>
                <w:rFonts w:hint="eastAsia"/>
                <w:highlight w:val="none"/>
                <w:u w:val="none" w:color="auto"/>
              </w:rPr>
              <w:t>，符合</w:t>
            </w:r>
            <w:r>
              <w:rPr>
                <w:rStyle w:val="35"/>
                <w:rFonts w:hint="eastAsia"/>
                <w:highlight w:val="none"/>
                <w:u w:val="none" w:color="auto"/>
                <w:lang w:val="en-US" w:eastAsia="zh-CN"/>
              </w:rPr>
              <w:t>《岳阳县国土空间总体规划》（2021-2035）</w:t>
            </w:r>
            <w:r>
              <w:rPr>
                <w:rStyle w:val="35"/>
                <w:highlight w:val="none"/>
                <w:u w:val="none" w:color="auto"/>
              </w:rPr>
              <w:t>中第</w:t>
            </w:r>
            <w:r>
              <w:rPr>
                <w:rStyle w:val="35"/>
                <w:rFonts w:hint="eastAsia"/>
                <w:highlight w:val="none"/>
                <w:u w:val="none" w:color="auto"/>
                <w:lang w:val="en-US" w:eastAsia="zh-CN"/>
              </w:rPr>
              <w:t>四</w:t>
            </w:r>
            <w:r>
              <w:rPr>
                <w:rStyle w:val="35"/>
                <w:highlight w:val="none"/>
                <w:u w:val="none" w:color="auto"/>
              </w:rPr>
              <w:t>章</w:t>
            </w:r>
            <w:r>
              <w:rPr>
                <w:rStyle w:val="35"/>
                <w:rFonts w:hint="eastAsia"/>
                <w:highlight w:val="none"/>
                <w:u w:val="none" w:color="auto"/>
              </w:rPr>
              <w:t>农业空间与乡村振兴</w:t>
            </w:r>
            <w:r>
              <w:rPr>
                <w:rStyle w:val="35"/>
                <w:highlight w:val="none"/>
                <w:u w:val="none" w:color="auto"/>
              </w:rPr>
              <w:t>的第</w:t>
            </w:r>
            <w:r>
              <w:rPr>
                <w:rStyle w:val="35"/>
                <w:rFonts w:hint="eastAsia"/>
                <w:highlight w:val="none"/>
                <w:u w:val="none" w:color="auto"/>
                <w:lang w:val="en-US" w:eastAsia="zh-CN"/>
              </w:rPr>
              <w:t>三节</w:t>
            </w:r>
            <w:r>
              <w:rPr>
                <w:rStyle w:val="35"/>
                <w:rFonts w:hint="eastAsia"/>
                <w:highlight w:val="none"/>
                <w:u w:val="none" w:color="auto"/>
              </w:rPr>
              <w:t>空县域村庄布局与分类</w:t>
            </w:r>
            <w:r>
              <w:rPr>
                <w:rStyle w:val="35"/>
                <w:highlight w:val="none"/>
                <w:u w:val="none" w:color="auto"/>
              </w:rPr>
              <w:t>中</w:t>
            </w:r>
            <w:r>
              <w:rPr>
                <w:rStyle w:val="35"/>
                <w:rFonts w:hint="eastAsia"/>
                <w:highlight w:val="none"/>
                <w:u w:val="none" w:color="auto"/>
              </w:rPr>
              <w:t>的第</w:t>
            </w:r>
            <w:r>
              <w:rPr>
                <w:rStyle w:val="35"/>
                <w:rFonts w:hint="eastAsia"/>
                <w:highlight w:val="none"/>
                <w:u w:val="none" w:color="auto"/>
                <w:lang w:val="en-US" w:eastAsia="zh-CN"/>
              </w:rPr>
              <w:t>一</w:t>
            </w:r>
            <w:r>
              <w:rPr>
                <w:rStyle w:val="35"/>
                <w:rFonts w:hint="eastAsia"/>
                <w:highlight w:val="none"/>
                <w:u w:val="none" w:color="auto"/>
              </w:rPr>
              <w:t>点</w:t>
            </w:r>
            <w:r>
              <w:rPr>
                <w:rStyle w:val="35"/>
                <w:highlight w:val="none"/>
                <w:u w:val="none" w:color="auto"/>
              </w:rPr>
              <w:t>：</w:t>
            </w:r>
            <w:r>
              <w:rPr>
                <w:rStyle w:val="35"/>
                <w:rFonts w:hint="eastAsia"/>
                <w:highlight w:val="none"/>
                <w:u w:val="none" w:color="auto"/>
              </w:rPr>
              <w:t>“应以城乡融合为重点，综合考虑工业化、城镇化和村庄自身发展需要，充分考虑承接城镇外溢功能、推动与城镇公共服务设施的共建共享、公用基础设施的互联互通，促进城乡资金、技术、人才、管理等要素双向流动。规划城郊融合类村庄28个，主要分布在荣家湾镇、新墙镇、黄沙街镇、筻口镇、新开镇等乡镇。”。本项目</w:t>
            </w:r>
            <w:r>
              <w:rPr>
                <w:rStyle w:val="35"/>
                <w:rFonts w:hint="eastAsia"/>
                <w:highlight w:val="none"/>
                <w:u w:val="none" w:color="auto"/>
                <w:lang w:val="en-US" w:eastAsia="zh-CN"/>
              </w:rPr>
              <w:t>用地为工业用地，满足其中工业化需求，</w:t>
            </w:r>
            <w:r>
              <w:rPr>
                <w:rStyle w:val="35"/>
                <w:rFonts w:hint="eastAsia"/>
                <w:highlight w:val="none"/>
                <w:u w:val="none" w:color="auto"/>
              </w:rPr>
              <w:t>符合</w:t>
            </w:r>
            <w:r>
              <w:rPr>
                <w:rStyle w:val="35"/>
                <w:rFonts w:hint="eastAsia"/>
                <w:highlight w:val="none"/>
                <w:u w:val="none" w:color="auto"/>
                <w:lang w:val="en-US" w:eastAsia="zh-CN"/>
              </w:rPr>
              <w:t>《岳阳县国土空间总体规划》（2021-2035）</w:t>
            </w:r>
            <w:r>
              <w:rPr>
                <w:rStyle w:val="35"/>
                <w:rFonts w:hint="eastAsia"/>
                <w:highlight w:val="none"/>
                <w:u w:val="none" w:color="auto"/>
              </w:rPr>
              <w:t>。</w:t>
            </w:r>
          </w:p>
        </w:tc>
      </w:tr>
      <w:tr w14:paraId="7198E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19" w:type="dxa"/>
            <w:tcBorders>
              <w:tl2br w:val="nil"/>
              <w:tr2bl w:val="nil"/>
            </w:tcBorders>
            <w:noWrap w:val="0"/>
            <w:vAlign w:val="center"/>
          </w:tcPr>
          <w:p w14:paraId="1F2C4CD0">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color w:val="auto"/>
                <w:kern w:val="0"/>
                <w:sz w:val="24"/>
                <w:highlight w:val="none"/>
                <w:u w:val="none" w:color="auto"/>
              </w:rPr>
              <w:t>其他符合性分析</w:t>
            </w:r>
          </w:p>
        </w:tc>
        <w:tc>
          <w:tcPr>
            <w:tcW w:w="7018" w:type="dxa"/>
            <w:gridSpan w:val="3"/>
            <w:tcBorders>
              <w:tl2br w:val="nil"/>
              <w:tr2bl w:val="nil"/>
            </w:tcBorders>
            <w:noWrap w:val="0"/>
            <w:vAlign w:val="center"/>
          </w:tcPr>
          <w:p w14:paraId="0166ED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highlight w:val="none"/>
                <w:u w:val="none" w:color="auto"/>
              </w:rPr>
            </w:pPr>
            <w:r>
              <w:rPr>
                <w:rFonts w:hint="eastAsia" w:ascii="Times New Roman" w:hAnsi="Times New Roman" w:eastAsia="宋体" w:cs="Times New Roman"/>
                <w:b/>
                <w:bCs/>
                <w:color w:val="auto"/>
                <w:kern w:val="0"/>
                <w:sz w:val="24"/>
                <w:szCs w:val="24"/>
                <w:highlight w:val="none"/>
                <w:u w:val="none" w:color="auto"/>
                <w:lang w:val="en-US" w:eastAsia="zh-CN" w:bidi="ar-SA"/>
              </w:rPr>
              <w:t>一、</w:t>
            </w:r>
            <w:r>
              <w:rPr>
                <w:rFonts w:hint="default" w:ascii="Times New Roman" w:hAnsi="Times New Roman" w:eastAsia="宋体" w:cs="Times New Roman"/>
                <w:b/>
                <w:bCs/>
                <w:color w:val="auto"/>
                <w:kern w:val="0"/>
                <w:sz w:val="24"/>
                <w:szCs w:val="24"/>
                <w:highlight w:val="none"/>
                <w:u w:val="none" w:color="auto"/>
                <w:lang w:val="en-US" w:eastAsia="zh-CN" w:bidi="ar-SA"/>
              </w:rPr>
              <w:t>与生态环境分区管控相符性分析</w:t>
            </w:r>
          </w:p>
          <w:p w14:paraId="677C436B">
            <w:pPr>
              <w:pStyle w:val="25"/>
              <w:bidi w:val="0"/>
              <w:rPr>
                <w:rFonts w:hint="default"/>
                <w:highlight w:val="none"/>
                <w:u w:val="none" w:color="auto"/>
              </w:rPr>
            </w:pPr>
            <w:r>
              <w:rPr>
                <w:rFonts w:hint="eastAsia"/>
                <w:b/>
                <w:bCs/>
                <w:highlight w:val="none"/>
                <w:u w:val="none" w:color="auto"/>
                <w:lang w:val="en-US" w:eastAsia="zh-CN"/>
              </w:rPr>
              <w:t>1.1生态保护红线</w:t>
            </w:r>
          </w:p>
          <w:p w14:paraId="3C6DC0FE">
            <w:pPr>
              <w:pStyle w:val="25"/>
              <w:bidi w:val="0"/>
              <w:rPr>
                <w:rFonts w:hint="default"/>
                <w:highlight w:val="none"/>
                <w:u w:val="none" w:color="auto"/>
                <w:lang w:eastAsia="zh-CN"/>
              </w:rPr>
            </w:pPr>
            <w:r>
              <w:rPr>
                <w:rFonts w:hint="default"/>
                <w:highlight w:val="none"/>
                <w:u w:val="none" w:color="auto"/>
              </w:rPr>
              <w:t>本项目位于</w:t>
            </w:r>
            <w:r>
              <w:rPr>
                <w:rFonts w:hint="eastAsia"/>
                <w:highlight w:val="none"/>
                <w:u w:val="none" w:color="auto"/>
                <w:lang w:val="en-US" w:eastAsia="zh-CN"/>
              </w:rPr>
              <w:t>湖南省岳阳市岳阳县新墙镇</w:t>
            </w:r>
            <w:r>
              <w:rPr>
                <w:rFonts w:hint="default"/>
                <w:highlight w:val="none"/>
                <w:u w:val="none" w:color="auto"/>
              </w:rPr>
              <w:t>，</w:t>
            </w:r>
            <w:r>
              <w:rPr>
                <w:rStyle w:val="35"/>
                <w:rFonts w:hint="eastAsia"/>
                <w:highlight w:val="none"/>
                <w:u w:val="none" w:color="auto"/>
                <w:lang w:val="en-US" w:eastAsia="zh-CN"/>
              </w:rPr>
              <w:t>对照《岳阳县国土空间规划》，城镇开发边界，不在生态保护红线范围内，符合生态红线管理要求。</w:t>
            </w:r>
          </w:p>
          <w:p w14:paraId="574F5F76">
            <w:pPr>
              <w:pStyle w:val="25"/>
              <w:bidi w:val="0"/>
              <w:rPr>
                <w:rFonts w:hint="default" w:ascii="Times New Roman" w:hAnsi="Times New Roman" w:cs="Times New Roman"/>
                <w:color w:val="auto"/>
                <w:sz w:val="24"/>
                <w:highlight w:val="none"/>
                <w:u w:val="none" w:color="auto"/>
              </w:rPr>
            </w:pPr>
            <w:r>
              <w:rPr>
                <w:rFonts w:hint="eastAsia" w:cs="Times New Roman"/>
                <w:b/>
                <w:bCs/>
                <w:color w:val="auto"/>
                <w:kern w:val="0"/>
                <w:sz w:val="24"/>
                <w:szCs w:val="24"/>
                <w:highlight w:val="none"/>
                <w:u w:val="none" w:color="auto"/>
                <w:lang w:val="en-US" w:eastAsia="zh-CN"/>
              </w:rPr>
              <w:t>1.2环境质量底线</w:t>
            </w:r>
          </w:p>
          <w:p w14:paraId="3E7F6330">
            <w:pPr>
              <w:pStyle w:val="25"/>
              <w:bidi w:val="0"/>
              <w:rPr>
                <w:rFonts w:hint="default" w:ascii="Times New Roman" w:hAnsi="Times New Roman" w:cs="Times New Roman"/>
                <w:color w:val="auto"/>
                <w:sz w:val="24"/>
                <w:highlight w:val="none"/>
                <w:u w:val="none" w:color="auto"/>
              </w:rPr>
            </w:pPr>
            <w:r>
              <w:rPr>
                <w:rStyle w:val="35"/>
                <w:rFonts w:hint="default"/>
                <w:highlight w:val="none"/>
                <w:u w:val="none" w:color="auto"/>
              </w:rPr>
              <w:t>项目所在区域环境空气功能区为二类区，执行《环境空气质量标准》(GB3095-2012)二级标准，</w:t>
            </w:r>
            <w:r>
              <w:rPr>
                <w:rStyle w:val="35"/>
                <w:rFonts w:hint="eastAsia"/>
                <w:highlight w:val="none"/>
                <w:u w:val="none" w:color="auto"/>
                <w:lang w:val="en-US" w:eastAsia="zh-CN"/>
              </w:rPr>
              <w:t>根据</w:t>
            </w:r>
            <w:r>
              <w:rPr>
                <w:rStyle w:val="35"/>
                <w:rFonts w:hint="default"/>
                <w:highlight w:val="none"/>
                <w:u w:val="none" w:color="auto"/>
                <w:lang w:eastAsia="zh-CN"/>
              </w:rPr>
              <w:t>岳阳市生态环境局发布的《</w:t>
            </w:r>
            <w:r>
              <w:rPr>
                <w:rStyle w:val="35"/>
                <w:rFonts w:hint="default"/>
                <w:highlight w:val="none"/>
                <w:u w:val="none" w:color="auto"/>
              </w:rPr>
              <w:t>岳阳市202</w:t>
            </w:r>
            <w:r>
              <w:rPr>
                <w:rStyle w:val="35"/>
                <w:rFonts w:hint="eastAsia"/>
                <w:highlight w:val="none"/>
                <w:u w:val="none" w:color="auto"/>
                <w:lang w:val="en-US" w:eastAsia="zh-CN"/>
              </w:rPr>
              <w:t>4</w:t>
            </w:r>
            <w:r>
              <w:rPr>
                <w:rStyle w:val="35"/>
                <w:rFonts w:hint="default"/>
                <w:highlight w:val="none"/>
                <w:u w:val="none" w:color="auto"/>
              </w:rPr>
              <w:t>年度生态环境质量公报</w:t>
            </w:r>
            <w:r>
              <w:rPr>
                <w:rStyle w:val="35"/>
                <w:rFonts w:hint="default"/>
                <w:highlight w:val="none"/>
                <w:u w:val="none" w:color="auto"/>
                <w:lang w:eastAsia="zh-CN"/>
              </w:rPr>
              <w:t>》中的岳阳县数据</w:t>
            </w:r>
            <w:r>
              <w:rPr>
                <w:rStyle w:val="35"/>
                <w:rFonts w:hint="eastAsia"/>
                <w:highlight w:val="none"/>
                <w:u w:val="none" w:color="auto"/>
                <w:lang w:val="en-US" w:eastAsia="zh-CN"/>
              </w:rPr>
              <w:t>可知，项目所在地属于环境空气质量达标区。</w:t>
            </w:r>
            <w:r>
              <w:rPr>
                <w:rFonts w:hint="eastAsia"/>
                <w:highlight w:val="none"/>
                <w:u w:val="none" w:color="auto"/>
                <w:lang w:val="en-US" w:eastAsia="zh-CN"/>
              </w:rPr>
              <w:t>另外，根据引用</w:t>
            </w:r>
            <w:r>
              <w:rPr>
                <w:rStyle w:val="35"/>
                <w:rFonts w:hint="default"/>
                <w:highlight w:val="none"/>
                <w:u w:val="none" w:color="auto"/>
              </w:rPr>
              <w:t>2024</w:t>
            </w:r>
            <w:r>
              <w:rPr>
                <w:rStyle w:val="35"/>
                <w:rFonts w:hint="eastAsia"/>
                <w:highlight w:val="none"/>
                <w:u w:val="none" w:color="auto"/>
                <w:lang w:val="en-US" w:eastAsia="zh-CN"/>
              </w:rPr>
              <w:t>年</w:t>
            </w:r>
            <w:r>
              <w:rPr>
                <w:rStyle w:val="35"/>
                <w:rFonts w:hint="default"/>
                <w:highlight w:val="none"/>
                <w:u w:val="none" w:color="auto"/>
              </w:rPr>
              <w:t>11</w:t>
            </w:r>
            <w:r>
              <w:rPr>
                <w:rStyle w:val="35"/>
                <w:rFonts w:hint="eastAsia"/>
                <w:highlight w:val="none"/>
                <w:u w:val="none" w:color="auto"/>
                <w:lang w:val="en-US" w:eastAsia="zh-CN"/>
              </w:rPr>
              <w:t>月</w:t>
            </w:r>
            <w:r>
              <w:rPr>
                <w:rStyle w:val="35"/>
                <w:rFonts w:hint="default"/>
                <w:highlight w:val="none"/>
                <w:u w:val="none" w:color="auto"/>
              </w:rPr>
              <w:t>17</w:t>
            </w:r>
            <w:r>
              <w:rPr>
                <w:rStyle w:val="35"/>
                <w:rFonts w:hint="eastAsia"/>
                <w:highlight w:val="none"/>
                <w:u w:val="none" w:color="auto"/>
                <w:lang w:val="en-US" w:eastAsia="zh-CN"/>
              </w:rPr>
              <w:t>日</w:t>
            </w:r>
            <w:r>
              <w:rPr>
                <w:rStyle w:val="35"/>
                <w:rFonts w:hint="default"/>
                <w:highlight w:val="none"/>
                <w:u w:val="none" w:color="auto"/>
              </w:rPr>
              <w:t>至</w:t>
            </w:r>
            <w:r>
              <w:rPr>
                <w:rStyle w:val="35"/>
                <w:rFonts w:hint="eastAsia"/>
                <w:highlight w:val="none"/>
                <w:u w:val="none" w:color="auto"/>
                <w:lang w:val="en-US" w:eastAsia="zh-CN"/>
              </w:rPr>
              <w:t>19</w:t>
            </w:r>
            <w:r>
              <w:rPr>
                <w:rStyle w:val="35"/>
                <w:rFonts w:hint="default"/>
                <w:highlight w:val="none"/>
                <w:u w:val="none" w:color="auto"/>
              </w:rPr>
              <w:t>日</w:t>
            </w:r>
            <w:r>
              <w:rPr>
                <w:rFonts w:hint="eastAsia" w:cs="Times New Roman"/>
                <w:sz w:val="24"/>
                <w:highlight w:val="none"/>
                <w:u w:val="none" w:color="auto"/>
                <w:lang w:val="en-US" w:eastAsia="zh-CN"/>
              </w:rPr>
              <w:t>引用</w:t>
            </w:r>
            <w:r>
              <w:rPr>
                <w:rStyle w:val="35"/>
                <w:rFonts w:hint="default"/>
                <w:highlight w:val="none"/>
                <w:u w:val="none" w:color="auto"/>
              </w:rPr>
              <w:t>岳阳县盛宏新材料科技有限公司的《新增年加工5万吨疏浚砂生产线建设项目环境影响评价报告表》</w:t>
            </w:r>
            <w:r>
              <w:rPr>
                <w:rFonts w:hint="eastAsia" w:ascii="Times New Roman" w:hAnsi="Times New Roman" w:eastAsia="宋体" w:cs="Times New Roman"/>
                <w:sz w:val="24"/>
                <w:highlight w:val="none"/>
                <w:u w:val="none" w:color="auto"/>
                <w:lang w:val="en-US" w:eastAsia="zh-CN"/>
              </w:rPr>
              <w:t>监测数据（</w:t>
            </w:r>
            <w:r>
              <w:rPr>
                <w:color w:val="auto"/>
                <w:kern w:val="2"/>
                <w:sz w:val="24"/>
                <w:szCs w:val="24"/>
                <w:highlight w:val="none"/>
                <w:u w:val="none" w:color="auto"/>
              </w:rPr>
              <w:t>位于本项目</w:t>
            </w:r>
            <w:r>
              <w:rPr>
                <w:rFonts w:hint="eastAsia"/>
                <w:color w:val="auto"/>
                <w:kern w:val="2"/>
                <w:sz w:val="24"/>
                <w:szCs w:val="24"/>
                <w:highlight w:val="none"/>
                <w:u w:val="none" w:color="auto"/>
                <w:lang w:val="en-US" w:eastAsia="zh-CN"/>
              </w:rPr>
              <w:t>东南</w:t>
            </w:r>
            <w:r>
              <w:rPr>
                <w:color w:val="auto"/>
                <w:kern w:val="2"/>
                <w:sz w:val="24"/>
                <w:szCs w:val="24"/>
                <w:highlight w:val="none"/>
                <w:u w:val="none" w:color="auto"/>
              </w:rPr>
              <w:t>侧</w:t>
            </w:r>
            <w:r>
              <w:rPr>
                <w:rFonts w:hint="eastAsia"/>
                <w:color w:val="auto"/>
                <w:kern w:val="2"/>
                <w:sz w:val="24"/>
                <w:szCs w:val="24"/>
                <w:highlight w:val="none"/>
                <w:u w:val="none" w:color="auto"/>
                <w:lang w:val="en-US" w:eastAsia="zh-CN"/>
              </w:rPr>
              <w:t>约1450.84</w:t>
            </w:r>
            <w:r>
              <w:rPr>
                <w:rFonts w:hint="eastAsia"/>
                <w:color w:val="auto"/>
                <w:kern w:val="2"/>
                <w:sz w:val="24"/>
                <w:szCs w:val="24"/>
                <w:highlight w:val="none"/>
                <w:u w:val="none" w:color="auto"/>
              </w:rPr>
              <w:t>m</w:t>
            </w:r>
            <w:r>
              <w:rPr>
                <w:rFonts w:hint="eastAsia" w:ascii="Times New Roman" w:hAnsi="Times New Roman" w:eastAsia="宋体" w:cs="Times New Roman"/>
                <w:sz w:val="24"/>
                <w:highlight w:val="none"/>
                <w:u w:val="none" w:color="auto"/>
                <w:lang w:val="en-US" w:eastAsia="zh-CN"/>
              </w:rPr>
              <w:t>）</w:t>
            </w:r>
            <w:r>
              <w:rPr>
                <w:rFonts w:hint="default" w:ascii="Times New Roman" w:hAnsi="Times New Roman" w:cs="Times New Roman"/>
                <w:sz w:val="24"/>
                <w:highlight w:val="none"/>
                <w:u w:val="none" w:color="auto"/>
              </w:rPr>
              <w:t>，</w:t>
            </w:r>
            <w:r>
              <w:rPr>
                <w:rFonts w:hint="eastAsia" w:cs="Times New Roman"/>
                <w:sz w:val="24"/>
                <w:highlight w:val="none"/>
                <w:u w:val="none" w:color="auto"/>
                <w:lang w:val="en-US" w:eastAsia="zh-CN"/>
              </w:rPr>
              <w:t>特征污染物（TSP）、NOx</w:t>
            </w:r>
            <w:r>
              <w:rPr>
                <w:rFonts w:hint="default" w:ascii="Times New Roman" w:hAnsi="Times New Roman" w:cs="Times New Roman"/>
                <w:sz w:val="24"/>
                <w:highlight w:val="none"/>
                <w:u w:val="none" w:color="auto"/>
              </w:rPr>
              <w:t>均达到《环境空气质量标准》（GB3095-2012）二级标准要求，项目周边区域环境空气质量状况良好，且营运期产生的废气通过采取一定的措施后，对周围环境影响较小</w:t>
            </w:r>
            <w:r>
              <w:rPr>
                <w:rFonts w:hint="default" w:ascii="Times New Roman" w:hAnsi="Times New Roman" w:cs="Times New Roman"/>
                <w:color w:val="auto"/>
                <w:sz w:val="24"/>
                <w:highlight w:val="none"/>
                <w:u w:val="none" w:color="auto"/>
              </w:rPr>
              <w:t>。</w:t>
            </w:r>
          </w:p>
          <w:p w14:paraId="4B14E9FC">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Style w:val="35"/>
                <w:rFonts w:hint="eastAsia"/>
                <w:highlight w:val="none"/>
                <w:u w:val="none" w:color="auto"/>
              </w:rPr>
            </w:pPr>
            <w:r>
              <w:rPr>
                <w:rStyle w:val="35"/>
                <w:highlight w:val="none"/>
                <w:u w:val="none" w:color="auto"/>
              </w:rPr>
              <w:t>根据岳阳市生态环境局</w:t>
            </w:r>
            <w:r>
              <w:rPr>
                <w:rStyle w:val="35"/>
                <w:rFonts w:hint="eastAsia"/>
                <w:highlight w:val="none"/>
                <w:u w:val="none" w:color="auto"/>
                <w:lang w:val="en-US" w:eastAsia="zh-CN"/>
              </w:rPr>
              <w:t>发布的</w:t>
            </w:r>
            <w:r>
              <w:rPr>
                <w:rStyle w:val="35"/>
                <w:highlight w:val="none"/>
                <w:u w:val="none" w:color="auto"/>
              </w:rPr>
              <w:t>《2025年7月岳阳县地表水质量状况》可知，</w:t>
            </w:r>
            <w:r>
              <w:rPr>
                <w:rStyle w:val="35"/>
                <w:rFonts w:hint="eastAsia"/>
                <w:highlight w:val="none"/>
                <w:u w:val="none" w:color="auto"/>
              </w:rPr>
              <w:t>新墙水库、铁山水库、新墙镇和小饶港水库的</w:t>
            </w:r>
            <w:r>
              <w:rPr>
                <w:rStyle w:val="35"/>
                <w:rFonts w:hint="eastAsia"/>
                <w:highlight w:val="none"/>
                <w:u w:val="none" w:color="auto"/>
                <w:lang w:val="en-US" w:eastAsia="zh-CN"/>
              </w:rPr>
              <w:t>水质满足</w:t>
            </w:r>
            <w:r>
              <w:rPr>
                <w:rStyle w:val="35"/>
                <w:highlight w:val="none"/>
                <w:u w:val="none" w:color="auto"/>
              </w:rPr>
              <w:t>《地表水环境质量标准》（GB3838-2002）</w:t>
            </w:r>
            <w:r>
              <w:rPr>
                <w:rStyle w:val="35"/>
                <w:rFonts w:hint="default" w:ascii="Times New Roman" w:hAnsi="Times New Roman" w:cs="Times New Roman"/>
                <w:highlight w:val="none"/>
                <w:u w:val="none" w:color="auto"/>
              </w:rPr>
              <w:t>中的Ⅱ类标准，水质状况为优。六合垸的水质类别为Ⅲ类，水质状况为良好，</w:t>
            </w:r>
            <w:r>
              <w:rPr>
                <w:rStyle w:val="35"/>
                <w:rFonts w:hint="default" w:ascii="Times New Roman" w:hAnsi="Times New Roman" w:cs="Times New Roman"/>
                <w:highlight w:val="none"/>
                <w:u w:val="none" w:color="auto"/>
                <w:lang w:val="en-US" w:eastAsia="zh-CN"/>
              </w:rPr>
              <w:t>满足</w:t>
            </w:r>
            <w:r>
              <w:rPr>
                <w:rStyle w:val="35"/>
                <w:rFonts w:hint="default" w:ascii="Times New Roman" w:hAnsi="Times New Roman" w:cs="Times New Roman"/>
                <w:highlight w:val="none"/>
                <w:u w:val="none" w:color="auto"/>
              </w:rPr>
              <w:t>《地表水环境质量标准》（GB3838-2002）中的Ⅲ类标准。</w:t>
            </w:r>
          </w:p>
          <w:p w14:paraId="08819C9B">
            <w:pPr>
              <w:pStyle w:val="25"/>
              <w:bidi w:val="0"/>
              <w:rPr>
                <w:highlight w:val="none"/>
                <w:u w:val="none" w:color="auto"/>
              </w:rPr>
            </w:pPr>
            <w:r>
              <w:rPr>
                <w:rFonts w:hint="eastAsia"/>
                <w:highlight w:val="none"/>
                <w:u w:val="none" w:color="auto"/>
                <w:lang w:val="en-US" w:eastAsia="zh-CN"/>
              </w:rPr>
              <w:t>项目周边50m范围内无声环境敏感点。项目建成后不会引起项目所在地环境现状显著恶化，不会改变项目所在地现有环境功能，项目建设符合环境质量底线要求。</w:t>
            </w:r>
          </w:p>
          <w:p w14:paraId="4767753B">
            <w:pPr>
              <w:pStyle w:val="25"/>
              <w:bidi w:val="0"/>
              <w:rPr>
                <w:rFonts w:hint="eastAsia" w:ascii="Times New Roman" w:hAnsi="Times New Roman" w:eastAsia="宋体" w:cs="Times New Roman"/>
                <w:b/>
                <w:bCs/>
                <w:color w:val="auto"/>
                <w:kern w:val="0"/>
                <w:sz w:val="24"/>
                <w:szCs w:val="24"/>
                <w:highlight w:val="none"/>
                <w:u w:val="none" w:color="auto"/>
                <w:lang w:val="en-US" w:eastAsia="zh-CN"/>
              </w:rPr>
            </w:pPr>
            <w:r>
              <w:rPr>
                <w:rFonts w:hint="eastAsia" w:ascii="Times New Roman" w:hAnsi="Times New Roman" w:eastAsia="宋体" w:cs="Times New Roman"/>
                <w:b/>
                <w:bCs/>
                <w:color w:val="auto"/>
                <w:kern w:val="0"/>
                <w:sz w:val="24"/>
                <w:szCs w:val="24"/>
                <w:highlight w:val="none"/>
                <w:u w:val="none" w:color="auto"/>
                <w:lang w:val="en-US" w:eastAsia="zh-CN"/>
              </w:rPr>
              <w:t>1.3资源利用上线</w:t>
            </w:r>
          </w:p>
          <w:p w14:paraId="5BEA65EF">
            <w:pPr>
              <w:pStyle w:val="25"/>
              <w:bidi w:val="0"/>
              <w:rPr>
                <w:rFonts w:hint="eastAsia"/>
                <w:highlight w:val="none"/>
                <w:u w:val="none" w:color="auto"/>
                <w:lang w:val="en-US" w:eastAsia="zh-CN"/>
              </w:rPr>
            </w:pPr>
            <w:r>
              <w:rPr>
                <w:rFonts w:hint="eastAsia"/>
                <w:highlight w:val="none"/>
                <w:u w:val="none" w:color="auto"/>
                <w:lang w:val="en-US" w:eastAsia="zh-CN"/>
              </w:rPr>
              <w:t>项目为“</w:t>
            </w:r>
            <w:r>
              <w:rPr>
                <w:rFonts w:hint="default"/>
                <w:highlight w:val="none"/>
                <w:u w:val="none" w:color="auto"/>
                <w:lang w:val="en-US" w:eastAsia="zh-CN"/>
              </w:rPr>
              <w:t>C4210金属废料和碎屑加工处理</w:t>
            </w:r>
            <w:r>
              <w:rPr>
                <w:rFonts w:hint="eastAsia"/>
                <w:highlight w:val="none"/>
                <w:u w:val="none" w:color="auto"/>
                <w:lang w:val="en-US" w:eastAsia="zh-CN"/>
              </w:rPr>
              <w:t>”，使用的资源主要为电、水和生物质颗粒，营运过程中用电由</w:t>
            </w:r>
            <w:r>
              <w:rPr>
                <w:rFonts w:hint="default"/>
                <w:highlight w:val="none"/>
                <w:u w:val="none" w:color="auto"/>
              </w:rPr>
              <w:t>国家电网</w:t>
            </w:r>
            <w:r>
              <w:rPr>
                <w:rFonts w:hint="eastAsia"/>
                <w:highlight w:val="none"/>
                <w:u w:val="none" w:color="auto"/>
                <w:lang w:val="en-US" w:eastAsia="zh-CN"/>
              </w:rPr>
              <w:t>供应，</w:t>
            </w:r>
            <w:r>
              <w:rPr>
                <w:rFonts w:hint="default"/>
                <w:highlight w:val="none"/>
                <w:u w:val="none" w:color="auto"/>
              </w:rPr>
              <w:t>区域内已通自来水且水源充足，生产与生活用水量相对不大</w:t>
            </w:r>
            <w:r>
              <w:rPr>
                <w:rFonts w:hint="eastAsia"/>
                <w:highlight w:val="none"/>
                <w:u w:val="none" w:color="auto"/>
                <w:lang w:val="en-US" w:eastAsia="zh-CN"/>
              </w:rPr>
              <w:t>，生物质颗粒消耗量不大，项目资源消耗量相对区域资源利用总量较少，符合</w:t>
            </w:r>
            <w:r>
              <w:rPr>
                <w:rFonts w:hint="default"/>
                <w:highlight w:val="none"/>
                <w:u w:val="none" w:color="auto"/>
              </w:rPr>
              <w:t>《关于以改善环境质量为核心加强环境影响评价管理的通知》</w:t>
            </w:r>
            <w:r>
              <w:rPr>
                <w:rFonts w:hint="eastAsia"/>
                <w:highlight w:val="none"/>
                <w:u w:val="none" w:color="auto"/>
                <w:lang w:eastAsia="zh-CN"/>
              </w:rPr>
              <w:t>（</w:t>
            </w:r>
            <w:r>
              <w:rPr>
                <w:rFonts w:hint="default"/>
                <w:highlight w:val="none"/>
                <w:u w:val="none" w:color="auto"/>
              </w:rPr>
              <w:t>环环评〔2016〕150号</w:t>
            </w:r>
            <w:r>
              <w:rPr>
                <w:rFonts w:hint="eastAsia"/>
                <w:highlight w:val="none"/>
                <w:u w:val="none" w:color="auto"/>
                <w:lang w:eastAsia="zh-CN"/>
              </w:rPr>
              <w:t>）</w:t>
            </w:r>
            <w:r>
              <w:rPr>
                <w:rFonts w:hint="eastAsia"/>
                <w:highlight w:val="none"/>
                <w:u w:val="none" w:color="auto"/>
                <w:lang w:val="en-US" w:eastAsia="zh-CN"/>
              </w:rPr>
              <w:t>中资源利用上限要求。</w:t>
            </w:r>
          </w:p>
          <w:p w14:paraId="507833DC">
            <w:pPr>
              <w:pStyle w:val="25"/>
              <w:bidi w:val="0"/>
              <w:rPr>
                <w:rFonts w:hint="eastAsia"/>
                <w:b/>
                <w:bCs/>
                <w:color w:val="auto"/>
                <w:highlight w:val="none"/>
                <w:u w:val="none" w:color="auto"/>
                <w:lang w:val="en-US" w:eastAsia="zh-CN"/>
              </w:rPr>
            </w:pPr>
            <w:r>
              <w:rPr>
                <w:rFonts w:hint="eastAsia"/>
                <w:b/>
                <w:bCs/>
                <w:color w:val="auto"/>
                <w:highlight w:val="none"/>
                <w:u w:val="none" w:color="auto"/>
                <w:lang w:val="en-US" w:eastAsia="zh-CN"/>
              </w:rPr>
              <w:t>1.4生态环境准入清单</w:t>
            </w:r>
          </w:p>
          <w:p w14:paraId="0F266268">
            <w:pPr>
              <w:pStyle w:val="25"/>
              <w:bidi w:val="0"/>
              <w:rPr>
                <w:highlight w:val="none"/>
                <w:u w:val="none" w:color="auto"/>
              </w:rPr>
            </w:pPr>
            <w:r>
              <w:rPr>
                <w:highlight w:val="none"/>
                <w:u w:val="none" w:color="auto"/>
              </w:rPr>
              <w:t>本项目用地位于</w:t>
            </w:r>
            <w:r>
              <w:rPr>
                <w:rFonts w:hint="eastAsia"/>
                <w:highlight w:val="none"/>
                <w:u w:val="none" w:color="auto"/>
                <w:lang w:val="en-US" w:eastAsia="zh-CN"/>
              </w:rPr>
              <w:t>湖南省岳阳市岳阳县新墙镇</w:t>
            </w:r>
            <w:r>
              <w:rPr>
                <w:highlight w:val="none"/>
                <w:u w:val="none" w:color="auto"/>
              </w:rPr>
              <w:t>，根据《岳阳市生态环境局关于发布岳阳市生态环境分区管控动态更新成果（2023年版）的通知》（岳环发〔2024〕14号）可知，新墙镇环境管控单元编码为ZH43062120003，属于重点管控单元（附图</w:t>
            </w:r>
            <w:r>
              <w:rPr>
                <w:rFonts w:hint="eastAsia"/>
                <w:highlight w:val="none"/>
                <w:u w:val="none" w:color="auto"/>
                <w:lang w:val="en-US" w:eastAsia="zh-CN"/>
              </w:rPr>
              <w:t>4</w:t>
            </w:r>
            <w:r>
              <w:rPr>
                <w:highlight w:val="none"/>
                <w:u w:val="none" w:color="auto"/>
              </w:rPr>
              <w:t>），具体符合性分析详见下表。</w:t>
            </w:r>
          </w:p>
          <w:p w14:paraId="5670EFA8">
            <w:pPr>
              <w:spacing w:line="272" w:lineRule="auto"/>
              <w:jc w:val="center"/>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表</w:t>
            </w:r>
            <w:r>
              <w:rPr>
                <w:rFonts w:hint="default" w:ascii="Times New Roman" w:hAnsi="Times New Roman" w:eastAsia="宋体" w:cs="Times New Roman"/>
                <w:b/>
                <w:color w:val="auto"/>
                <w:highlight w:val="none"/>
                <w:u w:val="none" w:color="auto"/>
                <w:lang w:val="en-US" w:eastAsia="zh-CN"/>
              </w:rPr>
              <w:t>1-</w:t>
            </w:r>
            <w:r>
              <w:rPr>
                <w:rFonts w:hint="eastAsia" w:cs="Times New Roman"/>
                <w:b/>
                <w:color w:val="auto"/>
                <w:highlight w:val="none"/>
                <w:u w:val="none" w:color="auto"/>
                <w:lang w:val="en-US" w:eastAsia="zh-CN"/>
              </w:rPr>
              <w:t xml:space="preserve">2   </w:t>
            </w:r>
            <w:r>
              <w:rPr>
                <w:rFonts w:hint="default" w:ascii="Times New Roman" w:hAnsi="Times New Roman" w:eastAsia="宋体" w:cs="Times New Roman"/>
                <w:b/>
                <w:color w:val="auto"/>
                <w:highlight w:val="none"/>
                <w:u w:val="none" w:color="auto"/>
              </w:rPr>
              <w:t>与</w:t>
            </w:r>
            <w:r>
              <w:rPr>
                <w:rFonts w:hint="eastAsia" w:ascii="Times New Roman" w:hAnsi="Times New Roman" w:eastAsia="宋体" w:cs="Times New Roman"/>
                <w:b/>
                <w:color w:val="auto"/>
                <w:highlight w:val="none"/>
                <w:u w:val="none" w:color="auto"/>
                <w:lang w:eastAsia="zh-CN"/>
              </w:rPr>
              <w:t>《</w:t>
            </w:r>
            <w:r>
              <w:rPr>
                <w:rFonts w:hint="eastAsia" w:cs="Times New Roman"/>
                <w:b/>
                <w:color w:val="auto"/>
                <w:highlight w:val="none"/>
                <w:u w:val="none" w:color="auto"/>
                <w:lang w:eastAsia="zh-CN"/>
              </w:rPr>
              <w:t>岳阳市生态环境局关于发布岳阳市生态环境分区管控动态更新成果(2023年版)的通知</w:t>
            </w:r>
            <w:r>
              <w:rPr>
                <w:rFonts w:hint="eastAsia" w:ascii="Times New Roman" w:hAnsi="Times New Roman" w:eastAsia="宋体" w:cs="Times New Roman"/>
                <w:b/>
                <w:color w:val="auto"/>
                <w:highlight w:val="none"/>
                <w:u w:val="none" w:color="auto"/>
                <w:lang w:eastAsia="zh-CN"/>
              </w:rPr>
              <w:t>》（</w:t>
            </w:r>
            <w:r>
              <w:rPr>
                <w:rFonts w:hint="eastAsia" w:ascii="Times New Roman" w:hAnsi="Times New Roman" w:eastAsia="宋体" w:cs="Times New Roman"/>
                <w:b/>
                <w:color w:val="auto"/>
                <w:highlight w:val="none"/>
                <w:u w:val="none" w:color="auto"/>
                <w:lang w:val="en-US" w:eastAsia="zh-CN"/>
              </w:rPr>
              <w:t>岳环发〔2024〕14号</w:t>
            </w:r>
            <w:r>
              <w:rPr>
                <w:rFonts w:hint="eastAsia" w:ascii="Times New Roman" w:hAnsi="Times New Roman" w:eastAsia="宋体" w:cs="Times New Roman"/>
                <w:b/>
                <w:color w:val="auto"/>
                <w:highlight w:val="none"/>
                <w:u w:val="none" w:color="auto"/>
                <w:lang w:eastAsia="zh-CN"/>
              </w:rPr>
              <w:t>）</w:t>
            </w:r>
            <w:r>
              <w:rPr>
                <w:rFonts w:hint="default" w:ascii="Times New Roman" w:hAnsi="Times New Roman" w:eastAsia="宋体" w:cs="Times New Roman"/>
                <w:b/>
                <w:color w:val="auto"/>
                <w:highlight w:val="none"/>
                <w:u w:val="none" w:color="auto"/>
              </w:rPr>
              <w:t>符合性分析</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781"/>
              <w:gridCol w:w="1089"/>
              <w:gridCol w:w="1620"/>
              <w:gridCol w:w="1558"/>
            </w:tblGrid>
            <w:tr w14:paraId="25AEC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460D2E08">
                  <w:pPr>
                    <w:widowControl/>
                    <w:jc w:val="center"/>
                    <w:rPr>
                      <w:rFonts w:hint="default"/>
                      <w:b/>
                      <w:bCs/>
                      <w:color w:val="auto"/>
                      <w:highlight w:val="none"/>
                      <w:u w:val="none" w:color="auto"/>
                    </w:rPr>
                  </w:pPr>
                  <w:r>
                    <w:rPr>
                      <w:b/>
                      <w:color w:val="auto"/>
                      <w:kern w:val="0"/>
                      <w:szCs w:val="21"/>
                      <w:highlight w:val="none"/>
                      <w:u w:val="none" w:color="auto"/>
                    </w:rPr>
                    <w:t>环境管控单元编码</w:t>
                  </w:r>
                </w:p>
              </w:tc>
              <w:tc>
                <w:tcPr>
                  <w:tcW w:w="577" w:type="pct"/>
                  <w:tcBorders>
                    <w:tl2br w:val="nil"/>
                    <w:tr2bl w:val="nil"/>
                  </w:tcBorders>
                  <w:noWrap w:val="0"/>
                  <w:vAlign w:val="center"/>
                </w:tcPr>
                <w:p w14:paraId="4444F490">
                  <w:pPr>
                    <w:widowControl/>
                    <w:jc w:val="center"/>
                    <w:rPr>
                      <w:rFonts w:hint="default"/>
                      <w:b/>
                      <w:bCs/>
                      <w:color w:val="auto"/>
                      <w:highlight w:val="none"/>
                      <w:u w:val="none" w:color="auto"/>
                    </w:rPr>
                  </w:pPr>
                  <w:r>
                    <w:rPr>
                      <w:b/>
                      <w:color w:val="auto"/>
                      <w:kern w:val="0"/>
                      <w:szCs w:val="21"/>
                      <w:highlight w:val="none"/>
                      <w:u w:val="none" w:color="auto"/>
                    </w:rPr>
                    <w:t>单元名称</w:t>
                  </w:r>
                </w:p>
              </w:tc>
              <w:tc>
                <w:tcPr>
                  <w:tcW w:w="804" w:type="pct"/>
                  <w:tcBorders>
                    <w:tl2br w:val="nil"/>
                    <w:tr2bl w:val="nil"/>
                  </w:tcBorders>
                  <w:noWrap w:val="0"/>
                  <w:vAlign w:val="center"/>
                </w:tcPr>
                <w:p w14:paraId="324851B6">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eastAsia="宋体"/>
                      <w:b/>
                      <w:bCs/>
                      <w:color w:val="auto"/>
                      <w:highlight w:val="none"/>
                      <w:u w:val="none" w:color="auto"/>
                      <w:lang w:eastAsia="zh-CN"/>
                    </w:rPr>
                  </w:pPr>
                  <w:r>
                    <w:rPr>
                      <w:b/>
                      <w:color w:val="auto"/>
                      <w:kern w:val="0"/>
                      <w:szCs w:val="21"/>
                      <w:highlight w:val="none"/>
                      <w:u w:val="none" w:color="auto"/>
                    </w:rPr>
                    <w:t>单元</w:t>
                  </w:r>
                  <w:r>
                    <w:rPr>
                      <w:rFonts w:hint="eastAsia"/>
                      <w:b/>
                      <w:color w:val="auto"/>
                      <w:kern w:val="0"/>
                      <w:szCs w:val="21"/>
                      <w:highlight w:val="none"/>
                      <w:u w:val="none" w:color="auto"/>
                      <w:lang w:val="en-US" w:eastAsia="zh-CN"/>
                    </w:rPr>
                    <w:t>分类</w:t>
                  </w:r>
                </w:p>
              </w:tc>
              <w:tc>
                <w:tcPr>
                  <w:tcW w:w="1196" w:type="pct"/>
                  <w:tcBorders>
                    <w:tl2br w:val="nil"/>
                    <w:tr2bl w:val="nil"/>
                  </w:tcBorders>
                  <w:noWrap w:val="0"/>
                  <w:vAlign w:val="center"/>
                </w:tcPr>
                <w:p w14:paraId="5039600D">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ascii="Times New Roman" w:hAnsi="Times New Roman" w:cs="Times New Roman"/>
                      <w:b/>
                      <w:bCs/>
                      <w:color w:val="auto"/>
                      <w:sz w:val="21"/>
                      <w:szCs w:val="21"/>
                      <w:highlight w:val="none"/>
                      <w:u w:val="none" w:color="auto"/>
                      <w:lang w:val="en-US" w:eastAsia="zh-CN"/>
                    </w:rPr>
                  </w:pPr>
                  <w:r>
                    <w:rPr>
                      <w:b/>
                      <w:color w:val="auto"/>
                      <w:kern w:val="0"/>
                      <w:szCs w:val="21"/>
                      <w:highlight w:val="none"/>
                      <w:u w:val="none" w:color="auto"/>
                    </w:rPr>
                    <w:t>主体功能定位</w:t>
                  </w:r>
                </w:p>
              </w:tc>
              <w:tc>
                <w:tcPr>
                  <w:tcW w:w="1150" w:type="pct"/>
                  <w:tcBorders>
                    <w:tl2br w:val="nil"/>
                    <w:tr2bl w:val="nil"/>
                  </w:tcBorders>
                  <w:noWrap w:val="0"/>
                  <w:vAlign w:val="center"/>
                </w:tcPr>
                <w:p w14:paraId="15654CBD">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ascii="Times New Roman" w:hAnsi="Times New Roman" w:cs="Times New Roman"/>
                      <w:b/>
                      <w:bCs/>
                      <w:color w:val="auto"/>
                      <w:sz w:val="21"/>
                      <w:szCs w:val="21"/>
                      <w:highlight w:val="none"/>
                      <w:u w:val="none" w:color="auto"/>
                      <w:lang w:val="en-US" w:eastAsia="zh-CN"/>
                    </w:rPr>
                  </w:pPr>
                  <w:r>
                    <w:rPr>
                      <w:b/>
                      <w:color w:val="auto"/>
                      <w:kern w:val="0"/>
                      <w:szCs w:val="21"/>
                      <w:highlight w:val="none"/>
                      <w:u w:val="none" w:color="auto"/>
                    </w:rPr>
                    <w:t>经济产业布局</w:t>
                  </w:r>
                </w:p>
              </w:tc>
            </w:tr>
            <w:tr w14:paraId="1AC58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530C4FCC">
                  <w:pPr>
                    <w:widowControl/>
                    <w:jc w:val="center"/>
                    <w:rPr>
                      <w:rFonts w:hint="default"/>
                      <w:b/>
                      <w:bCs/>
                      <w:color w:val="auto"/>
                      <w:highlight w:val="none"/>
                      <w:u w:val="none" w:color="auto"/>
                    </w:rPr>
                  </w:pPr>
                  <w:r>
                    <w:rPr>
                      <w:rFonts w:ascii="Times New Roman" w:hAnsi="Times New Roman" w:eastAsia="宋体" w:cs="Times New Roman"/>
                      <w:szCs w:val="21"/>
                      <w:highlight w:val="none"/>
                      <w:u w:val="none" w:color="auto"/>
                    </w:rPr>
                    <w:t>ZH43062120003</w:t>
                  </w:r>
                </w:p>
              </w:tc>
              <w:tc>
                <w:tcPr>
                  <w:tcW w:w="577" w:type="pct"/>
                  <w:tcBorders>
                    <w:tl2br w:val="nil"/>
                    <w:tr2bl w:val="nil"/>
                  </w:tcBorders>
                  <w:noWrap w:val="0"/>
                  <w:vAlign w:val="center"/>
                </w:tcPr>
                <w:p w14:paraId="4FC0F04A">
                  <w:pPr>
                    <w:widowControl/>
                    <w:jc w:val="center"/>
                    <w:rPr>
                      <w:rFonts w:hint="default" w:eastAsia="宋体"/>
                      <w:b/>
                      <w:bCs/>
                      <w:color w:val="auto"/>
                      <w:highlight w:val="none"/>
                      <w:u w:val="none" w:color="auto"/>
                      <w:lang w:val="en-US" w:eastAsia="zh-CN"/>
                    </w:rPr>
                  </w:pPr>
                  <w:r>
                    <w:rPr>
                      <w:rFonts w:ascii="Times New Roman" w:hAnsi="Times New Roman" w:eastAsia="宋体" w:cs="Times New Roman"/>
                      <w:szCs w:val="21"/>
                      <w:highlight w:val="none"/>
                      <w:u w:val="none" w:color="auto"/>
                    </w:rPr>
                    <w:t>黄沙街镇/荣家湾镇/新开镇/</w:t>
                  </w:r>
                  <w:r>
                    <w:rPr>
                      <w:rFonts w:ascii="Times New Roman" w:hAnsi="Times New Roman" w:eastAsia="宋体" w:cs="Times New Roman"/>
                      <w:b/>
                      <w:bCs/>
                      <w:szCs w:val="21"/>
                      <w:highlight w:val="none"/>
                      <w:u w:val="none" w:color="auto"/>
                    </w:rPr>
                    <w:t>新墙镇</w:t>
                  </w:r>
                </w:p>
              </w:tc>
              <w:tc>
                <w:tcPr>
                  <w:tcW w:w="804" w:type="pct"/>
                  <w:tcBorders>
                    <w:tl2br w:val="nil"/>
                    <w:tr2bl w:val="nil"/>
                  </w:tcBorders>
                  <w:noWrap w:val="0"/>
                  <w:vAlign w:val="center"/>
                </w:tcPr>
                <w:p w14:paraId="332EF87A">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b/>
                      <w:bCs/>
                      <w:color w:val="auto"/>
                      <w:highlight w:val="none"/>
                      <w:u w:val="none" w:color="auto"/>
                    </w:rPr>
                  </w:pPr>
                  <w:r>
                    <w:rPr>
                      <w:rFonts w:ascii="Times New Roman" w:hAnsi="Times New Roman" w:eastAsia="宋体" w:cs="Times New Roman"/>
                      <w:szCs w:val="21"/>
                      <w:highlight w:val="none"/>
                      <w:u w:val="none" w:color="auto"/>
                    </w:rPr>
                    <w:t>重点管控单元</w:t>
                  </w:r>
                </w:p>
              </w:tc>
              <w:tc>
                <w:tcPr>
                  <w:tcW w:w="1196" w:type="pct"/>
                  <w:tcBorders>
                    <w:tl2br w:val="nil"/>
                    <w:tr2bl w:val="nil"/>
                  </w:tcBorders>
                  <w:noWrap w:val="0"/>
                  <w:vAlign w:val="center"/>
                </w:tcPr>
                <w:p w14:paraId="609096CE">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ascii="Times New Roman" w:hAnsi="Times New Roman" w:cs="Times New Roman"/>
                      <w:b/>
                      <w:bCs/>
                      <w:color w:val="auto"/>
                      <w:sz w:val="21"/>
                      <w:szCs w:val="21"/>
                      <w:highlight w:val="none"/>
                      <w:u w:val="none" w:color="auto"/>
                      <w:lang w:val="en-US" w:eastAsia="zh-CN"/>
                    </w:rPr>
                  </w:pPr>
                  <w:r>
                    <w:rPr>
                      <w:rFonts w:ascii="Times New Roman" w:hAnsi="Times New Roman" w:eastAsia="宋体" w:cs="Times New Roman"/>
                      <w:szCs w:val="21"/>
                      <w:highlight w:val="none"/>
                      <w:u w:val="none" w:color="auto"/>
                    </w:rPr>
                    <w:t>城市化地区</w:t>
                  </w:r>
                </w:p>
              </w:tc>
              <w:tc>
                <w:tcPr>
                  <w:tcW w:w="1150" w:type="pct"/>
                  <w:tcBorders>
                    <w:tl2br w:val="nil"/>
                    <w:tr2bl w:val="nil"/>
                  </w:tcBorders>
                  <w:noWrap w:val="0"/>
                  <w:vAlign w:val="center"/>
                </w:tcPr>
                <w:p w14:paraId="1262877E">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ascii="Times New Roman" w:hAnsi="Times New Roman" w:cs="Times New Roman"/>
                      <w:b/>
                      <w:bCs/>
                      <w:color w:val="auto"/>
                      <w:sz w:val="21"/>
                      <w:szCs w:val="21"/>
                      <w:highlight w:val="none"/>
                      <w:u w:val="none" w:color="auto"/>
                      <w:lang w:val="en-US" w:eastAsia="zh-CN"/>
                    </w:rPr>
                  </w:pPr>
                  <w:r>
                    <w:rPr>
                      <w:rFonts w:ascii="Times New Roman" w:hAnsi="Times New Roman" w:eastAsia="宋体" w:cs="Times New Roman"/>
                      <w:szCs w:val="21"/>
                      <w:highlight w:val="none"/>
                      <w:u w:val="none" w:color="auto"/>
                    </w:rPr>
                    <w:t>新墙镇：城郊服务型，重点发展特色农业种植、建材加工、工业陶瓷、商贸物流。</w:t>
                  </w:r>
                </w:p>
              </w:tc>
            </w:tr>
            <w:tr w14:paraId="1B51A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613CDD61">
                  <w:pPr>
                    <w:widowControl/>
                    <w:jc w:val="center"/>
                    <w:rPr>
                      <w:color w:val="auto"/>
                      <w:kern w:val="0"/>
                      <w:szCs w:val="21"/>
                      <w:highlight w:val="none"/>
                      <w:u w:val="none" w:color="auto"/>
                    </w:rPr>
                  </w:pPr>
                  <w:r>
                    <w:rPr>
                      <w:b/>
                      <w:color w:val="auto"/>
                      <w:szCs w:val="21"/>
                      <w:highlight w:val="none"/>
                      <w:u w:val="none" w:color="auto"/>
                    </w:rPr>
                    <w:t>管控维度</w:t>
                  </w:r>
                </w:p>
              </w:tc>
              <w:tc>
                <w:tcPr>
                  <w:tcW w:w="1381" w:type="pct"/>
                  <w:gridSpan w:val="2"/>
                  <w:tcBorders>
                    <w:tl2br w:val="nil"/>
                    <w:tr2bl w:val="nil"/>
                  </w:tcBorders>
                  <w:noWrap w:val="0"/>
                  <w:vAlign w:val="center"/>
                </w:tcPr>
                <w:p w14:paraId="07F7A772">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color w:val="auto"/>
                      <w:kern w:val="0"/>
                      <w:szCs w:val="21"/>
                      <w:highlight w:val="none"/>
                      <w:u w:val="none" w:color="auto"/>
                    </w:rPr>
                  </w:pPr>
                  <w:r>
                    <w:rPr>
                      <w:b/>
                      <w:color w:val="auto"/>
                      <w:kern w:val="0"/>
                      <w:szCs w:val="21"/>
                      <w:highlight w:val="none"/>
                      <w:u w:val="none" w:color="auto"/>
                    </w:rPr>
                    <w:t>管控要求</w:t>
                  </w:r>
                </w:p>
              </w:tc>
              <w:tc>
                <w:tcPr>
                  <w:tcW w:w="1196" w:type="pct"/>
                  <w:tcBorders>
                    <w:tl2br w:val="nil"/>
                    <w:tr2bl w:val="nil"/>
                  </w:tcBorders>
                  <w:noWrap w:val="0"/>
                  <w:vAlign w:val="center"/>
                </w:tcPr>
                <w:p w14:paraId="77687420">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eastAsia="宋体"/>
                      <w:b/>
                      <w:bCs/>
                      <w:color w:val="auto"/>
                      <w:kern w:val="0"/>
                      <w:szCs w:val="21"/>
                      <w:highlight w:val="none"/>
                      <w:u w:val="none" w:color="auto"/>
                      <w:lang w:val="en-US" w:eastAsia="zh-CN"/>
                    </w:rPr>
                  </w:pPr>
                  <w:r>
                    <w:rPr>
                      <w:rFonts w:hint="eastAsia"/>
                      <w:b/>
                      <w:bCs/>
                      <w:color w:val="auto"/>
                      <w:kern w:val="0"/>
                      <w:szCs w:val="21"/>
                      <w:highlight w:val="none"/>
                      <w:u w:val="none" w:color="auto"/>
                      <w:lang w:val="en-US" w:eastAsia="zh-CN"/>
                    </w:rPr>
                    <w:t>本项目情况</w:t>
                  </w:r>
                </w:p>
              </w:tc>
              <w:tc>
                <w:tcPr>
                  <w:tcW w:w="1150" w:type="pct"/>
                  <w:tcBorders>
                    <w:tl2br w:val="nil"/>
                    <w:tr2bl w:val="nil"/>
                  </w:tcBorders>
                  <w:noWrap w:val="0"/>
                  <w:vAlign w:val="center"/>
                </w:tcPr>
                <w:p w14:paraId="5E0586F3">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相符性</w:t>
                  </w:r>
                </w:p>
              </w:tc>
            </w:tr>
            <w:tr w14:paraId="63817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750434B2">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空间布局</w:t>
                  </w:r>
                </w:p>
                <w:p w14:paraId="5A38F2F1">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约束</w:t>
                  </w:r>
                </w:p>
              </w:tc>
              <w:tc>
                <w:tcPr>
                  <w:tcW w:w="1381" w:type="pct"/>
                  <w:gridSpan w:val="2"/>
                  <w:tcBorders>
                    <w:tl2br w:val="nil"/>
                    <w:tr2bl w:val="nil"/>
                  </w:tcBorders>
                  <w:noWrap w:val="0"/>
                  <w:vAlign w:val="center"/>
                </w:tcPr>
                <w:p w14:paraId="4E953224">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1.1）全面规范河流、湖泊、水库等天然水域的水产养殖行为，禁止天然水域投肥投饵养殖。禁止周边生活污水及畜禽粪直接排入水库，全面加强对人工水产养殖尾水排放的管控。岳阳县重点湖泊禁止网箱、网围、网栏等人工养殖。</w:t>
                  </w:r>
                </w:p>
                <w:p w14:paraId="7B171D53">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1.2）黄沙街镇、新墙镇围绕特色农产品的优势区建设，加强地方特色种质资源保护与利用，发展壮大葡萄、茶叶等特色优势产业。新墙镇、新开镇注重发展物流和机械加工。新开镇配套发展建材加工，禁止引入以废气排放量大的企业。推进辖区加工企业聚集发展，提高产业集约化、绿色化发展水平。限制布局废水量大、耗水量大的工业企业。</w:t>
                  </w:r>
                </w:p>
                <w:p w14:paraId="628792C9">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1.3）畜禽养殖按照《湖南省畜禽规模养殖污染防治规定》相关内容实施，禁养区内畜禽养殖场立即关停退养，禁养区外沿江、河、湖、库、排（干）渠岸线500米内实施限养管理，禁止新增养殖场和扩大养殖规模，引导现有养殖场逐步退出。</w:t>
                  </w:r>
                </w:p>
                <w:p w14:paraId="396DB2DE">
                  <w:pPr>
                    <w:autoSpaceDE w:val="0"/>
                    <w:autoSpaceDN w:val="0"/>
                    <w:adjustRightInd w:val="0"/>
                    <w:snapToGrid w:val="0"/>
                    <w:ind w:firstLine="420" w:firstLineChars="20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湖南岳阳台湾农民创业园：</w:t>
                  </w:r>
                </w:p>
                <w:p w14:paraId="740DA63E">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（1.4）推进矿山植被生态恢复，矿山建设应落实《湖南省绿色矿山管理办法》要求。</w:t>
                  </w:r>
                </w:p>
                <w:p w14:paraId="03DD7F01">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（1.5）禁止规划三类工业用地，严格按照功能区域进行有序开发建设，创业园核心区建设过程应严格按照土地利用规划、严禁越界开发，建设用地须符合土地部门批准的用地性质。</w:t>
                  </w:r>
                </w:p>
                <w:p w14:paraId="3E52BBB8">
                  <w:pPr>
                    <w:widowControl/>
                    <w:rPr>
                      <w:rFonts w:hint="default"/>
                      <w:color w:val="auto"/>
                      <w:highlight w:val="none"/>
                      <w:u w:val="none" w:color="auto"/>
                    </w:rPr>
                  </w:pPr>
                  <w:r>
                    <w:rPr>
                      <w:rFonts w:ascii="Times New Roman" w:hAnsi="Times New Roman" w:eastAsia="宋体" w:cs="Times New Roman"/>
                      <w:szCs w:val="21"/>
                      <w:highlight w:val="none"/>
                      <w:u w:val="none" w:color="auto"/>
                    </w:rPr>
                    <w:t>（1.6）不引进国家明令禁止淘汰和禁止发展的能耗物耗高、环境污染严重、不符合产业政策的建设项目。鼓励引进和优先发展符合创业园核心区定位的项目，发展技术含量高、附加值高的项目。优先引进清洁生产水平高、排污量少的农副产品加工、综合利用企业；禁止排放的废水、废气对创业园核心区农副产品和食品生产品质有不良影响的生产加工企业；禁止使用和生产高毒性原料和产品的行业企业；限制引入废水量大、耗水量大的企业；禁止引入化工、涉重及持久性有机物的企业。</w:t>
                  </w:r>
                </w:p>
              </w:tc>
              <w:tc>
                <w:tcPr>
                  <w:tcW w:w="1196" w:type="pct"/>
                  <w:tcBorders>
                    <w:tl2br w:val="nil"/>
                    <w:tr2bl w:val="nil"/>
                  </w:tcBorders>
                  <w:noWrap w:val="0"/>
                  <w:vAlign w:val="center"/>
                </w:tcPr>
                <w:p w14:paraId="3EF5C8DF">
                  <w:pPr>
                    <w:pStyle w:val="30"/>
                    <w:keepNext w:val="0"/>
                    <w:keepLines w:val="0"/>
                    <w:pageBreakBefore w:val="0"/>
                    <w:widowControl w:val="0"/>
                    <w:kinsoku/>
                    <w:wordWrap w:val="0"/>
                    <w:overflowPunct/>
                    <w:topLinePunct/>
                    <w:autoSpaceDE/>
                    <w:autoSpaceDN/>
                    <w:bidi w:val="0"/>
                    <w:adjustRightInd/>
                    <w:snapToGrid/>
                    <w:jc w:val="both"/>
                    <w:textAlignment w:val="auto"/>
                    <w:rPr>
                      <w:rFonts w:hint="eastAsia" w:cs="Times New Roman"/>
                      <w:color w:val="auto"/>
                      <w:highlight w:val="none"/>
                      <w:u w:val="none" w:color="auto"/>
                      <w:lang w:eastAsia="zh-CN"/>
                    </w:rPr>
                  </w:pPr>
                  <w:r>
                    <w:rPr>
                      <w:rFonts w:hint="eastAsia" w:cs="Times New Roman"/>
                      <w:color w:val="auto"/>
                      <w:highlight w:val="none"/>
                      <w:u w:val="none" w:color="auto"/>
                      <w:lang w:val="en-US" w:eastAsia="zh-CN"/>
                    </w:rPr>
                    <w:t>（1.1）</w:t>
                  </w:r>
                  <w:r>
                    <w:rPr>
                      <w:rFonts w:hint="eastAsia" w:ascii="Times New Roman" w:hAnsi="Times New Roman" w:eastAsia="宋体" w:cs="Times New Roman"/>
                      <w:color w:val="auto"/>
                      <w:highlight w:val="none"/>
                      <w:u w:val="none" w:color="auto"/>
                      <w:lang w:val="en-US" w:eastAsia="zh-CN"/>
                    </w:rPr>
                    <w:t>本项目为</w:t>
                  </w:r>
                  <w:r>
                    <w:rPr>
                      <w:rFonts w:hint="default" w:ascii="Times New Roman" w:hAnsi="Times New Roman" w:eastAsia="宋体" w:cs="Times New Roman"/>
                      <w:color w:val="auto"/>
                      <w:highlight w:val="none"/>
                      <w:u w:val="none" w:color="auto"/>
                      <w:lang w:val="en-US" w:eastAsia="zh-CN"/>
                    </w:rPr>
                    <w:t>C4210金属废料和碎屑加工处理</w:t>
                  </w:r>
                  <w:r>
                    <w:rPr>
                      <w:rFonts w:hint="eastAsia" w:ascii="Times New Roman" w:hAnsi="Times New Roman" w:eastAsia="宋体" w:cs="Times New Roman"/>
                      <w:color w:val="auto"/>
                      <w:highlight w:val="none"/>
                      <w:u w:val="none" w:color="auto"/>
                      <w:lang w:val="en-US" w:eastAsia="zh-CN"/>
                    </w:rPr>
                    <w:t>，不涉及水产养殖行为；</w:t>
                  </w:r>
                </w:p>
                <w:p w14:paraId="190E1F38">
                  <w:pPr>
                    <w:pStyle w:val="33"/>
                    <w:rPr>
                      <w:rFonts w:hint="default" w:cs="Times New Roman"/>
                      <w:b w:val="0"/>
                      <w:bCs/>
                      <w:color w:val="auto"/>
                      <w:highlight w:val="none"/>
                      <w:u w:val="none" w:color="auto"/>
                      <w:lang w:val="en-US" w:eastAsia="zh-CN"/>
                    </w:rPr>
                  </w:pPr>
                  <w:r>
                    <w:rPr>
                      <w:rFonts w:hint="eastAsia" w:cs="Times New Roman"/>
                      <w:b w:val="0"/>
                      <w:bCs/>
                      <w:color w:val="auto"/>
                      <w:highlight w:val="none"/>
                      <w:u w:val="none" w:color="auto"/>
                      <w:lang w:eastAsia="zh-CN"/>
                    </w:rPr>
                    <w:t>（</w:t>
                  </w:r>
                  <w:r>
                    <w:rPr>
                      <w:rFonts w:hint="eastAsia" w:cs="Times New Roman"/>
                      <w:b w:val="0"/>
                      <w:bCs/>
                      <w:color w:val="auto"/>
                      <w:highlight w:val="none"/>
                      <w:u w:val="none" w:color="auto"/>
                      <w:lang w:val="en-US" w:eastAsia="zh-CN"/>
                    </w:rPr>
                    <w:t>1.2</w:t>
                  </w:r>
                  <w:r>
                    <w:rPr>
                      <w:rFonts w:hint="eastAsia" w:cs="Times New Roman"/>
                      <w:b w:val="0"/>
                      <w:bCs/>
                      <w:color w:val="auto"/>
                      <w:highlight w:val="none"/>
                      <w:u w:val="none" w:color="auto"/>
                      <w:lang w:eastAsia="zh-CN"/>
                    </w:rPr>
                    <w:t>）</w:t>
                  </w:r>
                  <w:r>
                    <w:rPr>
                      <w:rFonts w:hint="eastAsia" w:ascii="Times New Roman" w:hAnsi="Times New Roman" w:eastAsia="宋体" w:cs="Times New Roman"/>
                      <w:b w:val="0"/>
                      <w:color w:val="auto"/>
                      <w:kern w:val="0"/>
                      <w:sz w:val="21"/>
                      <w:szCs w:val="20"/>
                      <w:highlight w:val="none"/>
                      <w:u w:val="none" w:color="auto"/>
                      <w:lang w:val="en-US" w:eastAsia="zh-CN" w:bidi="ar-SA"/>
                    </w:rPr>
                    <w:t>本项目为</w:t>
                  </w:r>
                  <w:r>
                    <w:rPr>
                      <w:rFonts w:hint="default" w:ascii="Times New Roman" w:hAnsi="Times New Roman" w:eastAsia="宋体" w:cs="Times New Roman"/>
                      <w:b w:val="0"/>
                      <w:bCs/>
                      <w:color w:val="auto"/>
                      <w:highlight w:val="none"/>
                      <w:u w:val="none" w:color="auto"/>
                      <w:lang w:val="en-US" w:eastAsia="zh-CN"/>
                    </w:rPr>
                    <w:t>C4210金属废料和碎屑加工处理</w:t>
                  </w:r>
                  <w:r>
                    <w:rPr>
                      <w:rFonts w:hint="eastAsia" w:cs="Times New Roman"/>
                      <w:b w:val="0"/>
                      <w:bCs/>
                      <w:color w:val="auto"/>
                      <w:highlight w:val="none"/>
                      <w:u w:val="none" w:color="auto"/>
                      <w:lang w:val="en-US" w:eastAsia="zh-CN"/>
                    </w:rPr>
                    <w:t>，不属于废水量大、耗水量大的企业；</w:t>
                  </w:r>
                </w:p>
                <w:p w14:paraId="7C52F48B">
                  <w:pPr>
                    <w:pStyle w:val="33"/>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cs="Times New Roman"/>
                      <w:b w:val="0"/>
                      <w:bCs/>
                      <w:color w:val="auto"/>
                      <w:highlight w:val="none"/>
                      <w:u w:val="none" w:color="auto"/>
                      <w:lang w:val="en-US" w:eastAsia="zh-CN"/>
                    </w:rPr>
                    <w:t>（1.3）</w:t>
                  </w:r>
                  <w:r>
                    <w:rPr>
                      <w:rFonts w:hint="eastAsia" w:ascii="Times New Roman" w:hAnsi="Times New Roman" w:eastAsia="宋体" w:cs="Times New Roman"/>
                      <w:b w:val="0"/>
                      <w:color w:val="auto"/>
                      <w:kern w:val="0"/>
                      <w:sz w:val="21"/>
                      <w:szCs w:val="20"/>
                      <w:highlight w:val="none"/>
                      <w:u w:val="none" w:color="auto"/>
                      <w:lang w:val="en-US" w:eastAsia="zh-CN" w:bidi="ar-SA"/>
                    </w:rPr>
                    <w:t>本项目为</w:t>
                  </w:r>
                  <w:r>
                    <w:rPr>
                      <w:rFonts w:hint="default" w:ascii="Times New Roman" w:hAnsi="Times New Roman" w:eastAsia="宋体" w:cs="Times New Roman"/>
                      <w:b w:val="0"/>
                      <w:bCs/>
                      <w:color w:val="auto"/>
                      <w:highlight w:val="none"/>
                      <w:u w:val="none" w:color="auto"/>
                      <w:lang w:val="en-US" w:eastAsia="zh-CN"/>
                    </w:rPr>
                    <w:t>C4210金属废料和碎屑加工处理</w:t>
                  </w:r>
                  <w:r>
                    <w:rPr>
                      <w:rFonts w:hint="eastAsia" w:ascii="Times New Roman" w:hAnsi="Times New Roman" w:eastAsia="宋体" w:cs="Times New Roman"/>
                      <w:b w:val="0"/>
                      <w:color w:val="auto"/>
                      <w:kern w:val="0"/>
                      <w:sz w:val="21"/>
                      <w:szCs w:val="20"/>
                      <w:highlight w:val="none"/>
                      <w:u w:val="none" w:color="auto"/>
                      <w:lang w:val="en-US" w:eastAsia="zh-CN" w:bidi="ar-SA"/>
                    </w:rPr>
                    <w:t>，不属于畜禽养殖类；</w:t>
                  </w:r>
                </w:p>
                <w:p w14:paraId="176AD7C2">
                  <w:pPr>
                    <w:pStyle w:val="33"/>
                    <w:rPr>
                      <w:rFonts w:hint="eastAsia" w:ascii="Times New Roman" w:hAnsi="Times New Roman" w:eastAsia="宋体" w:cs="Times New Roman"/>
                      <w:b w:val="0"/>
                      <w:bCs/>
                      <w:color w:val="auto"/>
                      <w:kern w:val="0"/>
                      <w:sz w:val="21"/>
                      <w:szCs w:val="20"/>
                      <w:highlight w:val="none"/>
                      <w:u w:val="none" w:color="auto"/>
                      <w:lang w:val="en-US" w:eastAsia="zh-CN" w:bidi="ar-SA"/>
                    </w:rPr>
                  </w:pPr>
                  <w:r>
                    <w:rPr>
                      <w:rFonts w:hint="eastAsia" w:ascii="Times New Roman" w:hAnsi="Times New Roman" w:eastAsia="宋体" w:cs="Times New Roman"/>
                      <w:b w:val="0"/>
                      <w:color w:val="auto"/>
                      <w:kern w:val="0"/>
                      <w:sz w:val="21"/>
                      <w:szCs w:val="20"/>
                      <w:highlight w:val="none"/>
                      <w:u w:val="none" w:color="auto"/>
                      <w:lang w:val="en-US" w:eastAsia="zh-CN" w:bidi="ar-SA"/>
                    </w:rPr>
                    <w:t>（1.4）本项目为</w:t>
                  </w:r>
                  <w:r>
                    <w:rPr>
                      <w:rFonts w:hint="default" w:ascii="Times New Roman" w:hAnsi="Times New Roman" w:eastAsia="宋体" w:cs="Times New Roman"/>
                      <w:b w:val="0"/>
                      <w:bCs/>
                      <w:color w:val="auto"/>
                      <w:highlight w:val="none"/>
                      <w:u w:val="none" w:color="auto"/>
                      <w:lang w:val="en-US" w:eastAsia="zh-CN"/>
                    </w:rPr>
                    <w:t>C4210金属废料和碎屑加工处理</w:t>
                  </w:r>
                  <w:r>
                    <w:rPr>
                      <w:rFonts w:hint="eastAsia" w:ascii="Times New Roman" w:hAnsi="Times New Roman" w:eastAsia="宋体" w:cs="Times New Roman"/>
                      <w:b w:val="0"/>
                      <w:color w:val="auto"/>
                      <w:kern w:val="0"/>
                      <w:sz w:val="21"/>
                      <w:szCs w:val="20"/>
                      <w:highlight w:val="none"/>
                      <w:u w:val="none" w:color="auto"/>
                      <w:lang w:val="en-US" w:eastAsia="zh-CN" w:bidi="ar-SA"/>
                    </w:rPr>
                    <w:t>，不涉及</w:t>
                  </w:r>
                  <w:r>
                    <w:rPr>
                      <w:rFonts w:hint="eastAsia" w:ascii="Times New Roman" w:hAnsi="Times New Roman" w:eastAsia="宋体" w:cs="Times New Roman"/>
                      <w:b w:val="0"/>
                      <w:bCs/>
                      <w:color w:val="auto"/>
                      <w:kern w:val="0"/>
                      <w:sz w:val="21"/>
                      <w:szCs w:val="20"/>
                      <w:highlight w:val="none"/>
                      <w:u w:val="none" w:color="auto"/>
                      <w:lang w:val="en-US" w:eastAsia="zh-CN" w:bidi="ar-SA"/>
                    </w:rPr>
                    <w:t>矿山建设；</w:t>
                  </w:r>
                </w:p>
                <w:p w14:paraId="3C707C03">
                  <w:pPr>
                    <w:pStyle w:val="33"/>
                    <w:rPr>
                      <w:rFonts w:hint="eastAsia" w:ascii="Times New Roman" w:hAnsi="Times New Roman" w:eastAsia="宋体" w:cs="Times New Roman"/>
                      <w:b w:val="0"/>
                      <w:bCs/>
                      <w:color w:val="auto"/>
                      <w:kern w:val="0"/>
                      <w:sz w:val="21"/>
                      <w:szCs w:val="20"/>
                      <w:highlight w:val="none"/>
                      <w:u w:val="none" w:color="auto"/>
                      <w:lang w:val="en-US" w:eastAsia="zh-CN" w:bidi="ar-SA"/>
                    </w:rPr>
                  </w:pPr>
                  <w:r>
                    <w:rPr>
                      <w:rFonts w:hint="eastAsia" w:ascii="Times New Roman" w:hAnsi="Times New Roman" w:eastAsia="宋体" w:cs="Times New Roman"/>
                      <w:b w:val="0"/>
                      <w:bCs/>
                      <w:color w:val="auto"/>
                      <w:kern w:val="0"/>
                      <w:sz w:val="21"/>
                      <w:szCs w:val="20"/>
                      <w:highlight w:val="none"/>
                      <w:u w:val="none" w:color="auto"/>
                      <w:lang w:val="en-US" w:eastAsia="zh-CN" w:bidi="ar-SA"/>
                    </w:rPr>
                    <w:t>（1.5）本项目不涉及采砂、洗砂、侵占大堤水域滩地非法作业等问题。</w:t>
                  </w:r>
                </w:p>
                <w:p w14:paraId="1091EBF9">
                  <w:pPr>
                    <w:pStyle w:val="33"/>
                    <w:rPr>
                      <w:rFonts w:hint="default" w:ascii="Times New Roman" w:hAnsi="Times New Roman" w:eastAsia="宋体" w:cs="Times New Roman"/>
                      <w:b w:val="0"/>
                      <w:bCs/>
                      <w:color w:val="auto"/>
                      <w:kern w:val="0"/>
                      <w:sz w:val="21"/>
                      <w:szCs w:val="20"/>
                      <w:highlight w:val="none"/>
                      <w:u w:val="none" w:color="auto"/>
                      <w:lang w:val="en-US" w:eastAsia="zh-CN" w:bidi="ar-SA"/>
                    </w:rPr>
                  </w:pPr>
                  <w:r>
                    <w:rPr>
                      <w:rFonts w:ascii="Times New Roman" w:hAnsi="Times New Roman" w:eastAsia="宋体" w:cs="Times New Roman"/>
                      <w:b w:val="0"/>
                      <w:bCs/>
                      <w:szCs w:val="21"/>
                      <w:highlight w:val="none"/>
                      <w:u w:val="none" w:color="auto"/>
                    </w:rPr>
                    <w:t>（1.6）</w:t>
                  </w:r>
                  <w:r>
                    <w:rPr>
                      <w:rFonts w:hint="eastAsia" w:ascii="Times New Roman" w:hAnsi="Times New Roman" w:eastAsia="宋体" w:cs="Times New Roman"/>
                      <w:b w:val="0"/>
                      <w:bCs/>
                      <w:szCs w:val="21"/>
                      <w:highlight w:val="none"/>
                      <w:u w:val="none" w:color="auto"/>
                      <w:lang w:val="en-US" w:eastAsia="zh-CN"/>
                    </w:rPr>
                    <w:t>本项目为</w:t>
                  </w:r>
                  <w:r>
                    <w:rPr>
                      <w:rFonts w:hint="default" w:ascii="Times New Roman" w:hAnsi="Times New Roman" w:eastAsia="宋体" w:cs="Times New Roman"/>
                      <w:b w:val="0"/>
                      <w:bCs/>
                      <w:color w:val="auto"/>
                      <w:highlight w:val="none"/>
                      <w:u w:val="none" w:color="auto"/>
                      <w:lang w:val="en-US" w:eastAsia="zh-CN"/>
                    </w:rPr>
                    <w:t>C4210金属废料和碎屑加工处理</w:t>
                  </w:r>
                  <w:r>
                    <w:rPr>
                      <w:rFonts w:hint="eastAsia" w:ascii="Times New Roman" w:hAnsi="Times New Roman" w:eastAsia="宋体" w:cs="Times New Roman"/>
                      <w:b w:val="0"/>
                      <w:bCs/>
                      <w:color w:val="auto"/>
                      <w:highlight w:val="none"/>
                      <w:u w:val="none" w:color="auto"/>
                      <w:lang w:val="en-US" w:eastAsia="zh-CN"/>
                    </w:rPr>
                    <w:t>，根据《产业结构调整指导目录（2024年本）》有关政策规定不属于限制类、淘汰类项目；不属于</w:t>
                  </w:r>
                  <w:r>
                    <w:rPr>
                      <w:rFonts w:ascii="Times New Roman" w:hAnsi="Times New Roman" w:eastAsia="宋体" w:cs="Times New Roman"/>
                      <w:b w:val="0"/>
                      <w:bCs/>
                      <w:szCs w:val="21"/>
                      <w:highlight w:val="none"/>
                      <w:u w:val="none" w:color="auto"/>
                    </w:rPr>
                    <w:t>能耗物耗高、环境污染严重</w:t>
                  </w:r>
                  <w:r>
                    <w:rPr>
                      <w:rFonts w:hint="eastAsia" w:ascii="Times New Roman" w:hAnsi="Times New Roman" w:eastAsia="宋体" w:cs="Times New Roman"/>
                      <w:b w:val="0"/>
                      <w:bCs/>
                      <w:szCs w:val="21"/>
                      <w:highlight w:val="none"/>
                      <w:u w:val="none" w:color="auto"/>
                      <w:lang w:val="en-US" w:eastAsia="zh-CN"/>
                    </w:rPr>
                    <w:t>的项目。</w:t>
                  </w:r>
                </w:p>
              </w:tc>
              <w:tc>
                <w:tcPr>
                  <w:tcW w:w="1150" w:type="pct"/>
                  <w:tcBorders>
                    <w:tl2br w:val="nil"/>
                    <w:tr2bl w:val="nil"/>
                  </w:tcBorders>
                  <w:noWrap w:val="0"/>
                  <w:vAlign w:val="center"/>
                </w:tcPr>
                <w:p w14:paraId="2D97BF9A">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eastAsia"/>
                      <w:color w:val="auto"/>
                      <w:highlight w:val="none"/>
                      <w:u w:val="none" w:color="auto"/>
                      <w:lang w:val="en-US" w:eastAsia="zh-CN"/>
                    </w:rPr>
                    <w:t>相符</w:t>
                  </w:r>
                </w:p>
              </w:tc>
            </w:tr>
            <w:tr w14:paraId="51A06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74308B56">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污染物排</w:t>
                  </w:r>
                </w:p>
                <w:p w14:paraId="16DB0C50">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放管控</w:t>
                  </w:r>
                </w:p>
              </w:tc>
              <w:tc>
                <w:tcPr>
                  <w:tcW w:w="1381" w:type="pct"/>
                  <w:gridSpan w:val="2"/>
                  <w:tcBorders>
                    <w:tl2br w:val="nil"/>
                    <w:tr2bl w:val="nil"/>
                  </w:tcBorders>
                  <w:noWrap w:val="0"/>
                  <w:vAlign w:val="center"/>
                </w:tcPr>
                <w:p w14:paraId="0C0C70B2">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2.1）废气：加强建筑施工工地扬尘污染控制，严格落实“六个100%”措施；强化建材等企业无组织排放管控及治理；持续推进敞开式汽修喷涂、油品储运销等过程中挥发性有机物的治理工作；提升秸秆综合利用，拓宽秸秆利用途径；严禁垃圾露天焚烧，加强餐饮油烟、露天烧烤监管。</w:t>
                  </w:r>
                </w:p>
                <w:p w14:paraId="25B0EE27">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2.2）废水：进一步完善城镇生活污水收集管网，更新修复老旧破损管网，同步做到雨污分流，确保管网全覆盖、污水全收集；推进农村生活污水治理，推进农村户用厕所建设和改造，强化农户生活污水分类处理处置；加速农村黑臭水体整治，逐步消除农村较大面积黑臭水体。</w:t>
                  </w:r>
                </w:p>
                <w:p w14:paraId="6E6B82DC">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（2.3）固体废物：加快推进农村生活垃圾源头分类减量，减少垃圾出村量；推进以种养结合为重点的畜禽养殖废弃物资源利用，推动畜禽规模养殖场粪污处理设施装备提档升级。</w:t>
                  </w:r>
                </w:p>
                <w:p w14:paraId="4D584D29">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（2.4）农业面源：逐步推行有机肥代替化肥，推行绿肥种植、秸秆还田、粪污还田等措施，推进化肥农药减量增效。</w:t>
                  </w:r>
                </w:p>
                <w:p w14:paraId="6BE9808C">
                  <w:pPr>
                    <w:autoSpaceDE w:val="0"/>
                    <w:autoSpaceDN w:val="0"/>
                    <w:adjustRightInd w:val="0"/>
                    <w:snapToGrid w:val="0"/>
                    <w:ind w:firstLine="420" w:firstLineChars="20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湖南岳阳台湾农民创业园：</w:t>
                  </w:r>
                </w:p>
                <w:p w14:paraId="25917FC1">
                  <w:pPr>
                    <w:autoSpaceDE w:val="0"/>
                    <w:autoSpaceDN w:val="0"/>
                    <w:adjustRightInd w:val="0"/>
                    <w:snapToGrid w:val="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（2.5）废水：园区排水必须实行“雨污分流、污污分流”，企业内初期雨水需自行预处理后排入污水处理厂，园区内雨水将统一收集后排入园区内现存自然水体，严禁直接排入费家湖、坪桥湖。</w:t>
                  </w:r>
                </w:p>
                <w:p w14:paraId="73429B33">
                  <w:pPr>
                    <w:autoSpaceDE w:val="0"/>
                    <w:autoSpaceDN w:val="0"/>
                    <w:adjustRightInd w:val="0"/>
                    <w:snapToGrid w:val="0"/>
                    <w:ind w:firstLine="420" w:firstLineChars="200"/>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（2.6）废气：入驻企业须使用清洁能源作为燃料，减少气型污染物排放。</w:t>
                  </w:r>
                </w:p>
                <w:p w14:paraId="72B3B34C">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ascii="Times New Roman" w:hAnsi="Times New Roman" w:eastAsia="宋体" w:cs="Times New Roman"/>
                      <w:szCs w:val="21"/>
                      <w:highlight w:val="none"/>
                      <w:u w:val="none" w:color="auto"/>
                    </w:rPr>
                    <w:t>（2.7）固废：做好工业固体废物和生活垃圾的收集、处置工作。</w:t>
                  </w:r>
                </w:p>
              </w:tc>
              <w:tc>
                <w:tcPr>
                  <w:tcW w:w="1196" w:type="pct"/>
                  <w:tcBorders>
                    <w:tl2br w:val="nil"/>
                    <w:tr2bl w:val="nil"/>
                  </w:tcBorders>
                  <w:noWrap w:val="0"/>
                  <w:vAlign w:val="center"/>
                </w:tcPr>
                <w:p w14:paraId="1C316B4B">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color w:val="auto"/>
                      <w:highlight w:val="none"/>
                      <w:u w:val="none" w:color="auto"/>
                      <w:lang w:eastAsia="zh-CN"/>
                    </w:rPr>
                    <w:t>（</w:t>
                  </w:r>
                  <w:r>
                    <w:rPr>
                      <w:rFonts w:hint="eastAsia"/>
                      <w:color w:val="auto"/>
                      <w:highlight w:val="none"/>
                      <w:u w:val="none" w:color="auto"/>
                      <w:lang w:val="en-US" w:eastAsia="zh-CN"/>
                    </w:rPr>
                    <w:t>2.1</w:t>
                  </w:r>
                  <w:r>
                    <w:rPr>
                      <w:rFonts w:hint="eastAsia"/>
                      <w:color w:val="auto"/>
                      <w:highlight w:val="none"/>
                      <w:u w:val="none" w:color="auto"/>
                      <w:lang w:eastAsia="zh-CN"/>
                    </w:rPr>
                    <w:t>）</w:t>
                  </w:r>
                  <w:r>
                    <w:rPr>
                      <w:rFonts w:hint="eastAsia"/>
                      <w:b w:val="0"/>
                      <w:bCs w:val="0"/>
                      <w:color w:val="auto"/>
                      <w:highlight w:val="none"/>
                      <w:u w:val="none" w:color="auto"/>
                      <w:lang w:val="en-US" w:eastAsia="zh-CN"/>
                    </w:rPr>
                    <w:t>废气：</w:t>
                  </w:r>
                  <w:r>
                    <w:rPr>
                      <w:rFonts w:hint="eastAsia" w:ascii="Times New Roman" w:hAnsi="Times New Roman" w:eastAsia="宋体" w:cs="Times New Roman"/>
                      <w:b w:val="0"/>
                      <w:color w:val="auto"/>
                      <w:kern w:val="0"/>
                      <w:sz w:val="21"/>
                      <w:szCs w:val="20"/>
                      <w:highlight w:val="none"/>
                      <w:u w:val="none" w:color="auto"/>
                      <w:lang w:val="en-US" w:eastAsia="zh-CN" w:bidi="ar-SA"/>
                    </w:rPr>
                    <w:t>本项目为C4210金属废料和碎屑加工处理，本项目不</w:t>
                  </w:r>
                  <w:r>
                    <w:rPr>
                      <w:rFonts w:hint="eastAsia" w:cs="Times New Roman"/>
                      <w:b w:val="0"/>
                      <w:color w:val="auto"/>
                      <w:kern w:val="0"/>
                      <w:sz w:val="21"/>
                      <w:szCs w:val="20"/>
                      <w:highlight w:val="none"/>
                      <w:u w:val="none" w:color="auto"/>
                      <w:lang w:val="en-US" w:eastAsia="zh-CN" w:bidi="ar-SA"/>
                    </w:rPr>
                    <w:t>涉及</w:t>
                  </w:r>
                  <w:r>
                    <w:rPr>
                      <w:rFonts w:hint="eastAsia" w:ascii="Times New Roman" w:hAnsi="Times New Roman" w:eastAsia="宋体" w:cs="Times New Roman"/>
                      <w:b w:val="0"/>
                      <w:color w:val="auto"/>
                      <w:kern w:val="0"/>
                      <w:sz w:val="21"/>
                      <w:szCs w:val="20"/>
                      <w:highlight w:val="none"/>
                      <w:u w:val="none" w:color="auto"/>
                      <w:lang w:val="en-US" w:eastAsia="zh-CN" w:bidi="ar-SA"/>
                    </w:rPr>
                    <w:t>汽车维修喷漆、油品储存运输及销售等环节；同时，项目不涉及秸秆的使用和处理；所产生的</w:t>
                  </w:r>
                  <w:r>
                    <w:rPr>
                      <w:rFonts w:hint="eastAsia" w:ascii="Times New Roman" w:hAnsi="Times New Roman" w:cs="Times New Roman"/>
                      <w:b w:val="0"/>
                      <w:color w:val="auto"/>
                      <w:kern w:val="0"/>
                      <w:sz w:val="21"/>
                      <w:szCs w:val="20"/>
                      <w:highlight w:val="none"/>
                      <w:u w:val="none" w:color="auto"/>
                      <w:lang w:val="en-US" w:eastAsia="zh-CN" w:bidi="ar-SA"/>
                    </w:rPr>
                    <w:t>生活</w:t>
                  </w:r>
                  <w:r>
                    <w:rPr>
                      <w:rFonts w:hint="eastAsia" w:ascii="Times New Roman" w:hAnsi="Times New Roman" w:eastAsia="宋体" w:cs="Times New Roman"/>
                      <w:b w:val="0"/>
                      <w:color w:val="auto"/>
                      <w:kern w:val="0"/>
                      <w:sz w:val="21"/>
                      <w:szCs w:val="20"/>
                      <w:highlight w:val="none"/>
                      <w:u w:val="none" w:color="auto"/>
                      <w:lang w:val="en-US" w:eastAsia="zh-CN" w:bidi="ar-SA"/>
                    </w:rPr>
                    <w:t>垃圾已交由环卫部门进行妥善处理；</w:t>
                  </w:r>
                </w:p>
                <w:p w14:paraId="7DBF8247">
                  <w:pPr>
                    <w:pStyle w:val="30"/>
                    <w:keepNext w:val="0"/>
                    <w:keepLines w:val="0"/>
                    <w:pageBreakBefore w:val="0"/>
                    <w:widowControl w:val="0"/>
                    <w:kinsoku/>
                    <w:wordWrap w:val="0"/>
                    <w:overflowPunct/>
                    <w:topLinePunct/>
                    <w:autoSpaceDE/>
                    <w:autoSpaceDN/>
                    <w:bidi w:val="0"/>
                    <w:adjustRightInd/>
                    <w:snapToGrid/>
                    <w:jc w:val="center"/>
                    <w:textAlignment w:val="auto"/>
                    <w:rPr>
                      <w:rStyle w:val="29"/>
                      <w:rFonts w:hint="eastAsia"/>
                      <w:color w:val="auto"/>
                      <w:highlight w:val="none"/>
                      <w:u w:val="none" w:color="auto"/>
                      <w:lang w:val="en-US" w:eastAsia="zh-CN"/>
                    </w:rPr>
                  </w:pPr>
                  <w:r>
                    <w:rPr>
                      <w:rFonts w:hint="eastAsia" w:ascii="Times New Roman" w:hAnsi="Times New Roman" w:eastAsia="宋体" w:cs="Times New Roman"/>
                      <w:b w:val="0"/>
                      <w:color w:val="auto"/>
                      <w:kern w:val="0"/>
                      <w:sz w:val="21"/>
                      <w:szCs w:val="20"/>
                      <w:highlight w:val="none"/>
                      <w:u w:val="none" w:color="auto"/>
                      <w:lang w:val="en-US" w:eastAsia="zh-CN" w:bidi="ar-SA"/>
                    </w:rPr>
                    <w:t>（2.2）</w:t>
                  </w:r>
                  <w:r>
                    <w:rPr>
                      <w:rFonts w:hint="eastAsia" w:ascii="Times New Roman" w:hAnsi="Times New Roman" w:eastAsia="宋体" w:cs="Times New Roman"/>
                      <w:b w:val="0"/>
                      <w:bCs w:val="0"/>
                      <w:strike w:val="0"/>
                      <w:color w:val="auto"/>
                      <w:szCs w:val="22"/>
                      <w:highlight w:val="none"/>
                      <w:u w:val="none" w:color="auto"/>
                      <w:lang w:eastAsia="zh-CN"/>
                    </w:rPr>
                    <w:t>废水：</w:t>
                  </w:r>
                  <w:r>
                    <w:rPr>
                      <w:rFonts w:hint="eastAsia" w:ascii="Times New Roman" w:hAnsi="Times New Roman" w:eastAsia="宋体" w:cs="Times New Roman"/>
                      <w:strike w:val="0"/>
                      <w:color w:val="auto"/>
                      <w:szCs w:val="22"/>
                      <w:highlight w:val="none"/>
                      <w:u w:val="none" w:color="auto"/>
                      <w:lang w:val="en-US" w:eastAsia="zh-CN"/>
                    </w:rPr>
                    <w:t>本项目生活污水</w:t>
                  </w:r>
                  <w:r>
                    <w:rPr>
                      <w:rFonts w:hint="default" w:ascii="Times New Roman" w:hAnsi="Times New Roman" w:eastAsia="宋体" w:cs="Times New Roman"/>
                      <w:strike w:val="0"/>
                      <w:color w:val="auto"/>
                      <w:szCs w:val="22"/>
                      <w:highlight w:val="none"/>
                      <w:u w:val="none" w:color="auto"/>
                      <w:lang w:val="en-US" w:eastAsia="zh-CN"/>
                    </w:rPr>
                    <w:t>经</w:t>
                  </w:r>
                  <w:r>
                    <w:rPr>
                      <w:rFonts w:hint="eastAsia" w:cs="Times New Roman"/>
                      <w:strike w:val="0"/>
                      <w:color w:val="auto"/>
                      <w:szCs w:val="22"/>
                      <w:highlight w:val="none"/>
                      <w:u w:val="none" w:color="auto"/>
                      <w:lang w:val="en-US" w:eastAsia="zh-CN"/>
                    </w:rPr>
                    <w:t>三级化粪池</w:t>
                  </w:r>
                  <w:r>
                    <w:rPr>
                      <w:rFonts w:hint="default" w:ascii="Times New Roman" w:hAnsi="Times New Roman" w:eastAsia="宋体" w:cs="Times New Roman"/>
                      <w:strike w:val="0"/>
                      <w:color w:val="auto"/>
                      <w:szCs w:val="22"/>
                      <w:highlight w:val="none"/>
                      <w:u w:val="none" w:color="auto"/>
                      <w:lang w:val="en-US" w:eastAsia="zh-CN"/>
                    </w:rPr>
                    <w:t>处理后用作农</w:t>
                  </w:r>
                  <w:r>
                    <w:rPr>
                      <w:rStyle w:val="29"/>
                      <w:rFonts w:hint="default"/>
                      <w:color w:val="auto"/>
                      <w:highlight w:val="none"/>
                      <w:u w:val="none" w:color="auto"/>
                      <w:lang w:val="en-US" w:eastAsia="zh-CN"/>
                    </w:rPr>
                    <w:t>肥</w:t>
                  </w:r>
                  <w:r>
                    <w:rPr>
                      <w:rStyle w:val="29"/>
                      <w:rFonts w:hint="eastAsia"/>
                      <w:color w:val="auto"/>
                      <w:highlight w:val="none"/>
                      <w:u w:val="none" w:color="auto"/>
                      <w:lang w:val="en-US" w:eastAsia="zh-CN"/>
                    </w:rPr>
                    <w:t>；</w:t>
                  </w:r>
                  <w:r>
                    <w:rPr>
                      <w:rFonts w:hint="eastAsia"/>
                      <w:highlight w:val="none"/>
                      <w:u w:val="none" w:color="auto"/>
                      <w:lang w:val="en-US" w:eastAsia="zh-CN"/>
                    </w:rPr>
                    <w:t>水膜除尘用水循环使用，不外排，</w:t>
                  </w:r>
                  <w:r>
                    <w:rPr>
                      <w:rStyle w:val="29"/>
                      <w:rFonts w:hint="eastAsia"/>
                      <w:color w:val="auto"/>
                      <w:highlight w:val="none"/>
                      <w:u w:val="none" w:color="auto"/>
                      <w:lang w:val="en-US" w:eastAsia="zh-CN"/>
                    </w:rPr>
                    <w:t>不涉及农村黑臭水体</w:t>
                  </w:r>
                </w:p>
                <w:p w14:paraId="67CDDC88">
                  <w:pPr>
                    <w:pStyle w:val="33"/>
                    <w:rPr>
                      <w:rFonts w:hint="eastAsia" w:ascii="Times New Roman" w:hAnsi="Times New Roman" w:eastAsia="宋体" w:cs="Times New Roman"/>
                      <w:b w:val="0"/>
                      <w:bCs/>
                      <w:strike w:val="0"/>
                      <w:color w:val="auto"/>
                      <w:szCs w:val="22"/>
                      <w:highlight w:val="none"/>
                      <w:u w:val="none" w:color="auto"/>
                      <w:lang w:val="en-US" w:eastAsia="zh-CN"/>
                    </w:rPr>
                  </w:pPr>
                  <w:r>
                    <w:rPr>
                      <w:rStyle w:val="29"/>
                      <w:rFonts w:hint="eastAsia"/>
                      <w:b w:val="0"/>
                      <w:bCs/>
                      <w:color w:val="auto"/>
                      <w:highlight w:val="none"/>
                      <w:u w:val="none" w:color="auto"/>
                      <w:lang w:val="en-US" w:eastAsia="zh-CN"/>
                    </w:rPr>
                    <w:t>（2.3）</w:t>
                  </w:r>
                  <w:r>
                    <w:rPr>
                      <w:rFonts w:hint="eastAsia" w:ascii="Times New Roman" w:hAnsi="Times New Roman" w:eastAsia="宋体" w:cs="Times New Roman"/>
                      <w:b w:val="0"/>
                      <w:bCs w:val="0"/>
                      <w:strike w:val="0"/>
                      <w:color w:val="auto"/>
                      <w:szCs w:val="22"/>
                      <w:highlight w:val="none"/>
                      <w:u w:val="none" w:color="auto"/>
                      <w:lang w:eastAsia="zh-CN"/>
                    </w:rPr>
                    <w:t>固体废物：</w:t>
                  </w:r>
                  <w:r>
                    <w:rPr>
                      <w:rFonts w:hint="default" w:ascii="Times New Roman" w:hAnsi="Times New Roman" w:cs="Times New Roman"/>
                      <w:b w:val="0"/>
                      <w:bCs/>
                      <w:color w:val="auto"/>
                      <w:highlight w:val="none"/>
                      <w:u w:val="none" w:color="auto"/>
                    </w:rPr>
                    <w:t>本项目运营期固体废物主要</w:t>
                  </w:r>
                  <w:r>
                    <w:rPr>
                      <w:rFonts w:hint="eastAsia" w:cs="Times New Roman"/>
                      <w:b w:val="0"/>
                      <w:bCs/>
                      <w:color w:val="auto"/>
                      <w:highlight w:val="none"/>
                      <w:u w:val="none" w:color="auto"/>
                      <w:lang w:val="en-US" w:eastAsia="zh-CN"/>
                    </w:rPr>
                    <w:t>为</w:t>
                  </w:r>
                  <w:r>
                    <w:rPr>
                      <w:rFonts w:hint="eastAsia"/>
                      <w:b w:val="0"/>
                      <w:bCs/>
                      <w:color w:val="auto"/>
                      <w:highlight w:val="none"/>
                      <w:u w:val="none" w:color="auto"/>
                      <w:lang w:val="en-US" w:eastAsia="zh-CN"/>
                    </w:rPr>
                    <w:t>废角阀、水膜、</w:t>
                  </w:r>
                  <w:r>
                    <w:rPr>
                      <w:b w:val="0"/>
                      <w:bCs/>
                      <w:highlight w:val="none"/>
                      <w:u w:val="none" w:color="auto"/>
                    </w:rPr>
                    <w:t>水膜除尘湿渣</w:t>
                  </w:r>
                  <w:r>
                    <w:rPr>
                      <w:rFonts w:hint="eastAsia"/>
                      <w:b w:val="0"/>
                      <w:bCs/>
                      <w:highlight w:val="none"/>
                      <w:u w:val="none" w:color="auto"/>
                      <w:lang w:eastAsia="zh-CN"/>
                    </w:rPr>
                    <w:t>，</w:t>
                  </w:r>
                  <w:r>
                    <w:rPr>
                      <w:rFonts w:hint="eastAsia"/>
                      <w:b w:val="0"/>
                      <w:bCs/>
                      <w:color w:val="auto"/>
                      <w:highlight w:val="none"/>
                      <w:u w:val="none" w:color="auto"/>
                      <w:lang w:val="en-US" w:eastAsia="zh-CN"/>
                    </w:rPr>
                    <w:t>交由厂家回收，日产日清</w:t>
                  </w:r>
                  <w:r>
                    <w:rPr>
                      <w:rFonts w:hint="eastAsia"/>
                      <w:b w:val="0"/>
                      <w:bCs/>
                      <w:highlight w:val="none"/>
                      <w:u w:val="none" w:color="auto"/>
                      <w:lang w:eastAsia="zh-CN"/>
                    </w:rPr>
                    <w:t>；</w:t>
                  </w: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废机油和废机油桶属于危险废物，存放至危废暂存间，再交由有资质单位进行处理</w:t>
                  </w:r>
                  <w:r>
                    <w:rPr>
                      <w:rFonts w:hint="eastAsia" w:ascii="Times New Roman" w:hAnsi="Times New Roman" w:cs="Times New Roman"/>
                      <w:b w:val="0"/>
                      <w:bCs/>
                      <w:color w:val="auto"/>
                      <w:highlight w:val="none"/>
                      <w:u w:val="none" w:color="auto"/>
                      <w:lang w:eastAsia="zh-CN"/>
                    </w:rPr>
                    <w:t>；</w:t>
                  </w:r>
                  <w:r>
                    <w:rPr>
                      <w:rFonts w:hint="eastAsia" w:ascii="Times New Roman" w:hAnsi="Times New Roman" w:cs="Times New Roman"/>
                      <w:b w:val="0"/>
                      <w:bCs/>
                      <w:color w:val="auto"/>
                      <w:highlight w:val="none"/>
                      <w:u w:val="none" w:color="auto"/>
                      <w:lang w:val="en-US" w:eastAsia="zh-CN"/>
                    </w:rPr>
                    <w:t>生活垃圾交由环卫部门处理；</w:t>
                  </w:r>
                  <w:r>
                    <w:rPr>
                      <w:rFonts w:hint="eastAsia" w:ascii="Times New Roman" w:hAnsi="Times New Roman" w:eastAsia="宋体" w:cs="Times New Roman"/>
                      <w:b w:val="0"/>
                      <w:bCs/>
                      <w:strike w:val="0"/>
                      <w:color w:val="auto"/>
                      <w:szCs w:val="22"/>
                      <w:highlight w:val="none"/>
                      <w:u w:val="none" w:color="auto"/>
                      <w:lang w:val="en-US" w:eastAsia="zh-CN"/>
                    </w:rPr>
                    <w:t>不包含畜禽养殖领域，故不涉及废弃物资源化利用；</w:t>
                  </w:r>
                </w:p>
                <w:p w14:paraId="1130D1C4">
                  <w:pPr>
                    <w:pStyle w:val="33"/>
                    <w:rPr>
                      <w:rFonts w:hint="default" w:eastAsia="宋体"/>
                      <w:color w:val="auto"/>
                      <w:highlight w:val="none"/>
                      <w:u w:val="none" w:color="auto"/>
                      <w:lang w:val="en-US" w:eastAsia="zh-CN"/>
                    </w:rPr>
                  </w:pPr>
                  <w:r>
                    <w:rPr>
                      <w:rFonts w:hint="eastAsia" w:ascii="Times New Roman" w:hAnsi="Times New Roman" w:eastAsia="宋体" w:cs="Times New Roman"/>
                      <w:b w:val="0"/>
                      <w:bCs/>
                      <w:strike w:val="0"/>
                      <w:color w:val="auto"/>
                      <w:szCs w:val="22"/>
                      <w:highlight w:val="none"/>
                      <w:u w:val="none" w:color="auto"/>
                      <w:lang w:val="en-US" w:eastAsia="zh-CN"/>
                    </w:rPr>
                    <w:t>（2.4）</w:t>
                  </w:r>
                  <w:r>
                    <w:rPr>
                      <w:rFonts w:hint="eastAsia" w:ascii="Times New Roman" w:hAnsi="Times New Roman" w:eastAsia="宋体" w:cs="Times New Roman"/>
                      <w:b w:val="0"/>
                      <w:bCs w:val="0"/>
                      <w:strike w:val="0"/>
                      <w:color w:val="auto"/>
                      <w:szCs w:val="22"/>
                      <w:highlight w:val="none"/>
                      <w:u w:val="none" w:color="auto"/>
                      <w:lang w:eastAsia="zh-CN"/>
                    </w:rPr>
                    <w:t>农业面源：</w:t>
                  </w:r>
                  <w:r>
                    <w:rPr>
                      <w:rFonts w:hint="eastAsia" w:ascii="Times New Roman" w:hAnsi="Times New Roman" w:eastAsia="宋体" w:cs="Times New Roman"/>
                      <w:b w:val="0"/>
                      <w:bCs/>
                      <w:strike w:val="0"/>
                      <w:color w:val="auto"/>
                      <w:szCs w:val="22"/>
                      <w:highlight w:val="none"/>
                      <w:u w:val="none" w:color="auto"/>
                      <w:lang w:val="en-US" w:eastAsia="zh-CN"/>
                    </w:rPr>
                    <w:t>本项目生活污水经</w:t>
                  </w:r>
                  <w:r>
                    <w:rPr>
                      <w:rFonts w:hint="eastAsia" w:cs="Times New Roman"/>
                      <w:b w:val="0"/>
                      <w:bCs/>
                      <w:strike w:val="0"/>
                      <w:color w:val="auto"/>
                      <w:szCs w:val="22"/>
                      <w:highlight w:val="none"/>
                      <w:u w:val="none" w:color="auto"/>
                      <w:lang w:val="en-US" w:eastAsia="zh-CN"/>
                    </w:rPr>
                    <w:t>三级化粪池</w:t>
                  </w:r>
                  <w:r>
                    <w:rPr>
                      <w:rFonts w:hint="eastAsia" w:ascii="Times New Roman" w:hAnsi="Times New Roman" w:eastAsia="宋体" w:cs="Times New Roman"/>
                      <w:b w:val="0"/>
                      <w:bCs/>
                      <w:strike w:val="0"/>
                      <w:color w:val="auto"/>
                      <w:szCs w:val="22"/>
                      <w:highlight w:val="none"/>
                      <w:u w:val="none" w:color="auto"/>
                      <w:lang w:val="en-US" w:eastAsia="zh-CN"/>
                    </w:rPr>
                    <w:t>处理后用作农肥，符合逐步推行有机肥代替化肥的农业面源污染控制策略。通过这种方式，可以有效减少化肥的使用，同时利用生活污水中的营养物质，实现资源的循环利用。</w:t>
                  </w:r>
                </w:p>
              </w:tc>
              <w:tc>
                <w:tcPr>
                  <w:tcW w:w="1150" w:type="pct"/>
                  <w:tcBorders>
                    <w:tl2br w:val="nil"/>
                    <w:tr2bl w:val="nil"/>
                  </w:tcBorders>
                  <w:noWrap w:val="0"/>
                  <w:vAlign w:val="center"/>
                </w:tcPr>
                <w:p w14:paraId="23E668F4">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eastAsia"/>
                      <w:color w:val="auto"/>
                      <w:highlight w:val="none"/>
                      <w:u w:val="none" w:color="auto"/>
                      <w:lang w:val="en-US" w:eastAsia="zh-CN"/>
                    </w:rPr>
                    <w:t>相符</w:t>
                  </w:r>
                </w:p>
              </w:tc>
            </w:tr>
            <w:tr w14:paraId="4488E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5E416CE7">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环境风险</w:t>
                  </w:r>
                </w:p>
                <w:p w14:paraId="73D87E94">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防控</w:t>
                  </w:r>
                </w:p>
              </w:tc>
              <w:tc>
                <w:tcPr>
                  <w:tcW w:w="1381" w:type="pct"/>
                  <w:gridSpan w:val="2"/>
                  <w:tcBorders>
                    <w:tl2br w:val="nil"/>
                    <w:tr2bl w:val="nil"/>
                  </w:tcBorders>
                  <w:noWrap w:val="0"/>
                  <w:vAlign w:val="center"/>
                </w:tcPr>
                <w:p w14:paraId="6E7ADD09">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（3.1）积极应对重污染天气，对纳入应急减排项目清单的工业企业要制定“一厂一策”实施方案。</w:t>
                  </w:r>
                </w:p>
                <w:p w14:paraId="44EF6723">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（3.2）有效管控建设用地土壤污染风险。以用途变更为“一住两公”的地块为重点，依法开展土壤污染状况调查和风险评估。</w:t>
                  </w:r>
                </w:p>
                <w:p w14:paraId="674DE5F0">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（3.3）推进农用地土壤污染防治和安全利用。严格涉镉等重金属行业大气、水污染物排放管控，全面排查整治涉镉等重金属关停企业及矿区历史遗留固体废物。</w:t>
                  </w:r>
                </w:p>
                <w:p w14:paraId="57D58379">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（3.4）加密重点断面水质监测，将断面水质管控作为河湖长制重点工作内容，纳入河湖长工作绩效考核。</w:t>
                  </w:r>
                </w:p>
                <w:p w14:paraId="5CACFB97">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3.5）建立涵盖基础信息、实时水量水质数据等在内的河湖库管理信息平台，河湖管护联合执法机制逐步形成，在东洞庭湖、新墙河、铁山水库等重要河湖干流及各乡镇主要支流建立基于水质水量考核的流域生态补偿机制。</w:t>
                  </w:r>
                </w:p>
                <w:p w14:paraId="5F51BE83">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湖南岳阳台湾农民创业园：</w:t>
                  </w:r>
                </w:p>
                <w:p w14:paraId="2703138E">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（3.6）禁止在企业卫生防护距离内布设新的居民点、学校、医院等敏感点。</w:t>
                  </w:r>
                </w:p>
                <w:p w14:paraId="7E38795E">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（3.7）建立事故风险防范和应急处置体系，建立专职环境监督管理机构，配备专人负责环保工作，建立健全环境风险事故防范措施和应急预案，严防环境风险事故发生。</w:t>
                  </w:r>
                </w:p>
              </w:tc>
              <w:tc>
                <w:tcPr>
                  <w:tcW w:w="1196" w:type="pct"/>
                  <w:tcBorders>
                    <w:tl2br w:val="nil"/>
                    <w:tr2bl w:val="nil"/>
                  </w:tcBorders>
                  <w:noWrap w:val="0"/>
                  <w:vAlign w:val="center"/>
                </w:tcPr>
                <w:p w14:paraId="5F1A66AE">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eastAsia="宋体"/>
                      <w:color w:val="auto"/>
                      <w:highlight w:val="none"/>
                      <w:u w:val="none" w:color="auto"/>
                      <w:lang w:eastAsia="zh-CN"/>
                    </w:rPr>
                  </w:pPr>
                  <w:r>
                    <w:rPr>
                      <w:rFonts w:hint="eastAsia"/>
                      <w:color w:val="auto"/>
                      <w:highlight w:val="none"/>
                      <w:u w:val="none" w:color="auto"/>
                      <w:lang w:val="en-US" w:eastAsia="zh-CN"/>
                    </w:rPr>
                    <w:t>（3.1）本项目为</w:t>
                  </w:r>
                  <w:r>
                    <w:rPr>
                      <w:rFonts w:hint="eastAsia" w:ascii="Times New Roman" w:hAnsi="Times New Roman" w:eastAsia="宋体" w:cs="Times New Roman"/>
                      <w:b w:val="0"/>
                      <w:color w:val="auto"/>
                      <w:kern w:val="0"/>
                      <w:sz w:val="21"/>
                      <w:szCs w:val="20"/>
                      <w:highlight w:val="none"/>
                      <w:u w:val="none" w:color="auto"/>
                      <w:lang w:val="en-US" w:eastAsia="zh-CN" w:bidi="ar-SA"/>
                    </w:rPr>
                    <w:t>C4210金属废料和碎屑加工处理</w:t>
                  </w:r>
                  <w:r>
                    <w:rPr>
                      <w:rFonts w:hint="eastAsia"/>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不</w:t>
                  </w:r>
                  <w:r>
                    <w:rPr>
                      <w:rFonts w:hint="eastAsia" w:cs="Times New Roman"/>
                      <w:color w:val="auto"/>
                      <w:highlight w:val="none"/>
                      <w:u w:val="none" w:color="auto"/>
                      <w:lang w:val="en-US" w:eastAsia="zh-CN"/>
                    </w:rPr>
                    <w:t>在应急减排清单中</w:t>
                  </w:r>
                  <w:r>
                    <w:rPr>
                      <w:rFonts w:hint="eastAsia"/>
                      <w:color w:val="auto"/>
                      <w:highlight w:val="none"/>
                      <w:u w:val="none" w:color="auto"/>
                      <w:lang w:eastAsia="zh-CN"/>
                    </w:rPr>
                    <w:t>；</w:t>
                  </w:r>
                </w:p>
                <w:p w14:paraId="07845B0C">
                  <w:pPr>
                    <w:pStyle w:val="33"/>
                    <w:rPr>
                      <w:rFonts w:hint="default" w:ascii="Times New Roman" w:hAnsi="Times New Roman" w:eastAsia="宋体" w:cs="Times New Roman"/>
                      <w:b w:val="0"/>
                      <w:color w:val="auto"/>
                      <w:kern w:val="0"/>
                      <w:sz w:val="21"/>
                      <w:szCs w:val="20"/>
                      <w:highlight w:val="none"/>
                      <w:u w:val="none" w:color="auto"/>
                      <w:lang w:val="en-US" w:eastAsia="zh-CN" w:bidi="ar-SA"/>
                    </w:rPr>
                  </w:pPr>
                  <w:r>
                    <w:rPr>
                      <w:rFonts w:hint="eastAsia" w:ascii="Times New Roman" w:hAnsi="Times New Roman" w:eastAsia="宋体" w:cs="Times New Roman"/>
                      <w:b w:val="0"/>
                      <w:color w:val="auto"/>
                      <w:kern w:val="0"/>
                      <w:sz w:val="21"/>
                      <w:szCs w:val="20"/>
                      <w:highlight w:val="none"/>
                      <w:u w:val="none" w:color="auto"/>
                      <w:lang w:val="en-US" w:eastAsia="zh-CN" w:bidi="ar-SA"/>
                    </w:rPr>
                    <w:t>（3.2）</w:t>
                  </w:r>
                  <w:r>
                    <w:rPr>
                      <w:rStyle w:val="29"/>
                      <w:rFonts w:hint="eastAsia"/>
                      <w:b w:val="0"/>
                      <w:bCs/>
                      <w:color w:val="auto"/>
                      <w:highlight w:val="none"/>
                      <w:u w:val="none" w:color="auto"/>
                    </w:rPr>
                    <w:t>本</w:t>
                  </w:r>
                  <w:r>
                    <w:rPr>
                      <w:rStyle w:val="29"/>
                      <w:rFonts w:hint="eastAsia"/>
                      <w:b w:val="0"/>
                      <w:bCs/>
                      <w:color w:val="auto"/>
                      <w:highlight w:val="none"/>
                      <w:u w:val="none" w:color="auto"/>
                      <w:lang w:val="en-US" w:eastAsia="zh-CN"/>
                    </w:rPr>
                    <w:t>项目已做好</w:t>
                  </w:r>
                  <w:r>
                    <w:rPr>
                      <w:rStyle w:val="29"/>
                      <w:rFonts w:hint="eastAsia" w:ascii="Times New Roman" w:hAnsi="Times New Roman" w:eastAsia="Times New Roman"/>
                      <w:b w:val="0"/>
                      <w:bCs/>
                      <w:color w:val="auto"/>
                      <w:highlight w:val="none"/>
                      <w:u w:val="none" w:color="auto"/>
                      <w:lang w:val="en-US" w:eastAsia="zh-CN"/>
                    </w:rPr>
                    <w:t>生产车间和仓库地面做好硬化，</w:t>
                  </w:r>
                  <w:r>
                    <w:rPr>
                      <w:rFonts w:hint="eastAsia" w:cs="Times New Roman"/>
                      <w:b w:val="0"/>
                      <w:color w:val="auto"/>
                      <w:kern w:val="0"/>
                      <w:sz w:val="21"/>
                      <w:szCs w:val="20"/>
                      <w:highlight w:val="none"/>
                      <w:u w:val="none" w:color="auto"/>
                      <w:lang w:val="en-US" w:eastAsia="zh-CN" w:bidi="ar-SA"/>
                    </w:rPr>
                    <w:t>对土壤污染影响较小；</w:t>
                  </w:r>
                </w:p>
                <w:p w14:paraId="6B4D12DD">
                  <w:pPr>
                    <w:pStyle w:val="33"/>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（3.3）</w:t>
                  </w:r>
                  <w:r>
                    <w:rPr>
                      <w:rFonts w:hint="eastAsia" w:ascii="Times New Roman" w:hAnsi="Times New Roman" w:eastAsia="宋体" w:cs="Times New Roman"/>
                      <w:b w:val="0"/>
                      <w:color w:val="auto"/>
                      <w:kern w:val="0"/>
                      <w:sz w:val="21"/>
                      <w:szCs w:val="20"/>
                      <w:highlight w:val="none"/>
                      <w:u w:val="none" w:color="auto"/>
                      <w:lang w:val="en-US" w:eastAsia="zh-CN" w:bidi="ar-SA"/>
                    </w:rPr>
                    <w:t>本项目为C4210金属废料和碎屑加工处理</w:t>
                  </w:r>
                  <w:r>
                    <w:rPr>
                      <w:rFonts w:hint="eastAsia" w:cs="Times New Roman"/>
                      <w:b w:val="0"/>
                      <w:color w:val="auto"/>
                      <w:kern w:val="0"/>
                      <w:sz w:val="21"/>
                      <w:szCs w:val="20"/>
                      <w:highlight w:val="none"/>
                      <w:u w:val="none" w:color="auto"/>
                      <w:lang w:val="en-US" w:eastAsia="zh-CN" w:bidi="ar-SA"/>
                    </w:rPr>
                    <w:t>，</w:t>
                  </w:r>
                  <w:r>
                    <w:rPr>
                      <w:rFonts w:hint="eastAsia" w:ascii="Times New Roman" w:hAnsi="Times New Roman" w:eastAsia="宋体" w:cs="Times New Roman"/>
                      <w:b w:val="0"/>
                      <w:color w:val="auto"/>
                      <w:kern w:val="0"/>
                      <w:sz w:val="21"/>
                      <w:szCs w:val="20"/>
                      <w:highlight w:val="none"/>
                      <w:u w:val="none" w:color="auto"/>
                      <w:lang w:val="en-US" w:eastAsia="zh-CN" w:bidi="ar-SA"/>
                    </w:rPr>
                    <w:t>不涉及</w:t>
                  </w:r>
                  <w:r>
                    <w:rPr>
                      <w:rFonts w:hint="eastAsia" w:cs="Times New Roman"/>
                      <w:b w:val="0"/>
                      <w:color w:val="auto"/>
                      <w:kern w:val="0"/>
                      <w:sz w:val="21"/>
                      <w:szCs w:val="20"/>
                      <w:highlight w:val="none"/>
                      <w:u w:val="none" w:color="auto"/>
                      <w:lang w:val="en-US" w:eastAsia="zh-CN" w:bidi="ar-SA"/>
                    </w:rPr>
                    <w:t>重金属行业；</w:t>
                  </w:r>
                </w:p>
                <w:p w14:paraId="59D1C246">
                  <w:pPr>
                    <w:pStyle w:val="33"/>
                    <w:rPr>
                      <w:rFonts w:hint="eastAsia"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（3.4）本项目配合推动落实河（湖）长制，并配合推动清理中小河流、农村河湖延伸；</w:t>
                  </w:r>
                </w:p>
                <w:p w14:paraId="7A3AE7A4">
                  <w:pPr>
                    <w:pStyle w:val="33"/>
                    <w:rPr>
                      <w:rFonts w:hint="default"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（3.5）本项目积极配合联合执法并建立流域生态补偿机制。</w:t>
                  </w:r>
                </w:p>
              </w:tc>
              <w:tc>
                <w:tcPr>
                  <w:tcW w:w="1150" w:type="pct"/>
                  <w:tcBorders>
                    <w:tl2br w:val="nil"/>
                    <w:tr2bl w:val="nil"/>
                  </w:tcBorders>
                  <w:noWrap w:val="0"/>
                  <w:vAlign w:val="center"/>
                </w:tcPr>
                <w:p w14:paraId="76D524F8">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eastAsia"/>
                      <w:color w:val="auto"/>
                      <w:highlight w:val="none"/>
                      <w:u w:val="none" w:color="auto"/>
                      <w:lang w:val="en-US" w:eastAsia="zh-CN"/>
                    </w:rPr>
                    <w:t>相符</w:t>
                  </w:r>
                </w:p>
              </w:tc>
            </w:tr>
            <w:tr w14:paraId="6565C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1" w:type="pct"/>
                  <w:tcBorders>
                    <w:tl2br w:val="nil"/>
                    <w:tr2bl w:val="nil"/>
                  </w:tcBorders>
                  <w:noWrap w:val="0"/>
                  <w:vAlign w:val="center"/>
                </w:tcPr>
                <w:p w14:paraId="183A9A54">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资源开发</w:t>
                  </w:r>
                </w:p>
                <w:p w14:paraId="7040FF7D">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效率要求</w:t>
                  </w:r>
                </w:p>
              </w:tc>
              <w:tc>
                <w:tcPr>
                  <w:tcW w:w="1381" w:type="pct"/>
                  <w:gridSpan w:val="2"/>
                  <w:tcBorders>
                    <w:tl2br w:val="nil"/>
                    <w:tr2bl w:val="nil"/>
                  </w:tcBorders>
                  <w:noWrap w:val="0"/>
                  <w:vAlign w:val="center"/>
                </w:tcPr>
                <w:p w14:paraId="61973CE2">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（4.1）对取用水总量接近控制指标的地区，限制审批建设项目新增取水许可；已达到或超过控制指标的地区，暂停审批建设项目新增取水许可；划定全县地下水禁采区、限采区和地面沉降控制区范围。</w:t>
                  </w:r>
                </w:p>
                <w:p w14:paraId="1D5923C1">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（4.2）水资源：2025年，岳阳县用水总量4.07亿立方米，万元地区生产总值用水量比2020年下降21.53%，万元工业增加值用水量比2020年下降12.65%，农田灌溉水有效利用系数0.59。</w:t>
                  </w:r>
                </w:p>
                <w:p w14:paraId="49CAE595">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（4.3）能源：岳阳县“十四五”时期能耗强度降低基本目标16%，激励目标16.5%。</w:t>
                  </w:r>
                </w:p>
                <w:p w14:paraId="1859B10D">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（4.4）土地资源：黄沙街镇：耕地保护目标69039.33亩，永久基本农田保护面积63579.45亩，生态保护红线面积0.00公顷，城镇开发边界规模257.78公顷，村庄建设用地1242.82公顷。</w:t>
                  </w:r>
                </w:p>
                <w:p w14:paraId="34F39C62">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新开镇：耕地保护目标46167.89亩，永久基本农田保护面积42898.01亩，生态保护红线面积266.60公顷，城镇开发边界规模417.19公顷，村庄建设用地1003.12公顷。</w:t>
                  </w:r>
                </w:p>
                <w:p w14:paraId="72C0C930">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新墙镇：耕地保护目标35816.98亩，永久基本农田保护面积32079.85亩，生态保护红线面积203.29公顷，城镇开发边界规模479.55公顷，村庄建设用地665.55公顷。</w:t>
                  </w:r>
                </w:p>
                <w:p w14:paraId="7D8A6B29">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湖南岳阳台湾农民创业园：</w:t>
                  </w:r>
                </w:p>
                <w:p w14:paraId="3C062E8E">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default"/>
                      <w:color w:val="auto"/>
                      <w:highlight w:val="none"/>
                      <w:u w:val="none" w:color="auto"/>
                    </w:rPr>
                    <w:t>（4.5）在开发过程中不得随意改变各用地功能区性质，并注重节约集约用地。</w:t>
                  </w:r>
                </w:p>
              </w:tc>
              <w:tc>
                <w:tcPr>
                  <w:tcW w:w="1196" w:type="pct"/>
                  <w:tcBorders>
                    <w:tl2br w:val="nil"/>
                    <w:tr2bl w:val="nil"/>
                  </w:tcBorders>
                  <w:noWrap w:val="0"/>
                  <w:vAlign w:val="center"/>
                </w:tcPr>
                <w:p w14:paraId="2DDD0516">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color w:val="auto"/>
                      <w:highlight w:val="none"/>
                      <w:u w:val="none" w:color="auto"/>
                      <w:lang w:val="en-US" w:eastAsia="zh-CN"/>
                    </w:rPr>
                  </w:pPr>
                  <w:r>
                    <w:rPr>
                      <w:rFonts w:hint="eastAsia"/>
                      <w:color w:val="auto"/>
                      <w:highlight w:val="none"/>
                      <w:u w:val="none" w:color="auto"/>
                      <w:lang w:val="en-US" w:eastAsia="zh-CN"/>
                    </w:rPr>
                    <w:t>（4.1）本项目用水由市政供给，不属于已达到或已超标的地区；</w:t>
                  </w:r>
                </w:p>
                <w:p w14:paraId="1BA07A8B">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eastAsia="宋体"/>
                      <w:color w:val="auto"/>
                      <w:highlight w:val="none"/>
                      <w:u w:val="none" w:color="auto"/>
                      <w:lang w:eastAsia="zh-CN"/>
                    </w:rPr>
                  </w:pPr>
                  <w:r>
                    <w:rPr>
                      <w:rFonts w:hint="eastAsia"/>
                      <w:color w:val="auto"/>
                      <w:highlight w:val="none"/>
                      <w:u w:val="none" w:color="auto"/>
                      <w:lang w:val="en-US" w:eastAsia="zh-CN"/>
                    </w:rPr>
                    <w:t>（4.2）水资源：</w:t>
                  </w:r>
                  <w:r>
                    <w:rPr>
                      <w:color w:val="auto"/>
                      <w:highlight w:val="none"/>
                      <w:u w:val="none" w:color="auto"/>
                    </w:rPr>
                    <w:t>本项目位于岳阳县，</w:t>
                  </w:r>
                  <w:r>
                    <w:rPr>
                      <w:rFonts w:hint="eastAsia"/>
                      <w:color w:val="auto"/>
                      <w:highlight w:val="none"/>
                      <w:u w:val="none" w:color="auto"/>
                      <w:lang w:val="en-US" w:eastAsia="zh-CN"/>
                    </w:rPr>
                    <w:t>项目用水量较少，</w:t>
                  </w:r>
                  <w:r>
                    <w:rPr>
                      <w:color w:val="auto"/>
                      <w:highlight w:val="none"/>
                      <w:u w:val="none" w:color="auto"/>
                    </w:rPr>
                    <w:t>提高用水效率</w:t>
                  </w:r>
                  <w:r>
                    <w:rPr>
                      <w:rFonts w:hint="eastAsia"/>
                      <w:color w:val="auto"/>
                      <w:highlight w:val="none"/>
                      <w:u w:val="none" w:color="auto"/>
                      <w:lang w:val="en-US" w:eastAsia="zh-CN"/>
                    </w:rPr>
                    <w:t>，</w:t>
                  </w:r>
                  <w:r>
                    <w:rPr>
                      <w:color w:val="auto"/>
                      <w:highlight w:val="none"/>
                      <w:u w:val="none" w:color="auto"/>
                    </w:rPr>
                    <w:t>确保水资源的可持续利用</w:t>
                  </w:r>
                  <w:r>
                    <w:rPr>
                      <w:rFonts w:hint="eastAsia"/>
                      <w:color w:val="auto"/>
                      <w:highlight w:val="none"/>
                      <w:u w:val="none" w:color="auto"/>
                      <w:lang w:eastAsia="zh-CN"/>
                    </w:rPr>
                    <w:t>；</w:t>
                  </w:r>
                </w:p>
                <w:p w14:paraId="7317EBCD">
                  <w:pPr>
                    <w:pStyle w:val="30"/>
                    <w:keepNext w:val="0"/>
                    <w:keepLines w:val="0"/>
                    <w:pageBreakBefore w:val="0"/>
                    <w:widowControl w:val="0"/>
                    <w:kinsoku/>
                    <w:wordWrap w:val="0"/>
                    <w:overflowPunct/>
                    <w:topLinePunct/>
                    <w:autoSpaceDE/>
                    <w:autoSpaceDN/>
                    <w:bidi w:val="0"/>
                    <w:adjustRightInd/>
                    <w:snapToGrid/>
                    <w:jc w:val="center"/>
                    <w:textAlignment w:val="auto"/>
                    <w:rPr>
                      <w:rFonts w:hint="eastAsia"/>
                      <w:color w:val="auto"/>
                      <w:highlight w:val="none"/>
                      <w:u w:val="none" w:color="auto"/>
                      <w:lang w:val="en-US" w:eastAsia="zh-CN"/>
                    </w:rPr>
                  </w:pPr>
                  <w:r>
                    <w:rPr>
                      <w:rFonts w:hint="eastAsia"/>
                      <w:color w:val="auto"/>
                      <w:highlight w:val="none"/>
                      <w:u w:val="none" w:color="auto"/>
                      <w:lang w:val="en-US" w:eastAsia="zh-CN"/>
                    </w:rPr>
                    <w:t>（4.3）能源：</w:t>
                  </w:r>
                  <w:r>
                    <w:rPr>
                      <w:rFonts w:hint="default"/>
                      <w:color w:val="auto"/>
                      <w:highlight w:val="none"/>
                      <w:u w:val="none" w:color="auto"/>
                    </w:rPr>
                    <w:t>本项目</w:t>
                  </w:r>
                  <w:r>
                    <w:rPr>
                      <w:rFonts w:hint="eastAsia"/>
                      <w:color w:val="auto"/>
                      <w:highlight w:val="none"/>
                      <w:u w:val="none" w:color="auto"/>
                      <w:lang w:val="en-US" w:eastAsia="zh-CN"/>
                    </w:rPr>
                    <w:t>能源主要为电能，用电量相对较小；</w:t>
                  </w:r>
                </w:p>
                <w:p w14:paraId="17C22503">
                  <w:pPr>
                    <w:pStyle w:val="33"/>
                    <w:rPr>
                      <w:rFonts w:hint="default" w:eastAsia="宋体"/>
                      <w:color w:val="auto"/>
                      <w:highlight w:val="none"/>
                      <w:u w:val="none" w:color="auto"/>
                      <w:lang w:val="en-US" w:eastAsia="zh-CN"/>
                    </w:rPr>
                  </w:pPr>
                  <w:r>
                    <w:rPr>
                      <w:rFonts w:hint="eastAsia"/>
                      <w:b w:val="0"/>
                      <w:bCs/>
                      <w:color w:val="auto"/>
                      <w:highlight w:val="none"/>
                      <w:u w:val="none" w:color="auto"/>
                      <w:lang w:val="en-US" w:eastAsia="zh-CN"/>
                    </w:rPr>
                    <w:t>（4.4）</w:t>
                  </w:r>
                  <w:r>
                    <w:rPr>
                      <w:rFonts w:hint="default"/>
                      <w:b w:val="0"/>
                      <w:bCs/>
                      <w:color w:val="auto"/>
                      <w:highlight w:val="none"/>
                      <w:u w:val="none" w:color="auto"/>
                    </w:rPr>
                    <w:t>土地资源：</w:t>
                  </w:r>
                  <w:r>
                    <w:rPr>
                      <w:rFonts w:hint="eastAsia"/>
                      <w:b w:val="0"/>
                      <w:bCs/>
                      <w:color w:val="auto"/>
                      <w:highlight w:val="none"/>
                      <w:u w:val="none" w:color="auto"/>
                      <w:lang w:val="en-US" w:eastAsia="zh-CN"/>
                    </w:rPr>
                    <w:t>本项目为工业用地，不涉及耕地保护范围。</w:t>
                  </w:r>
                </w:p>
              </w:tc>
              <w:tc>
                <w:tcPr>
                  <w:tcW w:w="1150" w:type="pct"/>
                  <w:tcBorders>
                    <w:tl2br w:val="nil"/>
                    <w:tr2bl w:val="nil"/>
                  </w:tcBorders>
                  <w:noWrap w:val="0"/>
                  <w:vAlign w:val="center"/>
                </w:tcPr>
                <w:p w14:paraId="196805FD">
                  <w:pPr>
                    <w:pStyle w:val="30"/>
                    <w:keepNext w:val="0"/>
                    <w:keepLines w:val="0"/>
                    <w:pageBreakBefore w:val="0"/>
                    <w:widowControl w:val="0"/>
                    <w:kinsoku/>
                    <w:wordWrap w:val="0"/>
                    <w:overflowPunct/>
                    <w:topLinePunct/>
                    <w:autoSpaceDE/>
                    <w:autoSpaceDN/>
                    <w:bidi w:val="0"/>
                    <w:adjustRightInd/>
                    <w:snapToGrid/>
                    <w:jc w:val="center"/>
                    <w:textAlignment w:val="auto"/>
                    <w:rPr>
                      <w:rFonts w:hint="default"/>
                      <w:color w:val="auto"/>
                      <w:highlight w:val="none"/>
                      <w:u w:val="none" w:color="auto"/>
                    </w:rPr>
                  </w:pPr>
                  <w:r>
                    <w:rPr>
                      <w:rFonts w:hint="eastAsia"/>
                      <w:color w:val="auto"/>
                      <w:highlight w:val="none"/>
                      <w:u w:val="none" w:color="auto"/>
                      <w:lang w:val="en-US" w:eastAsia="zh-CN"/>
                    </w:rPr>
                    <w:t>相符</w:t>
                  </w:r>
                </w:p>
              </w:tc>
            </w:tr>
          </w:tbl>
          <w:p w14:paraId="795DD48C">
            <w:pPr>
              <w:pStyle w:val="25"/>
              <w:bidi w:val="0"/>
              <w:rPr>
                <w:rFonts w:hint="default"/>
                <w:highlight w:val="none"/>
                <w:u w:val="none" w:color="auto"/>
                <w:lang w:val="en-US" w:eastAsia="zh-CN"/>
              </w:rPr>
            </w:pPr>
            <w:r>
              <w:rPr>
                <w:rFonts w:hint="default"/>
                <w:highlight w:val="none"/>
                <w:u w:val="none" w:color="auto"/>
              </w:rPr>
              <w:t>综上所述，本项目符合</w:t>
            </w:r>
            <w:r>
              <w:rPr>
                <w:rFonts w:hint="eastAsia"/>
                <w:highlight w:val="none"/>
                <w:u w:val="none" w:color="auto"/>
                <w:lang w:eastAsia="zh-CN"/>
              </w:rPr>
              <w:t>《岳阳市生态环境局关于发布岳阳市生态环境分区管控动态更新成果(2023年版)的通知》</w:t>
            </w:r>
            <w:r>
              <w:rPr>
                <w:rFonts w:hint="eastAsia"/>
                <w:highlight w:val="none"/>
                <w:u w:val="none" w:color="auto"/>
                <w:lang w:val="en-US" w:eastAsia="zh-CN"/>
              </w:rPr>
              <w:t>文件中“</w:t>
            </w:r>
            <w:r>
              <w:rPr>
                <w:rFonts w:hint="default"/>
                <w:highlight w:val="none"/>
                <w:u w:val="none" w:color="auto"/>
              </w:rPr>
              <w:t>岳阳县</w:t>
            </w:r>
            <w:r>
              <w:rPr>
                <w:rFonts w:hint="eastAsia"/>
                <w:highlight w:val="none"/>
                <w:u w:val="none" w:color="auto"/>
                <w:lang w:val="en-US" w:eastAsia="zh-CN"/>
              </w:rPr>
              <w:t>新墙</w:t>
            </w:r>
            <w:r>
              <w:rPr>
                <w:rFonts w:hint="default"/>
                <w:highlight w:val="none"/>
                <w:u w:val="none" w:color="auto"/>
              </w:rPr>
              <w:t>镇三线一单</w:t>
            </w:r>
            <w:r>
              <w:rPr>
                <w:rFonts w:hint="eastAsia"/>
                <w:highlight w:val="none"/>
                <w:u w:val="none" w:color="auto"/>
                <w:lang w:eastAsia="zh-CN"/>
              </w:rPr>
              <w:t>”</w:t>
            </w:r>
            <w:r>
              <w:rPr>
                <w:rFonts w:hint="default"/>
                <w:highlight w:val="none"/>
                <w:u w:val="none" w:color="auto"/>
              </w:rPr>
              <w:t>的相关要求。</w:t>
            </w:r>
          </w:p>
          <w:p w14:paraId="28F4C571">
            <w:pPr>
              <w:pStyle w:val="25"/>
              <w:bidi w:val="0"/>
              <w:rPr>
                <w:rFonts w:hint="default"/>
                <w:b/>
                <w:bCs/>
                <w:color w:val="auto"/>
                <w:highlight w:val="none"/>
                <w:u w:val="none" w:color="auto"/>
              </w:rPr>
            </w:pPr>
            <w:r>
              <w:rPr>
                <w:rFonts w:hint="default"/>
                <w:b/>
                <w:bCs/>
                <w:color w:val="auto"/>
                <w:highlight w:val="none"/>
                <w:u w:val="none" w:color="auto"/>
                <w:lang w:val="en-US" w:eastAsia="zh-CN"/>
              </w:rPr>
              <w:t>二</w:t>
            </w:r>
            <w:r>
              <w:rPr>
                <w:rFonts w:hint="default"/>
                <w:b/>
                <w:bCs/>
                <w:color w:val="auto"/>
                <w:highlight w:val="none"/>
                <w:u w:val="none" w:color="auto"/>
              </w:rPr>
              <w:t>、产业政策符合性分析</w:t>
            </w:r>
          </w:p>
          <w:p w14:paraId="16A1804B">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本项目为“</w:t>
            </w:r>
            <w:r>
              <w:rPr>
                <w:rFonts w:hint="default" w:ascii="Times New Roman" w:hAnsi="Times New Roman" w:eastAsia="宋体" w:cs="Times New Roman"/>
                <w:color w:val="auto"/>
                <w:sz w:val="24"/>
                <w:szCs w:val="24"/>
                <w:highlight w:val="none"/>
                <w:u w:val="none" w:color="auto"/>
                <w:lang w:val="en-US" w:eastAsia="zh-CN"/>
              </w:rPr>
              <w:t>C4210金属废料和碎屑加工处理</w:t>
            </w:r>
            <w:r>
              <w:rPr>
                <w:rFonts w:hint="eastAsia"/>
                <w:color w:val="auto"/>
                <w:highlight w:val="none"/>
                <w:u w:val="none" w:color="auto"/>
                <w:lang w:val="en-US" w:eastAsia="zh-CN"/>
              </w:rPr>
              <w:t>”</w:t>
            </w:r>
            <w:r>
              <w:rPr>
                <w:rFonts w:hint="eastAsia"/>
                <w:color w:val="auto"/>
                <w:highlight w:val="none"/>
                <w:u w:val="none" w:color="auto"/>
                <w:lang w:eastAsia="zh-CN"/>
              </w:rPr>
              <w:t>，</w:t>
            </w:r>
            <w:r>
              <w:rPr>
                <w:rFonts w:hint="default"/>
                <w:color w:val="auto"/>
                <w:highlight w:val="none"/>
                <w:u w:val="none" w:color="auto"/>
                <w:lang w:val="en-US" w:eastAsia="zh-CN"/>
              </w:rPr>
              <w:t>根据《产业结构调整指导目录（2024年本）》中有关规定，本项目不属于鼓励类、限制类和禁止类、淘汰类范围，属于允许类</w:t>
            </w:r>
            <w:r>
              <w:rPr>
                <w:rFonts w:hint="eastAsia"/>
                <w:color w:val="auto"/>
                <w:highlight w:val="none"/>
                <w:u w:val="none" w:color="auto"/>
                <w:lang w:val="en-US" w:eastAsia="zh-CN"/>
              </w:rPr>
              <w:t>。</w:t>
            </w:r>
          </w:p>
          <w:p w14:paraId="37E09B2D">
            <w:pPr>
              <w:pStyle w:val="25"/>
              <w:bidi w:val="0"/>
              <w:rPr>
                <w:color w:val="auto"/>
                <w:highlight w:val="none"/>
                <w:u w:val="none" w:color="auto"/>
              </w:rPr>
            </w:pPr>
            <w:r>
              <w:rPr>
                <w:color w:val="auto"/>
                <w:highlight w:val="none"/>
                <w:u w:val="none" w:color="auto"/>
              </w:rPr>
              <w:t>根据《限期淘汰产生严重污染环境的工业固体废物的落后生产工艺设备名录》（2021年第25号工业和信息化部令），</w:t>
            </w:r>
            <w:r>
              <w:rPr>
                <w:rFonts w:hint="default"/>
                <w:color w:val="auto"/>
                <w:highlight w:val="none"/>
                <w:u w:val="none" w:color="auto"/>
              </w:rPr>
              <w:t>采用的生产工艺、主要生产设备均不属于现行产业政策中淘汰类设备、工艺和产品有关内容，</w:t>
            </w:r>
            <w:r>
              <w:rPr>
                <w:color w:val="auto"/>
                <w:highlight w:val="none"/>
                <w:u w:val="none" w:color="auto"/>
              </w:rPr>
              <w:t>项目设备符合产业政策。</w:t>
            </w:r>
          </w:p>
          <w:p w14:paraId="2C7ED302">
            <w:pPr>
              <w:pStyle w:val="25"/>
              <w:bidi w:val="0"/>
              <w:rPr>
                <w:rFonts w:hint="default"/>
                <w:color w:val="auto"/>
                <w:highlight w:val="none"/>
                <w:u w:val="none" w:color="auto"/>
              </w:rPr>
            </w:pPr>
            <w:r>
              <w:rPr>
                <w:color w:val="auto"/>
                <w:highlight w:val="none"/>
                <w:u w:val="none" w:color="auto"/>
              </w:rPr>
              <w:t>综上，项目建设符合国家和行业产业政策要求。</w:t>
            </w:r>
          </w:p>
          <w:p w14:paraId="3FE3817C">
            <w:pPr>
              <w:pStyle w:val="25"/>
              <w:bidi w:val="0"/>
              <w:rPr>
                <w:rFonts w:hint="default"/>
                <w:b/>
                <w:bCs/>
                <w:highlight w:val="none"/>
                <w:u w:val="none" w:color="auto"/>
              </w:rPr>
            </w:pPr>
            <w:r>
              <w:rPr>
                <w:rFonts w:hint="eastAsia"/>
                <w:b/>
                <w:bCs/>
                <w:highlight w:val="none"/>
                <w:u w:val="none" w:color="auto"/>
                <w:lang w:val="en-US" w:eastAsia="zh-CN"/>
              </w:rPr>
              <w:t>三、</w:t>
            </w:r>
            <w:r>
              <w:rPr>
                <w:rFonts w:hint="default"/>
                <w:b/>
                <w:bCs/>
                <w:highlight w:val="none"/>
                <w:u w:val="none" w:color="auto"/>
              </w:rPr>
              <w:t>用地和选址合理性分析</w:t>
            </w:r>
          </w:p>
          <w:p w14:paraId="79640694">
            <w:pPr>
              <w:pStyle w:val="25"/>
              <w:bidi w:val="0"/>
              <w:rPr>
                <w:highlight w:val="none"/>
                <w:u w:val="none" w:color="auto"/>
              </w:rPr>
            </w:pPr>
            <w:r>
              <w:rPr>
                <w:highlight w:val="none"/>
                <w:u w:val="none" w:color="auto"/>
              </w:rPr>
              <w:t>本项目位于</w:t>
            </w:r>
            <w:r>
              <w:rPr>
                <w:rFonts w:hint="eastAsia"/>
                <w:highlight w:val="none"/>
                <w:u w:val="none" w:color="auto"/>
                <w:lang w:val="en-US" w:eastAsia="zh-CN"/>
              </w:rPr>
              <w:t>湖南省岳阳市岳阳县新墙镇</w:t>
            </w:r>
            <w:r>
              <w:rPr>
                <w:highlight w:val="none"/>
                <w:u w:val="none" w:color="auto"/>
              </w:rPr>
              <w:t>，</w:t>
            </w:r>
            <w:r>
              <w:rPr>
                <w:rFonts w:hint="eastAsia"/>
                <w:highlight w:val="none"/>
                <w:u w:val="none" w:color="auto"/>
                <w:lang w:val="en-US" w:eastAsia="zh-CN"/>
              </w:rPr>
              <w:t>根</w:t>
            </w:r>
            <w:r>
              <w:rPr>
                <w:highlight w:val="none"/>
                <w:u w:val="none" w:color="auto"/>
              </w:rPr>
              <w:t>据</w:t>
            </w:r>
            <w:r>
              <w:rPr>
                <w:rFonts w:hint="eastAsia"/>
                <w:highlight w:val="none"/>
                <w:u w:val="none" w:color="auto"/>
                <w:lang w:val="en-US" w:eastAsia="zh-CN"/>
              </w:rPr>
              <w:t>附件4可知</w:t>
            </w:r>
            <w:r>
              <w:rPr>
                <w:rFonts w:hint="eastAsia"/>
                <w:highlight w:val="none"/>
                <w:u w:val="none" w:color="auto"/>
              </w:rPr>
              <w:t>，项目建设</w:t>
            </w:r>
            <w:r>
              <w:rPr>
                <w:rFonts w:hint="eastAsia"/>
                <w:highlight w:val="none"/>
                <w:u w:val="none" w:color="auto"/>
                <w:lang w:val="en-US" w:eastAsia="zh-CN"/>
              </w:rPr>
              <w:t>用</w:t>
            </w:r>
            <w:r>
              <w:rPr>
                <w:rFonts w:hint="eastAsia"/>
                <w:highlight w:val="none"/>
                <w:u w:val="none" w:color="auto"/>
              </w:rPr>
              <w:t>地属于</w:t>
            </w:r>
            <w:r>
              <w:rPr>
                <w:rFonts w:hint="eastAsia"/>
                <w:highlight w:val="none"/>
                <w:u w:val="none" w:color="auto"/>
                <w:lang w:val="en-US" w:eastAsia="zh-CN"/>
              </w:rPr>
              <w:t>工业</w:t>
            </w:r>
            <w:r>
              <w:rPr>
                <w:rFonts w:hint="eastAsia"/>
                <w:highlight w:val="none"/>
                <w:u w:val="none" w:color="auto"/>
              </w:rPr>
              <w:t>用地</w:t>
            </w:r>
            <w:r>
              <w:rPr>
                <w:rFonts w:hint="eastAsia"/>
                <w:highlight w:val="none"/>
                <w:u w:val="none" w:color="auto"/>
                <w:lang w:eastAsia="zh-CN"/>
              </w:rPr>
              <w:t>。</w:t>
            </w:r>
            <w:r>
              <w:rPr>
                <w:rFonts w:hint="eastAsia"/>
                <w:highlight w:val="none"/>
                <w:u w:val="none" w:color="auto"/>
                <w:lang w:val="en-US" w:eastAsia="zh-CN"/>
              </w:rPr>
              <w:t>本项目已取得</w:t>
            </w:r>
            <w:r>
              <w:rPr>
                <w:highlight w:val="none"/>
                <w:u w:val="none" w:color="auto"/>
              </w:rPr>
              <w:t>选址意见</w:t>
            </w:r>
            <w:r>
              <w:rPr>
                <w:rFonts w:hint="eastAsia"/>
                <w:highlight w:val="none"/>
                <w:u w:val="none" w:color="auto"/>
                <w:lang w:eastAsia="zh-CN"/>
              </w:rPr>
              <w:t>（</w:t>
            </w:r>
            <w:r>
              <w:rPr>
                <w:rFonts w:hint="eastAsia"/>
                <w:highlight w:val="none"/>
                <w:u w:val="none" w:color="auto"/>
                <w:lang w:val="en-US" w:eastAsia="zh-CN"/>
              </w:rPr>
              <w:t>详见附件5</w:t>
            </w:r>
            <w:r>
              <w:rPr>
                <w:rFonts w:hint="eastAsia"/>
                <w:highlight w:val="none"/>
                <w:u w:val="none" w:color="auto"/>
                <w:lang w:eastAsia="zh-CN"/>
              </w:rPr>
              <w:t>）。</w:t>
            </w:r>
          </w:p>
          <w:p w14:paraId="5FF5DE20">
            <w:pPr>
              <w:pStyle w:val="25"/>
              <w:bidi w:val="0"/>
              <w:rPr>
                <w:highlight w:val="none"/>
                <w:u w:val="none" w:color="auto"/>
              </w:rPr>
            </w:pPr>
            <w:r>
              <w:rPr>
                <w:rFonts w:hint="eastAsia"/>
                <w:highlight w:val="none"/>
                <w:u w:val="none" w:color="auto"/>
              </w:rPr>
              <w:t>根据《自然资源要素支撑产业高质量发展指导目录（</w:t>
            </w:r>
            <w:r>
              <w:rPr>
                <w:highlight w:val="none"/>
                <w:u w:val="none" w:color="auto"/>
              </w:rPr>
              <w:t>2024年本）》，本项目不新增用地，项目已有用地不属于限制用地和禁止用地范围。项目用电、用水来源可靠有保障，周边基础设施条件良好，</w:t>
            </w:r>
            <w:r>
              <w:rPr>
                <w:rFonts w:hint="default"/>
                <w:highlight w:val="none"/>
                <w:u w:val="none" w:color="auto"/>
              </w:rPr>
              <w:t>不会制约项目建设与发展。项目</w:t>
            </w:r>
            <w:r>
              <w:rPr>
                <w:rFonts w:hint="eastAsia"/>
                <w:highlight w:val="none"/>
                <w:u w:val="none" w:color="auto"/>
                <w:lang w:val="en-US" w:eastAsia="zh-CN"/>
              </w:rPr>
              <w:t>选址</w:t>
            </w:r>
            <w:r>
              <w:rPr>
                <w:rFonts w:hint="default"/>
                <w:highlight w:val="none"/>
                <w:u w:val="none" w:color="auto"/>
              </w:rPr>
              <w:t>不在风景名胜区、地质公园、生态保护区、自然和文化遗产保护区、饮用水源保护区、城市建成区等区域范围内</w:t>
            </w:r>
            <w:r>
              <w:rPr>
                <w:highlight w:val="none"/>
                <w:u w:val="none" w:color="auto"/>
              </w:rPr>
              <w:t>。</w:t>
            </w:r>
          </w:p>
          <w:p w14:paraId="791559DB">
            <w:pPr>
              <w:pStyle w:val="25"/>
              <w:bidi w:val="0"/>
              <w:rPr>
                <w:highlight w:val="none"/>
                <w:u w:val="none" w:color="auto"/>
              </w:rPr>
            </w:pPr>
            <w:r>
              <w:rPr>
                <w:highlight w:val="none"/>
                <w:u w:val="none" w:color="auto"/>
              </w:rPr>
              <w:t>综上可知，本项目选址合理。</w:t>
            </w:r>
          </w:p>
          <w:p w14:paraId="152098A5">
            <w:pPr>
              <w:pStyle w:val="25"/>
              <w:bidi w:val="0"/>
              <w:rPr>
                <w:rFonts w:hint="default"/>
                <w:b/>
                <w:bCs/>
                <w:color w:val="auto"/>
                <w:highlight w:val="none"/>
                <w:u w:val="none" w:color="auto"/>
              </w:rPr>
            </w:pPr>
            <w:r>
              <w:rPr>
                <w:rFonts w:hint="eastAsia"/>
                <w:b/>
                <w:bCs/>
                <w:color w:val="auto"/>
                <w:highlight w:val="none"/>
                <w:u w:val="none" w:color="auto"/>
                <w:lang w:val="en-US" w:eastAsia="zh-CN"/>
              </w:rPr>
              <w:t>四、与《</w:t>
            </w:r>
            <w:r>
              <w:rPr>
                <w:rFonts w:hint="default"/>
                <w:b/>
                <w:bCs/>
                <w:color w:val="auto"/>
                <w:highlight w:val="none"/>
                <w:u w:val="none" w:color="auto"/>
                <w:lang w:val="en-US" w:eastAsia="zh-CN"/>
              </w:rPr>
              <w:t>湖南省长江经济带发展负面清单实施细则</w:t>
            </w:r>
            <w:r>
              <w:rPr>
                <w:rFonts w:hint="eastAsia"/>
                <w:b/>
                <w:bCs/>
                <w:color w:val="auto"/>
                <w:highlight w:val="none"/>
                <w:u w:val="none" w:color="auto"/>
                <w:lang w:val="en-US" w:eastAsia="zh-CN"/>
              </w:rPr>
              <w:t>（试行，2022版）》</w:t>
            </w:r>
            <w:r>
              <w:rPr>
                <w:rFonts w:hint="default"/>
                <w:b/>
                <w:bCs/>
                <w:color w:val="auto"/>
                <w:highlight w:val="none"/>
                <w:u w:val="none" w:color="auto"/>
              </w:rPr>
              <w:t>分析</w:t>
            </w:r>
          </w:p>
          <w:p w14:paraId="2A3B7BB0">
            <w:pPr>
              <w:pStyle w:val="25"/>
              <w:bidi w:val="0"/>
              <w:rPr>
                <w:rFonts w:hint="default"/>
                <w:color w:val="auto"/>
                <w:highlight w:val="none"/>
                <w:u w:val="none" w:color="auto"/>
                <w:lang w:val="en-US" w:eastAsia="zh-CN"/>
              </w:rPr>
            </w:pPr>
            <w:r>
              <w:rPr>
                <w:rFonts w:hint="default"/>
                <w:color w:val="auto"/>
                <w:highlight w:val="none"/>
                <w:u w:val="none" w:color="auto"/>
                <w:lang w:val="en-US" w:eastAsia="zh-CN"/>
              </w:rPr>
              <w:t>本项目与《湖南省长江经济带发展负面清单实施细则</w:t>
            </w:r>
            <w:r>
              <w:rPr>
                <w:rFonts w:hint="eastAsia"/>
                <w:color w:val="auto"/>
                <w:highlight w:val="none"/>
                <w:u w:val="none" w:color="auto"/>
                <w:lang w:val="en-US" w:eastAsia="zh-CN"/>
              </w:rPr>
              <w:t>（试</w:t>
            </w:r>
            <w:r>
              <w:rPr>
                <w:rFonts w:hint="default"/>
                <w:color w:val="auto"/>
                <w:highlight w:val="none"/>
                <w:u w:val="none" w:color="auto"/>
                <w:lang w:val="en-US" w:eastAsia="zh-CN"/>
              </w:rPr>
              <w:t>行，2022年版</w:t>
            </w:r>
            <w:r>
              <w:rPr>
                <w:rFonts w:hint="eastAsia"/>
                <w:color w:val="auto"/>
                <w:highlight w:val="none"/>
                <w:u w:val="none" w:color="auto"/>
                <w:lang w:val="en-US" w:eastAsia="zh-CN"/>
              </w:rPr>
              <w:t>）》</w:t>
            </w:r>
            <w:r>
              <w:rPr>
                <w:rFonts w:hint="default"/>
                <w:color w:val="auto"/>
                <w:highlight w:val="none"/>
                <w:u w:val="none" w:color="auto"/>
                <w:lang w:val="en-US" w:eastAsia="zh-CN"/>
              </w:rPr>
              <w:t>符合性分析详见下表。</w:t>
            </w:r>
          </w:p>
          <w:p w14:paraId="21301F73">
            <w:pPr>
              <w:pStyle w:val="30"/>
              <w:bidi w:val="0"/>
              <w:jc w:val="center"/>
              <w:rPr>
                <w:rFonts w:hint="eastAsia"/>
                <w:b/>
                <w:bCs/>
                <w:highlight w:val="none"/>
                <w:u w:val="none" w:color="auto"/>
                <w:lang w:val="en-US" w:eastAsia="zh-CN"/>
              </w:rPr>
            </w:pPr>
            <w:r>
              <w:rPr>
                <w:rFonts w:hint="default"/>
                <w:b/>
                <w:bCs/>
                <w:highlight w:val="none"/>
                <w:u w:val="none" w:color="auto"/>
                <w:lang w:val="en-US" w:eastAsia="zh-CN"/>
              </w:rPr>
              <w:t>表1</w:t>
            </w:r>
            <w:r>
              <w:rPr>
                <w:rFonts w:hint="eastAsia"/>
                <w:b/>
                <w:bCs/>
                <w:highlight w:val="none"/>
                <w:u w:val="none" w:color="auto"/>
                <w:lang w:val="en-US" w:eastAsia="zh-CN"/>
              </w:rPr>
              <w:t xml:space="preserve">-3   </w:t>
            </w:r>
            <w:r>
              <w:rPr>
                <w:rFonts w:hint="default"/>
                <w:b/>
                <w:bCs/>
                <w:highlight w:val="none"/>
                <w:u w:val="none" w:color="auto"/>
                <w:lang w:val="en-US" w:eastAsia="zh-CN"/>
              </w:rPr>
              <w:t>与《湖南省长江经济带发展负面清单实施细则(施行，2022年版)》符合性分析</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3617"/>
              <w:gridCol w:w="2615"/>
            </w:tblGrid>
            <w:tr w14:paraId="73992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026333BE">
                  <w:pPr>
                    <w:pStyle w:val="30"/>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序号</w:t>
                  </w:r>
                </w:p>
              </w:tc>
              <w:tc>
                <w:tcPr>
                  <w:tcW w:w="2671" w:type="pct"/>
                  <w:tcBorders>
                    <w:tl2br w:val="nil"/>
                    <w:tr2bl w:val="nil"/>
                  </w:tcBorders>
                  <w:vAlign w:val="center"/>
                </w:tcPr>
                <w:p w14:paraId="2F70802C">
                  <w:pPr>
                    <w:pStyle w:val="30"/>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具体要求</w:t>
                  </w:r>
                </w:p>
              </w:tc>
              <w:tc>
                <w:tcPr>
                  <w:tcW w:w="1931" w:type="pct"/>
                  <w:tcBorders>
                    <w:tl2br w:val="nil"/>
                    <w:tr2bl w:val="nil"/>
                  </w:tcBorders>
                  <w:vAlign w:val="center"/>
                </w:tcPr>
                <w:p w14:paraId="2274A72D">
                  <w:pPr>
                    <w:pStyle w:val="30"/>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本项目情况</w:t>
                  </w:r>
                </w:p>
              </w:tc>
            </w:tr>
            <w:tr w14:paraId="70990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419CA11C">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w:t>
                  </w:r>
                </w:p>
              </w:tc>
              <w:tc>
                <w:tcPr>
                  <w:tcW w:w="2671" w:type="pct"/>
                  <w:tcBorders>
                    <w:tl2br w:val="nil"/>
                    <w:tr2bl w:val="nil"/>
                  </w:tcBorders>
                  <w:vAlign w:val="center"/>
                </w:tcPr>
                <w:p w14:paraId="1C50506C">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w:t>
                  </w:r>
                  <w:r>
                    <w:rPr>
                      <w:rFonts w:hint="eastAsia"/>
                      <w:color w:val="auto"/>
                      <w:highlight w:val="none"/>
                      <w:u w:val="none" w:color="auto"/>
                      <w:lang w:val="en-US" w:eastAsia="zh-CN"/>
                    </w:rPr>
                    <w:t>地过</w:t>
                  </w:r>
                  <w:r>
                    <w:rPr>
                      <w:rFonts w:hint="default"/>
                      <w:color w:val="auto"/>
                      <w:highlight w:val="none"/>
                      <w:u w:val="none" w:color="auto"/>
                      <w:lang w:val="en-US" w:eastAsia="zh-CN"/>
                    </w:rPr>
                    <w:t>长江通道项目</w:t>
                  </w:r>
                  <w:r>
                    <w:rPr>
                      <w:rFonts w:hint="eastAsia"/>
                      <w:color w:val="auto"/>
                      <w:highlight w:val="none"/>
                      <w:u w:val="none" w:color="auto"/>
                      <w:lang w:val="en-US" w:eastAsia="zh-CN"/>
                    </w:rPr>
                    <w:t>。</w:t>
                  </w:r>
                </w:p>
              </w:tc>
              <w:tc>
                <w:tcPr>
                  <w:tcW w:w="1931" w:type="pct"/>
                  <w:tcBorders>
                    <w:tl2br w:val="nil"/>
                    <w:tr2bl w:val="nil"/>
                  </w:tcBorders>
                  <w:vAlign w:val="center"/>
                </w:tcPr>
                <w:p w14:paraId="35180EEB">
                  <w:pPr>
                    <w:pStyle w:val="6"/>
                    <w:rPr>
                      <w:rFonts w:hint="default"/>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w:t>
                  </w:r>
                  <w:r>
                    <w:rPr>
                      <w:rFonts w:hint="eastAsia" w:ascii="Times New Roman" w:hAnsi="Times New Roman" w:eastAsia="宋体" w:cs="Times New Roman"/>
                      <w:color w:val="auto"/>
                      <w:highlight w:val="none"/>
                      <w:u w:val="none" w:color="auto"/>
                      <w:lang w:val="en-US" w:eastAsia="zh-CN"/>
                    </w:rPr>
                    <w:t>为</w:t>
                  </w:r>
                  <w:r>
                    <w:rPr>
                      <w:rFonts w:hint="default" w:ascii="Times New Roman" w:hAnsi="Times New Roman" w:eastAsia="宋体" w:cs="Times New Roman"/>
                      <w:color w:val="auto"/>
                      <w:highlight w:val="none"/>
                      <w:u w:val="none" w:color="auto"/>
                      <w:lang w:val="en-US" w:eastAsia="zh-CN"/>
                    </w:rPr>
                    <w:t>C4210金属废料和碎屑加工处理</w:t>
                  </w:r>
                  <w:r>
                    <w:rPr>
                      <w:rFonts w:hint="eastAsia" w:ascii="Times New Roman" w:hAnsi="Times New Roman" w:eastAsia="宋体" w:cs="Times New Roman"/>
                      <w:color w:val="auto"/>
                      <w:highlight w:val="none"/>
                      <w:u w:val="none" w:color="auto"/>
                      <w:lang w:val="en-US" w:eastAsia="zh-CN"/>
                    </w:rPr>
                    <w:t>项目</w:t>
                  </w:r>
                  <w:r>
                    <w:rPr>
                      <w:rFonts w:hint="default" w:ascii="Times New Roman" w:hAnsi="Times New Roman" w:eastAsia="宋体" w:cs="Times New Roman"/>
                      <w:color w:val="auto"/>
                      <w:highlight w:val="none"/>
                      <w:u w:val="none" w:color="auto"/>
                      <w:lang w:val="en-US" w:eastAsia="zh-CN"/>
                    </w:rPr>
                    <w:t>，不涉及港口码头建设</w:t>
                  </w:r>
                  <w:r>
                    <w:rPr>
                      <w:rFonts w:hint="eastAsia" w:ascii="Times New Roman" w:hAnsi="Times New Roman" w:eastAsia="宋体" w:cs="Times New Roman"/>
                      <w:color w:val="auto"/>
                      <w:highlight w:val="none"/>
                      <w:u w:val="none" w:color="auto"/>
                      <w:lang w:val="en-US" w:eastAsia="zh-CN"/>
                    </w:rPr>
                    <w:t>。</w:t>
                  </w:r>
                </w:p>
              </w:tc>
            </w:tr>
            <w:tr w14:paraId="7B549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949B507">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2</w:t>
                  </w:r>
                </w:p>
              </w:tc>
              <w:tc>
                <w:tcPr>
                  <w:tcW w:w="2671" w:type="pct"/>
                  <w:tcBorders>
                    <w:tl2br w:val="nil"/>
                    <w:tr2bl w:val="nil"/>
                  </w:tcBorders>
                  <w:vAlign w:val="center"/>
                </w:tcPr>
                <w:p w14:paraId="77FE1669">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自然保护区核心区、缓冲区的岸线和河段范围内投资建设以下项目:(一)高尔夫球场开发、房地产开发、索道建设、会所建设等项目;(光伏发电、风力发电、火力发电建设项目;社会资金进行商业性探矿勘查，以及不属于国家紧缺矿种资源的基础地质调查和矿产远景调查等公益性工作的设施建设;(四)野生动物驯养繁殖，展览基地建设项目;(五)污染环境、破坏自然资源或自然景观的建设设施</w:t>
                  </w:r>
                  <w:r>
                    <w:rPr>
                      <w:rFonts w:hint="eastAsia"/>
                      <w:color w:val="auto"/>
                      <w:highlight w:val="none"/>
                      <w:u w:val="none" w:color="auto"/>
                      <w:lang w:val="en-US" w:eastAsia="zh-CN"/>
                    </w:rPr>
                    <w:t>；</w:t>
                  </w:r>
                  <w:r>
                    <w:rPr>
                      <w:rFonts w:hint="default"/>
                      <w:color w:val="auto"/>
                      <w:highlight w:val="none"/>
                      <w:u w:val="none" w:color="auto"/>
                      <w:lang w:val="en-US" w:eastAsia="zh-CN"/>
                    </w:rPr>
                    <w:t>(六)对自然保护区主要保护对象产生重大影响、改变自然生态系统完整性、原真性、破坏自然景观的设施</w:t>
                  </w:r>
                  <w:r>
                    <w:rPr>
                      <w:rFonts w:hint="eastAsia"/>
                      <w:color w:val="auto"/>
                      <w:highlight w:val="none"/>
                      <w:u w:val="none" w:color="auto"/>
                      <w:lang w:val="en-US" w:eastAsia="zh-CN"/>
                    </w:rPr>
                    <w:t>；</w:t>
                  </w:r>
                  <w:r>
                    <w:rPr>
                      <w:rFonts w:hint="default"/>
                      <w:color w:val="auto"/>
                      <w:highlight w:val="none"/>
                      <w:u w:val="none" w:color="auto"/>
                      <w:lang w:val="en-US" w:eastAsia="zh-CN"/>
                    </w:rPr>
                    <w:t>(七)其他不符合自然保护区主体功能定位和国家禁止的设施。</w:t>
                  </w:r>
                </w:p>
              </w:tc>
              <w:tc>
                <w:tcPr>
                  <w:tcW w:w="1931" w:type="pct"/>
                  <w:tcBorders>
                    <w:tl2br w:val="nil"/>
                    <w:tr2bl w:val="nil"/>
                  </w:tcBorders>
                  <w:vAlign w:val="center"/>
                </w:tcPr>
                <w:p w14:paraId="78187FD8">
                  <w:pPr>
                    <w:pStyle w:val="6"/>
                    <w:rPr>
                      <w:rFonts w:hint="default"/>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w:t>
                  </w:r>
                  <w:r>
                    <w:rPr>
                      <w:rFonts w:hint="default" w:ascii="Times New Roman" w:hAnsi="Times New Roman" w:eastAsia="宋体" w:cs="Times New Roman"/>
                      <w:color w:val="auto"/>
                      <w:kern w:val="0"/>
                      <w:sz w:val="21"/>
                      <w:szCs w:val="20"/>
                      <w:highlight w:val="none"/>
                      <w:u w:val="none" w:color="auto"/>
                      <w:lang w:val="en-US" w:eastAsia="zh-CN" w:bidi="ar-SA"/>
                    </w:rPr>
                    <w:t>目为C4210金属废料和碎屑加工处理</w:t>
                  </w:r>
                  <w:r>
                    <w:rPr>
                      <w:rFonts w:hint="eastAsia" w:eastAsia="宋体" w:cs="Times New Roman"/>
                      <w:color w:val="auto"/>
                      <w:kern w:val="0"/>
                      <w:sz w:val="21"/>
                      <w:szCs w:val="20"/>
                      <w:highlight w:val="none"/>
                      <w:u w:val="none" w:color="auto"/>
                      <w:lang w:val="en-US" w:eastAsia="zh-CN" w:bidi="ar-SA"/>
                    </w:rPr>
                    <w:t>项目</w:t>
                  </w:r>
                  <w:r>
                    <w:rPr>
                      <w:rFonts w:hint="default" w:ascii="Times New Roman" w:hAnsi="Times New Roman" w:eastAsia="宋体" w:cs="Times New Roman"/>
                      <w:color w:val="auto"/>
                      <w:kern w:val="0"/>
                      <w:sz w:val="21"/>
                      <w:szCs w:val="20"/>
                      <w:highlight w:val="none"/>
                      <w:u w:val="none" w:color="auto"/>
                      <w:lang w:val="en-US" w:eastAsia="zh-CN" w:bidi="ar-SA"/>
                    </w:rPr>
                    <w:t>，不属于左</w:t>
                  </w:r>
                  <w:r>
                    <w:rPr>
                      <w:rFonts w:hint="default" w:ascii="Times New Roman" w:hAnsi="Times New Roman" w:cs="Times New Roman"/>
                      <w:color w:val="auto"/>
                      <w:highlight w:val="none"/>
                      <w:u w:val="none" w:color="auto"/>
                      <w:lang w:val="en-US" w:eastAsia="zh-CN"/>
                    </w:rPr>
                    <w:t>侧项目类型;本项目所在区域不涉及自然保护区等敏感区</w:t>
                  </w:r>
                  <w:r>
                    <w:rPr>
                      <w:rFonts w:hint="eastAsia" w:ascii="Times New Roman" w:hAnsi="Times New Roman" w:cs="Times New Roman"/>
                      <w:color w:val="auto"/>
                      <w:highlight w:val="none"/>
                      <w:u w:val="none" w:color="auto"/>
                      <w:lang w:val="en-US" w:eastAsia="zh-CN"/>
                    </w:rPr>
                    <w:t>。</w:t>
                  </w:r>
                </w:p>
              </w:tc>
            </w:tr>
            <w:tr w14:paraId="5035E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4F06122B">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3</w:t>
                  </w:r>
                </w:p>
              </w:tc>
              <w:tc>
                <w:tcPr>
                  <w:tcW w:w="2671" w:type="pct"/>
                  <w:tcBorders>
                    <w:tl2br w:val="nil"/>
                    <w:tr2bl w:val="nil"/>
                  </w:tcBorders>
                  <w:vAlign w:val="center"/>
                </w:tcPr>
                <w:p w14:paraId="78299FCC">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r>
                    <w:rPr>
                      <w:rFonts w:hint="eastAsia"/>
                      <w:color w:val="auto"/>
                      <w:highlight w:val="none"/>
                      <w:u w:val="none" w:color="auto"/>
                      <w:lang w:val="en-US" w:eastAsia="zh-CN"/>
                    </w:rPr>
                    <w:t>。</w:t>
                  </w:r>
                </w:p>
              </w:tc>
              <w:tc>
                <w:tcPr>
                  <w:tcW w:w="1931" w:type="pct"/>
                  <w:tcBorders>
                    <w:tl2br w:val="nil"/>
                    <w:tr2bl w:val="nil"/>
                  </w:tcBorders>
                  <w:vAlign w:val="center"/>
                </w:tcPr>
                <w:p w14:paraId="23D0B0D8">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本项目为C4210金属废料和碎屑加工处理</w:t>
                  </w:r>
                  <w:r>
                    <w:rPr>
                      <w:rFonts w:hint="eastAsia" w:eastAsia="宋体" w:cs="Times New Roman"/>
                      <w:color w:val="auto"/>
                      <w:kern w:val="0"/>
                      <w:sz w:val="21"/>
                      <w:szCs w:val="20"/>
                      <w:highlight w:val="none"/>
                      <w:u w:val="none" w:color="auto"/>
                      <w:lang w:val="en-US" w:eastAsia="zh-CN" w:bidi="ar-SA"/>
                    </w:rPr>
                    <w:t>项目</w:t>
                  </w:r>
                  <w:r>
                    <w:rPr>
                      <w:rFonts w:hint="default"/>
                      <w:color w:val="auto"/>
                      <w:highlight w:val="none"/>
                      <w:u w:val="none" w:color="auto"/>
                      <w:lang w:val="en-US" w:eastAsia="zh-CN"/>
                    </w:rPr>
                    <w:t>，不涉及机场、铁路、公路、水利、航运、围堰等公益性基础设施建设</w:t>
                  </w:r>
                  <w:r>
                    <w:rPr>
                      <w:rFonts w:hint="eastAsia"/>
                      <w:color w:val="auto"/>
                      <w:highlight w:val="none"/>
                      <w:u w:val="none" w:color="auto"/>
                      <w:lang w:val="en-US" w:eastAsia="zh-CN"/>
                    </w:rPr>
                    <w:t>。</w:t>
                  </w:r>
                </w:p>
              </w:tc>
            </w:tr>
            <w:tr w14:paraId="72206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EC00B5B">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4</w:t>
                  </w:r>
                </w:p>
              </w:tc>
              <w:tc>
                <w:tcPr>
                  <w:tcW w:w="2671" w:type="pct"/>
                  <w:tcBorders>
                    <w:tl2br w:val="nil"/>
                    <w:tr2bl w:val="nil"/>
                  </w:tcBorders>
                  <w:vAlign w:val="center"/>
                </w:tcPr>
                <w:p w14:paraId="7BEF2133">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禁止违反风景名胜区规划，在风景名胜区内设立各类开发区和在核心景区内建设宾馆、招待所、培训中心、疗养院以及与风景名胜资源保护无关的其他建筑物</w:t>
                  </w:r>
                  <w:r>
                    <w:rPr>
                      <w:rFonts w:hint="eastAsia"/>
                      <w:color w:val="auto"/>
                      <w:highlight w:val="none"/>
                      <w:u w:val="none" w:color="auto"/>
                      <w:lang w:val="en-US" w:eastAsia="zh-CN"/>
                    </w:rPr>
                    <w:t>；</w:t>
                  </w:r>
                  <w:r>
                    <w:rPr>
                      <w:rFonts w:hint="default"/>
                      <w:color w:val="auto"/>
                      <w:highlight w:val="none"/>
                      <w:u w:val="none" w:color="auto"/>
                      <w:lang w:val="en-US" w:eastAsia="zh-CN"/>
                    </w:rPr>
                    <w:t>已经建设的，应当按照风景名胜区规划，逐步迁出。</w:t>
                  </w:r>
                </w:p>
              </w:tc>
              <w:tc>
                <w:tcPr>
                  <w:tcW w:w="1931" w:type="pct"/>
                  <w:tcBorders>
                    <w:tl2br w:val="nil"/>
                    <w:tr2bl w:val="nil"/>
                  </w:tcBorders>
                  <w:vAlign w:val="center"/>
                </w:tcPr>
                <w:p w14:paraId="5F43E665">
                  <w:pPr>
                    <w:pStyle w:val="30"/>
                    <w:widowControl w:val="0"/>
                    <w:bidi w:val="0"/>
                    <w:adjustRightInd w:val="0"/>
                    <w:spacing w:line="240" w:lineRule="auto"/>
                    <w:ind w:firstLine="0" w:firstLineChars="0"/>
                    <w:jc w:val="left"/>
                    <w:textAlignment w:val="baseline"/>
                    <w:rPr>
                      <w:rFonts w:hint="default"/>
                      <w:color w:val="auto"/>
                      <w:highlight w:val="none"/>
                      <w:u w:val="none" w:color="auto"/>
                      <w:lang w:val="en-US" w:eastAsia="zh-CN"/>
                    </w:rPr>
                  </w:pPr>
                  <w:r>
                    <w:rPr>
                      <w:rFonts w:ascii="Times New Roman" w:hAnsi="Times New Roman" w:eastAsia="宋体" w:cs="Times New Roman"/>
                      <w:color w:val="auto"/>
                      <w:kern w:val="0"/>
                      <w:sz w:val="21"/>
                      <w:szCs w:val="20"/>
                      <w:highlight w:val="none"/>
                      <w:u w:val="none" w:color="auto"/>
                      <w:lang w:bidi="ar-SA"/>
                    </w:rPr>
                    <w:t>本项目位于</w:t>
                  </w:r>
                  <w:r>
                    <w:rPr>
                      <w:rFonts w:hint="eastAsia" w:ascii="Times New Roman" w:hAnsi="Times New Roman" w:eastAsia="宋体" w:cs="Times New Roman"/>
                      <w:color w:val="auto"/>
                      <w:kern w:val="0"/>
                      <w:sz w:val="21"/>
                      <w:szCs w:val="20"/>
                      <w:highlight w:val="none"/>
                      <w:u w:val="none" w:color="auto"/>
                      <w:lang w:val="en-US" w:eastAsia="zh-CN" w:bidi="ar-SA"/>
                    </w:rPr>
                    <w:t>湖南省岳阳市岳阳县</w:t>
                  </w:r>
                  <w:r>
                    <w:rPr>
                      <w:rFonts w:hint="eastAsia" w:cs="Times New Roman"/>
                      <w:color w:val="auto"/>
                      <w:kern w:val="0"/>
                      <w:sz w:val="21"/>
                      <w:szCs w:val="20"/>
                      <w:highlight w:val="none"/>
                      <w:u w:val="none" w:color="auto"/>
                      <w:lang w:val="en-US" w:eastAsia="zh-CN" w:bidi="ar-SA"/>
                    </w:rPr>
                    <w:t>新墙镇</w:t>
                  </w:r>
                  <w:r>
                    <w:rPr>
                      <w:rFonts w:ascii="Times New Roman" w:hAnsi="Times New Roman" w:eastAsia="宋体" w:cs="Times New Roman"/>
                      <w:color w:val="auto"/>
                      <w:kern w:val="0"/>
                      <w:sz w:val="21"/>
                      <w:szCs w:val="20"/>
                      <w:highlight w:val="none"/>
                      <w:u w:val="none" w:color="auto"/>
                      <w:lang w:bidi="ar-SA"/>
                    </w:rPr>
                    <w:t>，不属于风景名胜区的范畴内。</w:t>
                  </w:r>
                </w:p>
              </w:tc>
            </w:tr>
            <w:tr w14:paraId="0847A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ADBF752">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5</w:t>
                  </w:r>
                </w:p>
              </w:tc>
              <w:tc>
                <w:tcPr>
                  <w:tcW w:w="2671" w:type="pct"/>
                  <w:tcBorders>
                    <w:tl2br w:val="nil"/>
                    <w:tr2bl w:val="nil"/>
                  </w:tcBorders>
                  <w:vAlign w:val="center"/>
                </w:tcPr>
                <w:p w14:paraId="586666BC">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他废弃物;禁止设置油库;禁止使用含磷洗涤用品。</w:t>
                  </w:r>
                </w:p>
              </w:tc>
              <w:tc>
                <w:tcPr>
                  <w:tcW w:w="1931" w:type="pct"/>
                  <w:vMerge w:val="restart"/>
                  <w:tcBorders>
                    <w:tl2br w:val="nil"/>
                    <w:tr2bl w:val="nil"/>
                  </w:tcBorders>
                  <w:vAlign w:val="center"/>
                </w:tcPr>
                <w:p w14:paraId="13F0E773">
                  <w:pPr>
                    <w:pStyle w:val="30"/>
                    <w:bidi w:val="0"/>
                    <w:jc w:val="center"/>
                    <w:rPr>
                      <w:rFonts w:hint="default"/>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本项目生活污水经</w:t>
                  </w:r>
                  <w:r>
                    <w:rPr>
                      <w:rFonts w:hint="eastAsia" w:cs="Times New Roman"/>
                      <w:color w:val="auto"/>
                      <w:highlight w:val="none"/>
                      <w:u w:val="none" w:color="auto"/>
                      <w:lang w:val="en-US" w:eastAsia="zh-CN"/>
                    </w:rPr>
                    <w:t>三级化粪池</w:t>
                  </w:r>
                  <w:r>
                    <w:rPr>
                      <w:rFonts w:hint="default" w:ascii="Times New Roman" w:hAnsi="Times New Roman" w:cs="Times New Roman"/>
                      <w:color w:val="auto"/>
                      <w:highlight w:val="none"/>
                      <w:u w:val="none" w:color="auto"/>
                      <w:lang w:val="en-US" w:eastAsia="zh-CN"/>
                    </w:rPr>
                    <w:t>处理后用作农肥</w:t>
                  </w:r>
                  <w:r>
                    <w:rPr>
                      <w:rFonts w:hint="eastAsia"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不外排</w:t>
                  </w:r>
                  <w:r>
                    <w:rPr>
                      <w:rFonts w:hint="eastAsia" w:ascii="Times New Roman" w:hAnsi="Times New Roman" w:cs="Times New Roman"/>
                      <w:color w:val="auto"/>
                      <w:highlight w:val="none"/>
                      <w:u w:val="none" w:color="auto"/>
                      <w:lang w:val="en-US" w:eastAsia="zh-CN"/>
                    </w:rPr>
                    <w:t>；</w:t>
                  </w:r>
                  <w:r>
                    <w:rPr>
                      <w:rFonts w:hint="eastAsia"/>
                      <w:highlight w:val="none"/>
                      <w:u w:val="none" w:color="auto"/>
                      <w:lang w:val="en-US" w:eastAsia="zh-CN"/>
                    </w:rPr>
                    <w:t>水膜除尘用水循环使用，不外排。</w:t>
                  </w:r>
                  <w:r>
                    <w:rPr>
                      <w:rFonts w:hint="eastAsia" w:ascii="Times New Roman" w:hAnsi="Times New Roman" w:cs="Times New Roman"/>
                      <w:color w:val="auto"/>
                      <w:highlight w:val="none"/>
                      <w:u w:val="none" w:color="auto"/>
                      <w:lang w:val="en-US" w:eastAsia="zh-CN"/>
                    </w:rPr>
                    <w:t>本项目所在区域不涉及饮用水水源保护区。</w:t>
                  </w:r>
                </w:p>
              </w:tc>
            </w:tr>
            <w:tr w14:paraId="5E1CE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6754F871">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6</w:t>
                  </w:r>
                </w:p>
              </w:tc>
              <w:tc>
                <w:tcPr>
                  <w:tcW w:w="2671" w:type="pct"/>
                  <w:tcBorders>
                    <w:tl2br w:val="nil"/>
                    <w:tr2bl w:val="nil"/>
                  </w:tcBorders>
                  <w:vAlign w:val="center"/>
                </w:tcPr>
                <w:p w14:paraId="268AE7D3">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饮用水水源二级保护区内禁止新建、改建、扩建向水体排放污染物的投资建设项目。原有排污口依法拆除或关闭。禁止设立装卸垃圾、粪便、油类和有毒物品的码头。</w:t>
                  </w:r>
                </w:p>
              </w:tc>
              <w:tc>
                <w:tcPr>
                  <w:tcW w:w="1931" w:type="pct"/>
                  <w:vMerge w:val="continue"/>
                  <w:tcBorders>
                    <w:tl2br w:val="nil"/>
                    <w:tr2bl w:val="nil"/>
                  </w:tcBorders>
                  <w:vAlign w:val="center"/>
                </w:tcPr>
                <w:p w14:paraId="6C32F6F5">
                  <w:pPr>
                    <w:pStyle w:val="30"/>
                    <w:bidi w:val="0"/>
                    <w:jc w:val="center"/>
                    <w:rPr>
                      <w:rFonts w:hint="default"/>
                      <w:color w:val="auto"/>
                      <w:highlight w:val="none"/>
                      <w:u w:val="none" w:color="auto"/>
                      <w:lang w:val="en-US" w:eastAsia="zh-CN"/>
                    </w:rPr>
                  </w:pPr>
                </w:p>
              </w:tc>
            </w:tr>
            <w:tr w14:paraId="5F1AC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17F5E36">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7</w:t>
                  </w:r>
                </w:p>
              </w:tc>
              <w:tc>
                <w:tcPr>
                  <w:tcW w:w="2671" w:type="pct"/>
                  <w:tcBorders>
                    <w:tl2br w:val="nil"/>
                    <w:tr2bl w:val="nil"/>
                  </w:tcBorders>
                  <w:vAlign w:val="center"/>
                </w:tcPr>
                <w:p w14:paraId="3B31BFFB">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禁止在水产种质资源保护区的岸线和河段范围内新建排污口、实施非法围垦河道和围湖造田造地等投资建设项目</w:t>
                  </w:r>
                </w:p>
              </w:tc>
              <w:tc>
                <w:tcPr>
                  <w:tcW w:w="1931" w:type="pct"/>
                  <w:vMerge w:val="continue"/>
                  <w:tcBorders>
                    <w:tl2br w:val="nil"/>
                    <w:tr2bl w:val="nil"/>
                  </w:tcBorders>
                  <w:vAlign w:val="center"/>
                </w:tcPr>
                <w:p w14:paraId="6C9D1DA9">
                  <w:pPr>
                    <w:pStyle w:val="30"/>
                    <w:bidi w:val="0"/>
                    <w:jc w:val="center"/>
                    <w:rPr>
                      <w:rFonts w:hint="default"/>
                      <w:color w:val="auto"/>
                      <w:highlight w:val="none"/>
                      <w:u w:val="none" w:color="auto"/>
                      <w:lang w:val="en-US" w:eastAsia="zh-CN"/>
                    </w:rPr>
                  </w:pPr>
                </w:p>
              </w:tc>
            </w:tr>
            <w:tr w14:paraId="0C2A1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49D0441">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8</w:t>
                  </w:r>
                </w:p>
              </w:tc>
              <w:tc>
                <w:tcPr>
                  <w:tcW w:w="2671" w:type="pct"/>
                  <w:tcBorders>
                    <w:tl2br w:val="nil"/>
                    <w:tr2bl w:val="nil"/>
                  </w:tcBorders>
                  <w:vAlign w:val="center"/>
                </w:tcPr>
                <w:p w14:paraId="620A7311">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除《中华人民共和国防洪法》规定的紧急防汛期采取的紧急措施外，禁止在国家湿地公园的岸线和河段范围内挖沙、采矿，以及以下不符合主体功能定位的行为和活动:(一)开(围)垦、填埋或者排干湿地。(二)截断湿地水源。(三)倾倒有毒有害物质、废弃物、垃圾。(四)从事房地产、度假村、高尔夫球场、风力发电、光伏发电等任何不符合主体功能定位的建设项目和开发活动。(五)破坏野生动物栖息地和迁徙通道、鱼类洄游通道滥采滥捕野生动植物。(六)引入外来物种。(七)擅自放牧、捕捞、取土、取水、排污、放生。(八)其他破坏湿地及其生态功能的活动</w:t>
                  </w:r>
                </w:p>
              </w:tc>
              <w:tc>
                <w:tcPr>
                  <w:tcW w:w="1931" w:type="pct"/>
                  <w:tcBorders>
                    <w:tl2br w:val="nil"/>
                    <w:tr2bl w:val="nil"/>
                  </w:tcBorders>
                  <w:vAlign w:val="center"/>
                </w:tcPr>
                <w:p w14:paraId="3D362312">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本项目为C4210金属废料和碎屑加工处理</w:t>
                  </w:r>
                  <w:r>
                    <w:rPr>
                      <w:rFonts w:hint="eastAsia" w:eastAsia="宋体" w:cs="Times New Roman"/>
                      <w:color w:val="auto"/>
                      <w:kern w:val="0"/>
                      <w:sz w:val="21"/>
                      <w:szCs w:val="20"/>
                      <w:highlight w:val="none"/>
                      <w:u w:val="none" w:color="auto"/>
                      <w:lang w:val="en-US" w:eastAsia="zh-CN" w:bidi="ar-SA"/>
                    </w:rPr>
                    <w:t>项目</w:t>
                  </w:r>
                  <w:r>
                    <w:rPr>
                      <w:rFonts w:hint="default"/>
                      <w:color w:val="auto"/>
                      <w:highlight w:val="none"/>
                      <w:u w:val="none" w:color="auto"/>
                      <w:lang w:val="en-US" w:eastAsia="zh-CN"/>
                    </w:rPr>
                    <w:t>，不涉及左侧所列行为和活动。</w:t>
                  </w:r>
                </w:p>
              </w:tc>
            </w:tr>
            <w:tr w14:paraId="10A26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11442223">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9</w:t>
                  </w:r>
                </w:p>
              </w:tc>
              <w:tc>
                <w:tcPr>
                  <w:tcW w:w="2671" w:type="pct"/>
                  <w:tcBorders>
                    <w:tl2br w:val="nil"/>
                    <w:tr2bl w:val="nil"/>
                  </w:tcBorders>
                  <w:vAlign w:val="center"/>
                </w:tcPr>
                <w:p w14:paraId="2D7B6F75">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围网、填埋湿地等侵占河湖水域或者违法利用、占用河湖岸线的行为。</w:t>
                  </w:r>
                </w:p>
              </w:tc>
              <w:tc>
                <w:tcPr>
                  <w:tcW w:w="1931" w:type="pct"/>
                  <w:tcBorders>
                    <w:tl2br w:val="nil"/>
                    <w:tr2bl w:val="nil"/>
                  </w:tcBorders>
                  <w:vAlign w:val="center"/>
                </w:tcPr>
                <w:p w14:paraId="58B354DB">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北距新墙河约</w:t>
                  </w:r>
                  <w:r>
                    <w:rPr>
                      <w:rFonts w:hint="eastAsia" w:eastAsia="宋体" w:cs="Times New Roman"/>
                      <w:color w:val="auto"/>
                      <w:highlight w:val="none"/>
                      <w:u w:val="none" w:color="auto"/>
                      <w:lang w:val="en-US" w:eastAsia="zh-CN"/>
                    </w:rPr>
                    <w:t>1.5</w:t>
                  </w:r>
                  <w:r>
                    <w:rPr>
                      <w:rFonts w:hint="default"/>
                      <w:color w:val="auto"/>
                      <w:highlight w:val="none"/>
                      <w:u w:val="none" w:color="auto"/>
                      <w:lang w:val="en-US" w:eastAsia="zh-CN"/>
                    </w:rPr>
                    <w:t>km，西北距洞庭湖约</w:t>
                  </w:r>
                  <w:r>
                    <w:rPr>
                      <w:rFonts w:hint="eastAsia" w:cs="Times New Roman"/>
                      <w:color w:val="auto"/>
                      <w:highlight w:val="none"/>
                      <w:u w:val="none" w:color="auto"/>
                      <w:lang w:val="en-US" w:eastAsia="zh-CN"/>
                    </w:rPr>
                    <w:t>20.5</w:t>
                  </w:r>
                  <w:r>
                    <w:rPr>
                      <w:rFonts w:hint="default"/>
                      <w:color w:val="auto"/>
                      <w:highlight w:val="none"/>
                      <w:u w:val="none" w:color="auto"/>
                      <w:lang w:val="en-US" w:eastAsia="zh-CN"/>
                    </w:rPr>
                    <w:t>km。本项目不占用长江流域河湖岸线，不涉及填湖造地、围湖造田及非法围垦河道等行为。</w:t>
                  </w:r>
                </w:p>
              </w:tc>
            </w:tr>
            <w:tr w14:paraId="72CBC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6B44F3E">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10</w:t>
                  </w:r>
                </w:p>
              </w:tc>
              <w:tc>
                <w:tcPr>
                  <w:tcW w:w="2671" w:type="pct"/>
                  <w:tcBorders>
                    <w:tl2br w:val="nil"/>
                    <w:tr2bl w:val="nil"/>
                  </w:tcBorders>
                  <w:vAlign w:val="center"/>
                </w:tcPr>
                <w:p w14:paraId="3F4FEE82">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禁止在《全国重要江河湖泊水功能区划》划定的河段及湖泊保护区、保留区内投资建设不利于水资源及自然生态保护的项目。</w:t>
                  </w:r>
                </w:p>
              </w:tc>
              <w:tc>
                <w:tcPr>
                  <w:tcW w:w="1931" w:type="pct"/>
                  <w:tcBorders>
                    <w:tl2br w:val="nil"/>
                    <w:tr2bl w:val="nil"/>
                  </w:tcBorders>
                  <w:vAlign w:val="center"/>
                </w:tcPr>
                <w:p w14:paraId="5AFA0EC4">
                  <w:pPr>
                    <w:pStyle w:val="30"/>
                    <w:bidi w:val="0"/>
                    <w:jc w:val="center"/>
                    <w:rPr>
                      <w:rFonts w:hint="default"/>
                      <w:color w:val="auto"/>
                      <w:highlight w:val="none"/>
                      <w:u w:val="none" w:color="auto"/>
                      <w:lang w:val="en-US" w:eastAsia="zh-CN"/>
                    </w:rPr>
                  </w:pPr>
                  <w:r>
                    <w:rPr>
                      <w:rFonts w:hint="default"/>
                      <w:i w:val="0"/>
                      <w:iCs w:val="0"/>
                      <w:color w:val="auto"/>
                      <w:highlight w:val="none"/>
                      <w:u w:val="none" w:color="auto"/>
                      <w:lang w:val="en-US" w:eastAsia="zh-CN"/>
                    </w:rPr>
                    <w:t>本项目无废水外排</w:t>
                  </w:r>
                  <w:r>
                    <w:rPr>
                      <w:rFonts w:hint="eastAsia"/>
                      <w:i w:val="0"/>
                      <w:iCs w:val="0"/>
                      <w:color w:val="auto"/>
                      <w:highlight w:val="none"/>
                      <w:u w:val="none" w:color="auto"/>
                      <w:lang w:val="en-US" w:eastAsia="zh-CN"/>
                    </w:rPr>
                    <w:t>且</w:t>
                  </w:r>
                  <w:r>
                    <w:rPr>
                      <w:rFonts w:hint="default"/>
                      <w:i w:val="0"/>
                      <w:iCs w:val="0"/>
                      <w:color w:val="auto"/>
                      <w:highlight w:val="none"/>
                      <w:u w:val="none" w:color="auto"/>
                      <w:lang w:val="en-US" w:eastAsia="zh-CN"/>
                    </w:rPr>
                    <w:t>不属于不利于水资源及自然生态保护的项目。</w:t>
                  </w:r>
                </w:p>
              </w:tc>
            </w:tr>
            <w:tr w14:paraId="28264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72538A5">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11</w:t>
                  </w:r>
                </w:p>
              </w:tc>
              <w:tc>
                <w:tcPr>
                  <w:tcW w:w="2671" w:type="pct"/>
                  <w:tcBorders>
                    <w:tl2br w:val="nil"/>
                    <w:tr2bl w:val="nil"/>
                  </w:tcBorders>
                  <w:vAlign w:val="center"/>
                </w:tcPr>
                <w:p w14:paraId="39BC46E5">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禁止未经许可在长江</w:t>
                  </w:r>
                  <w:r>
                    <w:rPr>
                      <w:rFonts w:hint="eastAsia"/>
                      <w:color w:val="auto"/>
                      <w:highlight w:val="none"/>
                      <w:u w:val="none" w:color="auto"/>
                      <w:lang w:val="en-US" w:eastAsia="zh-CN"/>
                    </w:rPr>
                    <w:t>干</w:t>
                  </w:r>
                  <w:r>
                    <w:rPr>
                      <w:rFonts w:hint="default"/>
                      <w:color w:val="auto"/>
                      <w:highlight w:val="none"/>
                      <w:u w:val="none" w:color="auto"/>
                      <w:lang w:val="en-US" w:eastAsia="zh-CN"/>
                    </w:rPr>
                    <w:t>支流及湖泊新设、改设或扩大排污口。</w:t>
                  </w:r>
                </w:p>
              </w:tc>
              <w:tc>
                <w:tcPr>
                  <w:tcW w:w="1931" w:type="pct"/>
                  <w:tcBorders>
                    <w:tl2br w:val="nil"/>
                    <w:tr2bl w:val="nil"/>
                  </w:tcBorders>
                  <w:vAlign w:val="center"/>
                </w:tcPr>
                <w:p w14:paraId="02A70128">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本项目无废水排放</w:t>
                  </w:r>
                </w:p>
              </w:tc>
            </w:tr>
            <w:tr w14:paraId="5A603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31E9366E">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12</w:t>
                  </w:r>
                </w:p>
              </w:tc>
              <w:tc>
                <w:tcPr>
                  <w:tcW w:w="2671" w:type="pct"/>
                  <w:tcBorders>
                    <w:tl2br w:val="nil"/>
                    <w:tr2bl w:val="nil"/>
                  </w:tcBorders>
                  <w:vAlign w:val="center"/>
                </w:tcPr>
                <w:p w14:paraId="68169B37">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1931" w:type="pct"/>
                  <w:tcBorders>
                    <w:tl2br w:val="nil"/>
                    <w:tr2bl w:val="nil"/>
                  </w:tcBorders>
                  <w:vAlign w:val="center"/>
                </w:tcPr>
                <w:p w14:paraId="0E1B2098">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本项目为C4210金属废料和碎屑加工处理</w:t>
                  </w:r>
                  <w:r>
                    <w:rPr>
                      <w:rFonts w:hint="eastAsia" w:eastAsia="宋体" w:cs="Times New Roman"/>
                      <w:color w:val="auto"/>
                      <w:kern w:val="0"/>
                      <w:sz w:val="21"/>
                      <w:szCs w:val="20"/>
                      <w:highlight w:val="none"/>
                      <w:u w:val="none" w:color="auto"/>
                      <w:lang w:val="en-US" w:eastAsia="zh-CN" w:bidi="ar-SA"/>
                    </w:rPr>
                    <w:t>项目</w:t>
                  </w:r>
                  <w:r>
                    <w:rPr>
                      <w:rFonts w:hint="default"/>
                      <w:color w:val="auto"/>
                      <w:highlight w:val="none"/>
                      <w:u w:val="none" w:color="auto"/>
                      <w:lang w:val="en-US" w:eastAsia="zh-CN"/>
                    </w:rPr>
                    <w:t>，不涉及在水生生物保护区开展生产性捕捞工作。</w:t>
                  </w:r>
                </w:p>
              </w:tc>
            </w:tr>
            <w:tr w14:paraId="240F0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5A9F824E">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13</w:t>
                  </w:r>
                </w:p>
              </w:tc>
              <w:tc>
                <w:tcPr>
                  <w:tcW w:w="2671" w:type="pct"/>
                  <w:tcBorders>
                    <w:tl2br w:val="nil"/>
                    <w:tr2bl w:val="nil"/>
                  </w:tcBorders>
                  <w:vAlign w:val="center"/>
                </w:tcPr>
                <w:p w14:paraId="063BFEE3">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库，以提升安全、生态环境保护水平为目的的改建除外。</w:t>
                  </w:r>
                </w:p>
              </w:tc>
              <w:tc>
                <w:tcPr>
                  <w:tcW w:w="1931" w:type="pct"/>
                  <w:tcBorders>
                    <w:tl2br w:val="nil"/>
                    <w:tr2bl w:val="nil"/>
                  </w:tcBorders>
                  <w:vAlign w:val="center"/>
                </w:tcPr>
                <w:p w14:paraId="31E07A04">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w:t>
                  </w:r>
                  <w:r>
                    <w:rPr>
                      <w:rFonts w:hint="eastAsia"/>
                      <w:color w:val="auto"/>
                      <w:highlight w:val="none"/>
                      <w:u w:val="none" w:color="auto"/>
                      <w:lang w:val="en-US" w:eastAsia="zh-CN"/>
                    </w:rPr>
                    <w:t>为</w:t>
                  </w:r>
                  <w:r>
                    <w:rPr>
                      <w:rFonts w:hint="default"/>
                      <w:color w:val="auto"/>
                      <w:highlight w:val="none"/>
                      <w:u w:val="none" w:color="auto"/>
                      <w:lang w:val="en-US" w:eastAsia="zh-CN"/>
                    </w:rPr>
                    <w:t>C4210金属废料和碎屑加工处理</w:t>
                  </w:r>
                  <w:r>
                    <w:rPr>
                      <w:rFonts w:hint="eastAsia" w:eastAsia="宋体" w:cs="Times New Roman"/>
                      <w:color w:val="auto"/>
                      <w:kern w:val="0"/>
                      <w:sz w:val="21"/>
                      <w:szCs w:val="20"/>
                      <w:highlight w:val="none"/>
                      <w:u w:val="none" w:color="auto"/>
                      <w:lang w:val="en-US" w:eastAsia="zh-CN" w:bidi="ar-SA"/>
                    </w:rPr>
                    <w:t>项目</w:t>
                  </w:r>
                  <w:r>
                    <w:rPr>
                      <w:rFonts w:hint="default"/>
                      <w:color w:val="auto"/>
                      <w:highlight w:val="none"/>
                      <w:u w:val="none" w:color="auto"/>
                      <w:lang w:val="en-US" w:eastAsia="zh-CN"/>
                    </w:rPr>
                    <w:t>，不属于化工项</w:t>
                  </w:r>
                  <w:r>
                    <w:rPr>
                      <w:rFonts w:hint="eastAsia"/>
                      <w:color w:val="auto"/>
                      <w:highlight w:val="none"/>
                      <w:u w:val="none" w:color="auto"/>
                      <w:lang w:val="en-US" w:eastAsia="zh-CN"/>
                    </w:rPr>
                    <w:t>目</w:t>
                  </w:r>
                  <w:r>
                    <w:rPr>
                      <w:rFonts w:hint="default"/>
                      <w:color w:val="auto"/>
                      <w:highlight w:val="none"/>
                      <w:u w:val="none" w:color="auto"/>
                      <w:lang w:val="en-US" w:eastAsia="zh-CN"/>
                    </w:rPr>
                    <w:t>。</w:t>
                  </w:r>
                </w:p>
              </w:tc>
            </w:tr>
            <w:tr w14:paraId="74F4F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7FD6CBAE">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14</w:t>
                  </w:r>
                </w:p>
              </w:tc>
              <w:tc>
                <w:tcPr>
                  <w:tcW w:w="2671" w:type="pct"/>
                  <w:tcBorders>
                    <w:tl2br w:val="nil"/>
                    <w:tr2bl w:val="nil"/>
                  </w:tcBorders>
                  <w:vAlign w:val="center"/>
                </w:tcPr>
                <w:p w14:paraId="39288BF1">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禁止在合规园区外新建、扩建钢铁、石化、化工、焦化、建材、有色、制浆造纸等高污染项目。高污染项目严格按照生态环境部《环境保护综合名录(2021年版)》有关要求执行。</w:t>
                  </w:r>
                </w:p>
              </w:tc>
              <w:tc>
                <w:tcPr>
                  <w:tcW w:w="1931" w:type="pct"/>
                  <w:vMerge w:val="restart"/>
                  <w:tcBorders>
                    <w:tl2br w:val="nil"/>
                    <w:tr2bl w:val="nil"/>
                  </w:tcBorders>
                  <w:vAlign w:val="center"/>
                </w:tcPr>
                <w:p w14:paraId="7C72B6C9">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本项目的国民经济行业类别为</w:t>
                  </w:r>
                  <w:r>
                    <w:rPr>
                      <w:rFonts w:hint="default" w:ascii="Times New Roman" w:hAnsi="Times New Roman" w:cs="Times New Roman"/>
                      <w:color w:val="auto"/>
                      <w:highlight w:val="none"/>
                      <w:u w:val="none" w:color="auto"/>
                      <w:lang w:val="en-US" w:eastAsia="zh-CN"/>
                    </w:rPr>
                    <w:t>“C4210金属废料和碎屑加工处理”</w:t>
                  </w:r>
                  <w:r>
                    <w:rPr>
                      <w:rFonts w:hint="eastAsia" w:ascii="Times New Roman" w:hAnsi="Times New Roman" w:cs="Times New Roman"/>
                      <w:color w:val="auto"/>
                      <w:highlight w:val="none"/>
                      <w:u w:val="none" w:color="auto"/>
                      <w:lang w:val="en-US" w:eastAsia="zh-CN"/>
                    </w:rPr>
                    <w:t>；</w:t>
                  </w:r>
                  <w:r>
                    <w:rPr>
                      <w:rFonts w:hint="default"/>
                      <w:color w:val="auto"/>
                      <w:highlight w:val="none"/>
                      <w:u w:val="none" w:color="auto"/>
                      <w:lang w:val="en-US" w:eastAsia="zh-CN"/>
                    </w:rPr>
                    <w:t>对照《湖南省“两高”项目管理目录》</w:t>
                  </w:r>
                  <w:r>
                    <w:rPr>
                      <w:rFonts w:hint="eastAsia"/>
                      <w:color w:val="auto"/>
                      <w:highlight w:val="none"/>
                      <w:u w:val="none" w:color="auto"/>
                      <w:lang w:val="en-US" w:eastAsia="zh-CN"/>
                    </w:rPr>
                    <w:t>可知</w:t>
                  </w:r>
                  <w:r>
                    <w:rPr>
                      <w:rFonts w:hint="default"/>
                      <w:color w:val="auto"/>
                      <w:highlight w:val="none"/>
                      <w:u w:val="none" w:color="auto"/>
                      <w:lang w:val="en-US" w:eastAsia="zh-CN"/>
                    </w:rPr>
                    <w:t>，本项目不属于“两高”项目的范畴;同时，本项目不属于石化、现代煤化工项目。</w:t>
                  </w:r>
                </w:p>
              </w:tc>
            </w:tr>
            <w:tr w14:paraId="1C3A4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66C6ECA">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15</w:t>
                  </w:r>
                </w:p>
              </w:tc>
              <w:tc>
                <w:tcPr>
                  <w:tcW w:w="2671" w:type="pct"/>
                  <w:tcBorders>
                    <w:tl2br w:val="nil"/>
                    <w:tr2bl w:val="nil"/>
                  </w:tcBorders>
                  <w:vAlign w:val="center"/>
                </w:tcPr>
                <w:p w14:paraId="31A94E83">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禁止新建、扩建不符合国家石化、现代煤化工等产业布局规划的项目。未通过认定的化工园区，不得新建、改扩建化工项目(安全、环保、节能和智能</w:t>
                  </w:r>
                </w:p>
                <w:p w14:paraId="0617147A">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化改造项目除外)。</w:t>
                  </w:r>
                </w:p>
              </w:tc>
              <w:tc>
                <w:tcPr>
                  <w:tcW w:w="1931" w:type="pct"/>
                  <w:vMerge w:val="continue"/>
                  <w:tcBorders>
                    <w:tl2br w:val="nil"/>
                    <w:tr2bl w:val="nil"/>
                  </w:tcBorders>
                  <w:vAlign w:val="center"/>
                </w:tcPr>
                <w:p w14:paraId="4C9795AB">
                  <w:pPr>
                    <w:pStyle w:val="30"/>
                    <w:bidi w:val="0"/>
                    <w:jc w:val="center"/>
                    <w:rPr>
                      <w:rFonts w:hint="default"/>
                      <w:color w:val="auto"/>
                      <w:highlight w:val="none"/>
                      <w:u w:val="none" w:color="auto"/>
                      <w:lang w:val="en-US" w:eastAsia="zh-CN"/>
                    </w:rPr>
                  </w:pPr>
                </w:p>
              </w:tc>
            </w:tr>
            <w:tr w14:paraId="2CB6F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vAlign w:val="center"/>
                </w:tcPr>
                <w:p w14:paraId="2230838B">
                  <w:pPr>
                    <w:pStyle w:val="30"/>
                    <w:bidi w:val="0"/>
                    <w:jc w:val="center"/>
                    <w:rPr>
                      <w:rFonts w:hint="default"/>
                      <w:color w:val="auto"/>
                      <w:highlight w:val="none"/>
                      <w:u w:val="none" w:color="auto"/>
                      <w:lang w:val="en-US" w:eastAsia="zh-CN"/>
                    </w:rPr>
                  </w:pPr>
                  <w:r>
                    <w:rPr>
                      <w:rFonts w:hint="eastAsia"/>
                      <w:color w:val="auto"/>
                      <w:highlight w:val="none"/>
                      <w:u w:val="none" w:color="auto"/>
                      <w:lang w:val="en-US" w:eastAsia="zh-CN"/>
                    </w:rPr>
                    <w:t>16</w:t>
                  </w:r>
                </w:p>
              </w:tc>
              <w:tc>
                <w:tcPr>
                  <w:tcW w:w="2671" w:type="pct"/>
                  <w:tcBorders>
                    <w:tl2br w:val="nil"/>
                    <w:tr2bl w:val="nil"/>
                  </w:tcBorders>
                  <w:vAlign w:val="center"/>
                </w:tcPr>
                <w:p w14:paraId="4F0ABB6F">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931" w:type="pct"/>
                  <w:tcBorders>
                    <w:tl2br w:val="nil"/>
                    <w:tr2bl w:val="nil"/>
                  </w:tcBorders>
                  <w:vAlign w:val="center"/>
                </w:tcPr>
                <w:p w14:paraId="7EFCE8E8">
                  <w:pPr>
                    <w:pStyle w:val="30"/>
                    <w:bidi w:val="0"/>
                    <w:jc w:val="center"/>
                    <w:rPr>
                      <w:rFonts w:hint="default"/>
                      <w:color w:val="auto"/>
                      <w:highlight w:val="none"/>
                      <w:u w:val="none" w:color="auto"/>
                      <w:lang w:val="en-US" w:eastAsia="zh-CN"/>
                    </w:rPr>
                  </w:pPr>
                  <w:r>
                    <w:rPr>
                      <w:rFonts w:hint="default"/>
                      <w:color w:val="auto"/>
                      <w:highlight w:val="none"/>
                      <w:u w:val="none" w:color="auto"/>
                      <w:lang w:val="en-US" w:eastAsia="zh-CN"/>
                    </w:rPr>
                    <w:t>根据《产业结构调整指导目录（2024年本）》中有关规定，本项目不属于鼓励类、限制类和禁止类、淘汰类范围，属于允许类</w:t>
                  </w:r>
                  <w:r>
                    <w:rPr>
                      <w:rFonts w:hint="eastAsia"/>
                      <w:color w:val="auto"/>
                      <w:highlight w:val="none"/>
                      <w:u w:val="none" w:color="auto"/>
                      <w:lang w:val="en-US" w:eastAsia="zh-CN"/>
                    </w:rPr>
                    <w:t>。</w:t>
                  </w:r>
                </w:p>
              </w:tc>
            </w:tr>
          </w:tbl>
          <w:p w14:paraId="6B811ADD">
            <w:pPr>
              <w:pStyle w:val="25"/>
              <w:bidi w:val="0"/>
              <w:rPr>
                <w:color w:val="auto"/>
                <w:highlight w:val="none"/>
                <w:u w:val="none" w:color="auto"/>
              </w:rPr>
            </w:pPr>
            <w:r>
              <w:rPr>
                <w:rFonts w:hint="eastAsia"/>
                <w:color w:val="auto"/>
                <w:highlight w:val="none"/>
                <w:u w:val="none" w:color="auto"/>
              </w:rPr>
              <w:t>根据上表可知，本项目符合区域发展规划，不属于高耗能、高排放项目符合《湖南省长江经济带发展负面清单实施细则(试行，2022年版)》有关规定。</w:t>
            </w:r>
          </w:p>
          <w:p w14:paraId="3DAF2079">
            <w:pPr>
              <w:pStyle w:val="25"/>
              <w:bidi w:val="0"/>
              <w:ind w:left="0" w:leftChars="0" w:firstLine="0" w:firstLineChars="0"/>
              <w:rPr>
                <w:rFonts w:hint="default"/>
                <w:b/>
                <w:bCs/>
                <w:highlight w:val="none"/>
                <w:u w:val="none" w:color="auto"/>
                <w:lang w:val="en-US" w:eastAsia="zh-CN"/>
              </w:rPr>
            </w:pPr>
            <w:r>
              <w:rPr>
                <w:rFonts w:hint="eastAsia"/>
                <w:b/>
                <w:bCs/>
                <w:highlight w:val="none"/>
                <w:u w:val="none" w:color="auto"/>
                <w:lang w:val="en-US" w:eastAsia="zh-CN"/>
              </w:rPr>
              <w:t>五、与</w:t>
            </w:r>
            <w:r>
              <w:rPr>
                <w:rFonts w:hint="default"/>
                <w:b/>
                <w:bCs/>
                <w:highlight w:val="none"/>
                <w:u w:val="none" w:color="auto"/>
                <w:lang w:val="en-US" w:eastAsia="zh-CN"/>
              </w:rPr>
              <w:t>《湖南省工业炉窑大气污染综合治理实施方案》湘环发〔2020〕6号相符性分析</w:t>
            </w:r>
          </w:p>
          <w:p w14:paraId="1009FC86">
            <w:pPr>
              <w:pStyle w:val="25"/>
              <w:bidi w:val="0"/>
              <w:rPr>
                <w:rFonts w:hint="default"/>
                <w:highlight w:val="none"/>
                <w:u w:val="none" w:color="auto"/>
                <w:lang w:val="en-US" w:eastAsia="zh-CN"/>
              </w:rPr>
            </w:pPr>
            <w:r>
              <w:rPr>
                <w:rFonts w:hint="eastAsia"/>
                <w:highlight w:val="none"/>
                <w:u w:val="none" w:color="auto"/>
                <w:lang w:val="en-US" w:eastAsia="zh-CN"/>
              </w:rPr>
              <w:t>本项目与</w:t>
            </w:r>
            <w:r>
              <w:rPr>
                <w:highlight w:val="none"/>
                <w:u w:val="none" w:color="auto"/>
              </w:rPr>
              <w:t>《湖南省工业炉窑大气污染综合治理实施方案》湘环发〔2020〕6号</w:t>
            </w:r>
            <w:r>
              <w:rPr>
                <w:rFonts w:hint="default"/>
                <w:highlight w:val="none"/>
                <w:u w:val="none" w:color="auto"/>
                <w:lang w:val="en-US" w:eastAsia="zh-CN"/>
              </w:rPr>
              <w:t>的相符性分析</w:t>
            </w:r>
            <w:r>
              <w:rPr>
                <w:rFonts w:hint="eastAsia"/>
                <w:highlight w:val="none"/>
                <w:u w:val="none" w:color="auto"/>
                <w:lang w:val="en-US" w:eastAsia="zh-CN"/>
              </w:rPr>
              <w:t>详见下表。</w:t>
            </w:r>
          </w:p>
          <w:p w14:paraId="2A9BE668">
            <w:pPr>
              <w:pStyle w:val="30"/>
              <w:bidi w:val="0"/>
              <w:jc w:val="center"/>
              <w:rPr>
                <w:b/>
                <w:bCs/>
                <w:highlight w:val="none"/>
                <w:u w:val="none" w:color="auto"/>
              </w:rPr>
            </w:pPr>
            <w:r>
              <w:rPr>
                <w:rFonts w:hint="eastAsia"/>
                <w:b/>
                <w:bCs/>
                <w:highlight w:val="none"/>
                <w:u w:val="none" w:color="auto"/>
                <w:lang w:val="en-US" w:eastAsia="zh-CN"/>
              </w:rPr>
              <w:t xml:space="preserve">表1-4   </w:t>
            </w:r>
            <w:r>
              <w:rPr>
                <w:b/>
                <w:bCs/>
                <w:highlight w:val="none"/>
                <w:u w:val="none" w:color="auto"/>
              </w:rPr>
              <w:t>《湖南省工业炉窑大气污染综合治理实施方案》湘环发〔2020〕6号相符性分析表</w:t>
            </w:r>
          </w:p>
          <w:tbl>
            <w:tblPr>
              <w:tblStyle w:val="18"/>
              <w:tblW w:w="67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3969"/>
              <w:gridCol w:w="1843"/>
              <w:gridCol w:w="509"/>
            </w:tblGrid>
            <w:tr w14:paraId="7CB7D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14:paraId="304A045B">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序号</w:t>
                  </w:r>
                </w:p>
              </w:tc>
              <w:tc>
                <w:tcPr>
                  <w:tcW w:w="3969" w:type="dxa"/>
                  <w:noWrap w:val="0"/>
                  <w:vAlign w:val="center"/>
                </w:tcPr>
                <w:p w14:paraId="2DCD262E">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规范条件</w:t>
                  </w:r>
                </w:p>
              </w:tc>
              <w:tc>
                <w:tcPr>
                  <w:tcW w:w="1843" w:type="dxa"/>
                  <w:noWrap w:val="0"/>
                  <w:vAlign w:val="center"/>
                </w:tcPr>
                <w:p w14:paraId="0CB42AD2">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本项目建设内容</w:t>
                  </w:r>
                </w:p>
              </w:tc>
              <w:tc>
                <w:tcPr>
                  <w:tcW w:w="509" w:type="dxa"/>
                  <w:noWrap w:val="0"/>
                  <w:vAlign w:val="center"/>
                </w:tcPr>
                <w:p w14:paraId="26B22FBB">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结论</w:t>
                  </w:r>
                </w:p>
              </w:tc>
            </w:tr>
            <w:tr w14:paraId="759F7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451" w:type="dxa"/>
                  <w:noWrap w:val="0"/>
                  <w:vAlign w:val="center"/>
                </w:tcPr>
                <w:p w14:paraId="514D0EF2">
                  <w:pPr>
                    <w:adjustRightInd w:val="0"/>
                    <w:snapToGrid w:val="0"/>
                    <w:spacing w:before="1920" w:beforeLines="800" w:line="360" w:lineRule="auto"/>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w:t>
                  </w:r>
                </w:p>
              </w:tc>
              <w:tc>
                <w:tcPr>
                  <w:tcW w:w="3969" w:type="dxa"/>
                  <w:noWrap w:val="0"/>
                  <w:vAlign w:val="center"/>
                </w:tcPr>
                <w:p w14:paraId="2958AAC0">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有组织排放控制要求。已有行业排放标准的工业</w:t>
                  </w:r>
                  <w:r>
                    <w:rPr>
                      <w:rFonts w:hint="eastAsia" w:cs="Times New Roman"/>
                      <w:szCs w:val="21"/>
                      <w:highlight w:val="none"/>
                      <w:u w:val="none" w:color="auto"/>
                      <w:lang w:val="en-US" w:eastAsia="zh-CN"/>
                    </w:rPr>
                    <w:t>炉窑</w:t>
                  </w:r>
                  <w:r>
                    <w:rPr>
                      <w:rFonts w:ascii="Times New Roman" w:hAnsi="Times New Roman" w:eastAsia="宋体" w:cs="Times New Roman"/>
                      <w:szCs w:val="21"/>
                      <w:highlight w:val="none"/>
                      <w:u w:val="none" w:color="auto"/>
                    </w:rPr>
                    <w:t>，严格按行业排放标准执行，已发放排污许可证的，应严格执行排污许可要求。暂未制订行业排放标准的工业炉密，待地方标准出台后执行，现阶段长沙市、株洲市、湘潭市以及常德市、岳阳市益阳市等传输通道城市按照颗粒物、二氧化硫、氮氧化物排放限值分别不高于30、200、300毫克/立方米实施改造，其中，日用玻璃、玻璃棉行业氮氧化物排放限值不高于400毫克/立方米水泥生产企业氮氧化物排放限值不高于100毫克/立方米，铸造行业烧结、高炉工序污染排放控制按照钢铁行业相关标准要求执行。</w:t>
                  </w:r>
                </w:p>
              </w:tc>
              <w:tc>
                <w:tcPr>
                  <w:tcW w:w="1843" w:type="dxa"/>
                  <w:noWrap w:val="0"/>
                  <w:vAlign w:val="center"/>
                </w:tcPr>
                <w:p w14:paraId="7AFFEDAF">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本建设项目位于</w:t>
                  </w:r>
                  <w:r>
                    <w:rPr>
                      <w:rFonts w:hint="eastAsia" w:ascii="Times New Roman" w:hAnsi="Times New Roman" w:eastAsia="宋体" w:cs="Times New Roman"/>
                      <w:szCs w:val="21"/>
                      <w:highlight w:val="none"/>
                      <w:u w:val="none" w:color="auto"/>
                      <w:lang w:val="en-US" w:eastAsia="zh-CN"/>
                    </w:rPr>
                    <w:t>湖南省岳阳市岳阳县</w:t>
                  </w:r>
                  <w:r>
                    <w:rPr>
                      <w:rFonts w:hint="eastAsia" w:cs="Times New Roman"/>
                      <w:szCs w:val="21"/>
                      <w:highlight w:val="none"/>
                      <w:u w:val="none" w:color="auto"/>
                      <w:lang w:val="en-US" w:eastAsia="zh-CN"/>
                    </w:rPr>
                    <w:t>新墙镇</w:t>
                  </w:r>
                  <w:r>
                    <w:rPr>
                      <w:rFonts w:ascii="Times New Roman" w:hAnsi="Times New Roman" w:eastAsia="宋体" w:cs="Times New Roman"/>
                      <w:szCs w:val="21"/>
                      <w:highlight w:val="none"/>
                      <w:u w:val="none" w:color="auto"/>
                    </w:rPr>
                    <w:t>，颗粒物、二氧化硫、氮氧化物排放限值分别不高于30、200、300毫克/立方米。</w:t>
                  </w:r>
                </w:p>
              </w:tc>
              <w:tc>
                <w:tcPr>
                  <w:tcW w:w="509" w:type="dxa"/>
                  <w:noWrap w:val="0"/>
                  <w:vAlign w:val="center"/>
                </w:tcPr>
                <w:p w14:paraId="646DA7D7">
                  <w:pPr>
                    <w:pStyle w:val="30"/>
                    <w:bidi w:val="0"/>
                    <w:jc w:val="center"/>
                    <w:rPr>
                      <w:rFonts w:ascii="Times New Roman" w:hAnsi="Times New Roman" w:eastAsia="宋体" w:cs="Times New Roman"/>
                      <w:szCs w:val="21"/>
                      <w:highlight w:val="none"/>
                      <w:u w:val="none" w:color="auto"/>
                    </w:rPr>
                  </w:pPr>
                  <w:r>
                    <w:rPr>
                      <w:highlight w:val="none"/>
                      <w:u w:val="none" w:color="auto"/>
                    </w:rPr>
                    <w:t>符合</w:t>
                  </w:r>
                </w:p>
              </w:tc>
            </w:tr>
            <w:tr w14:paraId="4790F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14:paraId="32863010">
                  <w:pPr>
                    <w:adjustRightInd w:val="0"/>
                    <w:snapToGrid w:val="0"/>
                    <w:spacing w:before="1920" w:beforeLines="800" w:line="360" w:lineRule="auto"/>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w:t>
                  </w:r>
                </w:p>
              </w:tc>
              <w:tc>
                <w:tcPr>
                  <w:tcW w:w="3969" w:type="dxa"/>
                  <w:noWrap w:val="0"/>
                  <w:vAlign w:val="center"/>
                </w:tcPr>
                <w:p w14:paraId="153D4F56">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无组织排放控制要求。严格控制工业炉窑生产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843" w:type="dxa"/>
                  <w:noWrap w:val="0"/>
                  <w:vAlign w:val="center"/>
                </w:tcPr>
                <w:p w14:paraId="2E295CDB">
                  <w:pPr>
                    <w:adjustRightInd w:val="0"/>
                    <w:snapToGrid w:val="0"/>
                    <w:jc w:val="center"/>
                    <w:rPr>
                      <w:rFonts w:ascii="Times New Roman" w:hAnsi="Times New Roman" w:eastAsia="宋体" w:cs="Times New Roman"/>
                      <w:szCs w:val="21"/>
                      <w:highlight w:val="none"/>
                      <w:u w:val="none" w:color="auto"/>
                    </w:rPr>
                  </w:pPr>
                  <w:r>
                    <w:rPr>
                      <w:rFonts w:hint="eastAsia" w:ascii="Times New Roman" w:hAnsi="Times New Roman" w:eastAsia="宋体" w:cs="Times New Roman"/>
                      <w:szCs w:val="21"/>
                      <w:highlight w:val="none"/>
                      <w:u w:val="none" w:color="auto"/>
                    </w:rPr>
                    <w:t>本项目</w:t>
                  </w:r>
                  <w:r>
                    <w:rPr>
                      <w:rFonts w:hint="eastAsia" w:cs="Times New Roman"/>
                      <w:szCs w:val="21"/>
                      <w:highlight w:val="none"/>
                      <w:u w:val="none" w:color="auto"/>
                      <w:lang w:val="en-US" w:eastAsia="zh-CN"/>
                    </w:rPr>
                    <w:t>设置</w:t>
                  </w:r>
                  <w:r>
                    <w:rPr>
                      <w:rFonts w:hint="eastAsia" w:ascii="Times New Roman" w:hAnsi="Times New Roman" w:cs="Times New Roman"/>
                      <w:szCs w:val="21"/>
                      <w:highlight w:val="none"/>
                      <w:u w:val="none" w:color="auto"/>
                      <w:lang w:val="en-US" w:eastAsia="zh-CN"/>
                    </w:rPr>
                    <w:t>2</w:t>
                  </w:r>
                  <w:r>
                    <w:rPr>
                      <w:rFonts w:hint="eastAsia" w:ascii="Times New Roman" w:hAnsi="Times New Roman" w:eastAsia="宋体" w:cs="Times New Roman"/>
                      <w:szCs w:val="21"/>
                      <w:highlight w:val="none"/>
                      <w:u w:val="none" w:color="auto"/>
                    </w:rPr>
                    <w:t>台</w:t>
                  </w:r>
                  <w:r>
                    <w:rPr>
                      <w:rFonts w:hint="eastAsia" w:ascii="Times New Roman" w:hAnsi="Times New Roman" w:cs="Times New Roman"/>
                      <w:szCs w:val="21"/>
                      <w:highlight w:val="none"/>
                      <w:u w:val="none" w:color="auto"/>
                      <w:lang w:val="en-US" w:eastAsia="zh-CN"/>
                    </w:rPr>
                    <w:t>焚烧</w:t>
                  </w:r>
                  <w:r>
                    <w:rPr>
                      <w:rFonts w:hint="eastAsia" w:ascii="Times New Roman" w:hAnsi="Times New Roman" w:eastAsia="宋体" w:cs="Times New Roman"/>
                      <w:szCs w:val="21"/>
                      <w:highlight w:val="none"/>
                      <w:u w:val="none" w:color="auto"/>
                    </w:rPr>
                    <w:t>炉，该工业炉窑在物料储存、输送等过程采取密闭作业</w:t>
                  </w:r>
                </w:p>
              </w:tc>
              <w:tc>
                <w:tcPr>
                  <w:tcW w:w="509" w:type="dxa"/>
                  <w:noWrap w:val="0"/>
                  <w:vAlign w:val="center"/>
                </w:tcPr>
                <w:p w14:paraId="15F900F7">
                  <w:pPr>
                    <w:pStyle w:val="30"/>
                    <w:bidi w:val="0"/>
                    <w:jc w:val="center"/>
                    <w:rPr>
                      <w:rFonts w:ascii="Times New Roman" w:hAnsi="Times New Roman" w:eastAsia="宋体" w:cs="Times New Roman"/>
                      <w:szCs w:val="21"/>
                      <w:highlight w:val="none"/>
                      <w:u w:val="none" w:color="auto"/>
                    </w:rPr>
                  </w:pPr>
                  <w:r>
                    <w:rPr>
                      <w:highlight w:val="none"/>
                      <w:u w:val="none" w:color="auto"/>
                    </w:rPr>
                    <w:t>符合</w:t>
                  </w:r>
                </w:p>
              </w:tc>
            </w:tr>
          </w:tbl>
          <w:p w14:paraId="36664676">
            <w:pPr>
              <w:pStyle w:val="25"/>
              <w:bidi w:val="0"/>
              <w:rPr>
                <w:rFonts w:hint="eastAsia"/>
                <w:highlight w:val="none"/>
                <w:u w:val="none" w:color="auto"/>
                <w:lang w:val="en-US" w:eastAsia="zh-CN"/>
              </w:rPr>
            </w:pPr>
            <w:r>
              <w:rPr>
                <w:rFonts w:hint="eastAsia"/>
                <w:highlight w:val="none"/>
                <w:u w:val="none" w:color="auto"/>
                <w:lang w:val="en-US" w:eastAsia="zh-CN"/>
              </w:rPr>
              <w:t>综上所述，本项目与</w:t>
            </w:r>
            <w:r>
              <w:rPr>
                <w:highlight w:val="none"/>
                <w:u w:val="none" w:color="auto"/>
              </w:rPr>
              <w:t>《湖南省工业炉窑大气污染综合治理实施方案》</w:t>
            </w:r>
            <w:r>
              <w:rPr>
                <w:rFonts w:hint="eastAsia"/>
                <w:highlight w:val="none"/>
                <w:u w:val="none" w:color="auto"/>
                <w:lang w:eastAsia="zh-CN"/>
              </w:rPr>
              <w:t>（</w:t>
            </w:r>
            <w:r>
              <w:rPr>
                <w:highlight w:val="none"/>
                <w:u w:val="none" w:color="auto"/>
              </w:rPr>
              <w:t>湘环发〔2020〕6号</w:t>
            </w:r>
            <w:r>
              <w:rPr>
                <w:rFonts w:hint="eastAsia"/>
                <w:highlight w:val="none"/>
                <w:u w:val="none" w:color="auto"/>
                <w:lang w:eastAsia="zh-CN"/>
              </w:rPr>
              <w:t>）</w:t>
            </w:r>
            <w:r>
              <w:rPr>
                <w:rFonts w:hint="eastAsia"/>
                <w:highlight w:val="none"/>
                <w:u w:val="none" w:color="auto"/>
                <w:lang w:val="en-US" w:eastAsia="zh-CN"/>
              </w:rPr>
              <w:t>相符。</w:t>
            </w:r>
          </w:p>
          <w:p w14:paraId="3CB91BEC">
            <w:pPr>
              <w:pStyle w:val="25"/>
              <w:bidi w:val="0"/>
              <w:ind w:left="0" w:leftChars="0" w:firstLine="0" w:firstLineChars="0"/>
              <w:rPr>
                <w:rFonts w:hint="eastAsia" w:ascii="Times New Roman" w:hAnsi="Times New Roman" w:eastAsia="宋体" w:cs="Times New Roman"/>
                <w:b/>
                <w:color w:val="auto"/>
                <w:kern w:val="2"/>
                <w:sz w:val="24"/>
                <w:szCs w:val="24"/>
                <w:highlight w:val="none"/>
                <w:u w:val="none" w:color="auto"/>
                <w:lang w:val="en-US" w:eastAsia="zh-CN" w:bidi="ar"/>
              </w:rPr>
            </w:pPr>
            <w:r>
              <w:rPr>
                <w:rFonts w:hint="eastAsia" w:ascii="Times New Roman" w:hAnsi="Times New Roman" w:eastAsia="宋体" w:cs="Times New Roman"/>
                <w:b/>
                <w:color w:val="auto"/>
                <w:kern w:val="2"/>
                <w:sz w:val="24"/>
                <w:szCs w:val="24"/>
                <w:highlight w:val="none"/>
                <w:u w:val="none" w:color="auto"/>
                <w:lang w:val="en-US" w:eastAsia="zh-CN" w:bidi="ar"/>
              </w:rPr>
              <w:t>六、与</w:t>
            </w:r>
            <w:r>
              <w:rPr>
                <w:rFonts w:hint="default" w:ascii="Times New Roman" w:hAnsi="Times New Roman" w:eastAsia="宋体" w:cs="Times New Roman"/>
                <w:b/>
                <w:color w:val="auto"/>
                <w:kern w:val="2"/>
                <w:sz w:val="24"/>
                <w:szCs w:val="24"/>
                <w:highlight w:val="none"/>
                <w:u w:val="none" w:color="auto"/>
                <w:lang w:val="en-US" w:eastAsia="zh-CN" w:bidi="ar"/>
              </w:rPr>
              <w:t>《湖南省空气质量持续改善行动计划实施方案》</w:t>
            </w:r>
            <w:r>
              <w:rPr>
                <w:rFonts w:hint="eastAsia" w:ascii="Times New Roman" w:hAnsi="Times New Roman" w:eastAsia="宋体" w:cs="Times New Roman"/>
                <w:b/>
                <w:color w:val="auto"/>
                <w:kern w:val="2"/>
                <w:sz w:val="24"/>
                <w:szCs w:val="24"/>
                <w:highlight w:val="none"/>
                <w:u w:val="none" w:color="auto"/>
                <w:lang w:val="en-US" w:eastAsia="zh-CN" w:bidi="ar"/>
              </w:rPr>
              <w:t>湘政办发（</w:t>
            </w:r>
            <w:r>
              <w:rPr>
                <w:rFonts w:hint="default" w:ascii="Times New Roman" w:hAnsi="Times New Roman" w:eastAsia="宋体" w:cs="Times New Roman"/>
                <w:b/>
                <w:color w:val="auto"/>
                <w:kern w:val="2"/>
                <w:sz w:val="24"/>
                <w:szCs w:val="24"/>
                <w:highlight w:val="none"/>
                <w:u w:val="none" w:color="auto"/>
                <w:lang w:val="en-US" w:eastAsia="zh-CN" w:bidi="ar"/>
              </w:rPr>
              <w:t>〔2024〕</w:t>
            </w:r>
            <w:r>
              <w:rPr>
                <w:rFonts w:hint="eastAsia" w:ascii="Times New Roman" w:hAnsi="Times New Roman" w:eastAsia="宋体" w:cs="Times New Roman"/>
                <w:b/>
                <w:color w:val="auto"/>
                <w:kern w:val="2"/>
                <w:sz w:val="24"/>
                <w:szCs w:val="24"/>
                <w:highlight w:val="none"/>
                <w:u w:val="none" w:color="auto"/>
                <w:lang w:val="en-US" w:eastAsia="zh-CN" w:bidi="ar"/>
              </w:rPr>
              <w:t>3</w:t>
            </w:r>
            <w:r>
              <w:rPr>
                <w:rFonts w:hint="default" w:ascii="Times New Roman" w:hAnsi="Times New Roman" w:eastAsia="宋体" w:cs="Times New Roman"/>
                <w:b/>
                <w:color w:val="auto"/>
                <w:kern w:val="2"/>
                <w:sz w:val="24"/>
                <w:szCs w:val="24"/>
                <w:highlight w:val="none"/>
                <w:u w:val="none" w:color="auto"/>
                <w:lang w:val="en-US" w:eastAsia="zh-CN" w:bidi="ar"/>
              </w:rPr>
              <w:t>3</w:t>
            </w:r>
            <w:r>
              <w:rPr>
                <w:rFonts w:hint="eastAsia" w:ascii="Times New Roman" w:hAnsi="Times New Roman" w:eastAsia="宋体" w:cs="Times New Roman"/>
                <w:b/>
                <w:color w:val="auto"/>
                <w:kern w:val="2"/>
                <w:sz w:val="24"/>
                <w:szCs w:val="24"/>
                <w:highlight w:val="none"/>
                <w:u w:val="none" w:color="auto"/>
                <w:lang w:val="en-US" w:eastAsia="zh-CN" w:bidi="ar"/>
              </w:rPr>
              <w:t>号）相关性分析</w:t>
            </w:r>
          </w:p>
          <w:p w14:paraId="67BB6A32">
            <w:pPr>
              <w:pStyle w:val="25"/>
              <w:bidi w:val="0"/>
              <w:rPr>
                <w:highlight w:val="none"/>
                <w:u w:val="none" w:color="auto"/>
              </w:rPr>
            </w:pPr>
            <w:r>
              <w:rPr>
                <w:highlight w:val="none"/>
                <w:u w:val="none" w:color="auto"/>
              </w:rPr>
              <w:t>关于印发《湖南省空气质量持续改善行动计划实施方案》的通知中提到：“（八）实施工业炉窑清洁能源替代。以使用高污染燃料的工业炉窑为重点，大力推进电能、天然气替代。新改扩建加热炉、热处理炉、干燥炉、熔化炉原则上采用清洁低碳能源。全省原则上不再新增燃料类煤气发生炉，逐步淘汰固定床间歇式煤气发生炉。”</w:t>
            </w:r>
          </w:p>
          <w:p w14:paraId="7C04179C">
            <w:pPr>
              <w:pStyle w:val="25"/>
              <w:bidi w:val="0"/>
            </w:pPr>
            <w:r>
              <w:t>本项目配套建设的</w:t>
            </w:r>
            <w:r>
              <w:rPr>
                <w:rFonts w:hint="eastAsia"/>
                <w:lang w:val="en-US" w:eastAsia="zh-CN"/>
              </w:rPr>
              <w:t>2</w:t>
            </w:r>
            <w:r>
              <w:t>台焚烧炉，燃料采用生物质颗粒及钢瓶抽残回收的液化石油气残液：其中生物质颗粒属于清洁低碳能源，燃烧过程具备碳中性特征，硫含量极低，氮氧化物排放强度远低于煤炭、重油、石油焦等高污染燃料；液化石油气残液为项目处置钢瓶过程中回收的副产物，其燃烧排放的污染物浓度亦显著低于高污染燃料限值要求。</w:t>
            </w:r>
          </w:p>
          <w:p w14:paraId="03ED5F23">
            <w:pPr>
              <w:pStyle w:val="25"/>
              <w:bidi w:val="0"/>
              <w:rPr>
                <w:highlight w:val="none"/>
                <w:u w:val="none" w:color="auto"/>
              </w:rPr>
            </w:pPr>
            <w:r>
              <w:rPr>
                <w:highlight w:val="none"/>
                <w:u w:val="none" w:color="auto"/>
              </w:rPr>
              <w:t>因此，本项目符合《湖南省空气质量持续改善行动计划实施方案》中相关产业政策要求。</w:t>
            </w:r>
          </w:p>
          <w:p w14:paraId="6444E665">
            <w:pPr>
              <w:autoSpaceDE w:val="0"/>
              <w:autoSpaceDN w:val="0"/>
              <w:spacing w:line="360" w:lineRule="auto"/>
              <w:jc w:val="left"/>
              <w:rPr>
                <w:rFonts w:hint="default" w:ascii="Times New Roman" w:hAnsi="Times New Roman" w:eastAsia="宋体" w:cs="Times New Roman"/>
                <w:b/>
                <w:color w:val="auto"/>
                <w:sz w:val="24"/>
                <w:highlight w:val="none"/>
                <w:u w:val="none" w:color="auto"/>
                <w:lang w:val="en-US" w:eastAsia="zh-CN" w:bidi="ar"/>
              </w:rPr>
            </w:pPr>
            <w:r>
              <w:rPr>
                <w:rFonts w:hint="eastAsia" w:cs="Times New Roman"/>
                <w:b/>
                <w:color w:val="auto"/>
                <w:sz w:val="24"/>
                <w:highlight w:val="none"/>
                <w:u w:val="none" w:color="auto"/>
                <w:lang w:val="en-US" w:eastAsia="zh-CN" w:bidi="ar"/>
              </w:rPr>
              <w:t>七</w:t>
            </w:r>
            <w:r>
              <w:rPr>
                <w:rFonts w:hint="eastAsia" w:ascii="Times New Roman" w:hAnsi="Times New Roman" w:eastAsia="宋体" w:cs="Times New Roman"/>
                <w:b/>
                <w:color w:val="auto"/>
                <w:sz w:val="24"/>
                <w:highlight w:val="none"/>
                <w:u w:val="none" w:color="auto"/>
                <w:lang w:val="en-US" w:eastAsia="zh-CN" w:bidi="ar"/>
              </w:rPr>
              <w:t>、</w:t>
            </w:r>
            <w:r>
              <w:rPr>
                <w:rFonts w:hint="default" w:ascii="Times New Roman" w:hAnsi="Times New Roman" w:eastAsia="宋体" w:cs="Times New Roman"/>
                <w:b/>
                <w:color w:val="auto"/>
                <w:sz w:val="24"/>
                <w:highlight w:val="none"/>
                <w:u w:val="none" w:color="auto"/>
                <w:lang w:val="en-US" w:eastAsia="zh-CN" w:bidi="ar"/>
              </w:rPr>
              <w:t>与《湖南省“两高”项目管理目录》的相符性分析</w:t>
            </w:r>
          </w:p>
          <w:p w14:paraId="27AD76E4">
            <w:pPr>
              <w:pStyle w:val="25"/>
              <w:bidi w:val="0"/>
              <w:rPr>
                <w:rFonts w:hint="default"/>
                <w:color w:val="auto"/>
                <w:highlight w:val="none"/>
                <w:u w:val="none" w:color="auto"/>
                <w:lang w:val="en-US" w:eastAsia="zh-CN"/>
              </w:rPr>
            </w:pPr>
            <w:r>
              <w:rPr>
                <w:rFonts w:hint="eastAsia"/>
                <w:color w:val="auto"/>
                <w:highlight w:val="none"/>
                <w:u w:val="none" w:color="auto"/>
                <w:lang w:val="en-US" w:eastAsia="zh-CN"/>
              </w:rPr>
              <w:t>本项目与</w:t>
            </w:r>
            <w:r>
              <w:rPr>
                <w:rFonts w:hint="default"/>
                <w:color w:val="auto"/>
                <w:highlight w:val="none"/>
                <w:u w:val="none" w:color="auto"/>
                <w:lang w:val="en-US" w:eastAsia="zh-CN"/>
              </w:rPr>
              <w:t>《湖南省“两高”项目管理目录》的相符性分析</w:t>
            </w:r>
            <w:r>
              <w:rPr>
                <w:rFonts w:hint="eastAsia"/>
                <w:color w:val="auto"/>
                <w:highlight w:val="none"/>
                <w:u w:val="none" w:color="auto"/>
                <w:lang w:val="en-US" w:eastAsia="zh-CN"/>
              </w:rPr>
              <w:t>详见下表。</w:t>
            </w:r>
          </w:p>
          <w:p w14:paraId="0514E176">
            <w:pPr>
              <w:pStyle w:val="30"/>
              <w:bidi w:val="0"/>
              <w:jc w:val="center"/>
              <w:rPr>
                <w:rFonts w:hint="eastAsia"/>
                <w:b/>
                <w:bCs/>
                <w:color w:val="auto"/>
                <w:highlight w:val="none"/>
                <w:u w:val="none" w:color="auto"/>
                <w:lang w:val="en-US" w:eastAsia="zh-CN"/>
              </w:rPr>
            </w:pPr>
            <w:r>
              <w:rPr>
                <w:rFonts w:hint="eastAsia"/>
                <w:b/>
                <w:bCs/>
                <w:color w:val="auto"/>
                <w:highlight w:val="none"/>
                <w:u w:val="none" w:color="auto"/>
                <w:lang w:val="en-US" w:eastAsia="zh-CN"/>
              </w:rPr>
              <w:t>表1-5   与《湖南省“两高”项目管理名录》中项目清单符合性分析</w:t>
            </w:r>
          </w:p>
          <w:tbl>
            <w:tblPr>
              <w:tblStyle w:val="1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565"/>
              <w:gridCol w:w="1881"/>
              <w:gridCol w:w="2418"/>
              <w:gridCol w:w="1477"/>
            </w:tblGrid>
            <w:tr w14:paraId="6FDF0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tcBorders>
                    <w:tl2br w:val="nil"/>
                    <w:tr2bl w:val="nil"/>
                  </w:tcBorders>
                  <w:noWrap w:val="0"/>
                  <w:vAlign w:val="center"/>
                </w:tcPr>
                <w:p w14:paraId="536DC69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序号</w:t>
                  </w:r>
                </w:p>
              </w:tc>
              <w:tc>
                <w:tcPr>
                  <w:tcW w:w="419" w:type="pct"/>
                  <w:tcBorders>
                    <w:tl2br w:val="nil"/>
                    <w:tr2bl w:val="nil"/>
                  </w:tcBorders>
                  <w:noWrap w:val="0"/>
                  <w:vAlign w:val="center"/>
                </w:tcPr>
                <w:p w14:paraId="0E53C4F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行业</w:t>
                  </w:r>
                </w:p>
              </w:tc>
              <w:tc>
                <w:tcPr>
                  <w:tcW w:w="1391" w:type="pct"/>
                  <w:tcBorders>
                    <w:tl2br w:val="nil"/>
                    <w:tr2bl w:val="nil"/>
                  </w:tcBorders>
                  <w:noWrap w:val="0"/>
                  <w:vAlign w:val="center"/>
                </w:tcPr>
                <w:p w14:paraId="779B5F8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主要内容</w:t>
                  </w:r>
                </w:p>
              </w:tc>
              <w:tc>
                <w:tcPr>
                  <w:tcW w:w="1786" w:type="pct"/>
                  <w:tcBorders>
                    <w:tl2br w:val="nil"/>
                    <w:tr2bl w:val="nil"/>
                  </w:tcBorders>
                  <w:noWrap w:val="0"/>
                  <w:vAlign w:val="center"/>
                </w:tcPr>
                <w:p w14:paraId="06F60D9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涉及主要产品及工序</w:t>
                  </w:r>
                </w:p>
              </w:tc>
              <w:tc>
                <w:tcPr>
                  <w:tcW w:w="1092" w:type="pct"/>
                  <w:tcBorders>
                    <w:tl2br w:val="nil"/>
                    <w:tr2bl w:val="nil"/>
                  </w:tcBorders>
                  <w:noWrap w:val="0"/>
                  <w:vAlign w:val="center"/>
                </w:tcPr>
                <w:p w14:paraId="6FFC508C">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相符性</w:t>
                  </w:r>
                </w:p>
              </w:tc>
            </w:tr>
            <w:tr w14:paraId="00293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tcBorders>
                    <w:tl2br w:val="nil"/>
                    <w:tr2bl w:val="nil"/>
                  </w:tcBorders>
                  <w:noWrap w:val="0"/>
                  <w:vAlign w:val="center"/>
                </w:tcPr>
                <w:p w14:paraId="688197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w:t>
                  </w:r>
                </w:p>
              </w:tc>
              <w:tc>
                <w:tcPr>
                  <w:tcW w:w="419" w:type="pct"/>
                  <w:tcBorders>
                    <w:tl2br w:val="nil"/>
                    <w:tr2bl w:val="nil"/>
                  </w:tcBorders>
                  <w:noWrap w:val="0"/>
                  <w:vAlign w:val="center"/>
                </w:tcPr>
                <w:p w14:paraId="6D1C15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石化</w:t>
                  </w:r>
                </w:p>
              </w:tc>
              <w:tc>
                <w:tcPr>
                  <w:tcW w:w="1391" w:type="pct"/>
                  <w:tcBorders>
                    <w:tl2br w:val="nil"/>
                    <w:tr2bl w:val="nil"/>
                  </w:tcBorders>
                  <w:noWrap w:val="0"/>
                  <w:vAlign w:val="center"/>
                </w:tcPr>
                <w:p w14:paraId="15BAAB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原油加工及石油制品制造（2511）</w:t>
                  </w:r>
                </w:p>
              </w:tc>
              <w:tc>
                <w:tcPr>
                  <w:tcW w:w="1786" w:type="pct"/>
                  <w:tcBorders>
                    <w:tl2br w:val="nil"/>
                    <w:tr2bl w:val="nil"/>
                  </w:tcBorders>
                  <w:noWrap w:val="0"/>
                  <w:vAlign w:val="center"/>
                </w:tcPr>
                <w:p w14:paraId="414976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炼油、乙烯</w:t>
                  </w:r>
                </w:p>
              </w:tc>
              <w:tc>
                <w:tcPr>
                  <w:tcW w:w="1092" w:type="pct"/>
                  <w:tcBorders>
                    <w:tl2br w:val="nil"/>
                    <w:tr2bl w:val="nil"/>
                  </w:tcBorders>
                  <w:noWrap w:val="0"/>
                  <w:vAlign w:val="center"/>
                </w:tcPr>
                <w:p w14:paraId="6F9FFD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60CE0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4" w:hRule="atLeast"/>
              </w:trPr>
              <w:tc>
                <w:tcPr>
                  <w:tcW w:w="310" w:type="pct"/>
                  <w:tcBorders>
                    <w:tl2br w:val="nil"/>
                    <w:tr2bl w:val="nil"/>
                  </w:tcBorders>
                  <w:noWrap w:val="0"/>
                  <w:vAlign w:val="center"/>
                </w:tcPr>
                <w:p w14:paraId="03DB93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w:t>
                  </w:r>
                </w:p>
              </w:tc>
              <w:tc>
                <w:tcPr>
                  <w:tcW w:w="419" w:type="pct"/>
                  <w:tcBorders>
                    <w:tl2br w:val="nil"/>
                    <w:tr2bl w:val="nil"/>
                  </w:tcBorders>
                  <w:noWrap w:val="0"/>
                  <w:vAlign w:val="center"/>
                </w:tcPr>
                <w:p w14:paraId="73650B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化工</w:t>
                  </w:r>
                </w:p>
              </w:tc>
              <w:tc>
                <w:tcPr>
                  <w:tcW w:w="1391" w:type="pct"/>
                  <w:tcBorders>
                    <w:tl2br w:val="nil"/>
                    <w:tr2bl w:val="nil"/>
                  </w:tcBorders>
                  <w:noWrap w:val="0"/>
                  <w:vAlign w:val="center"/>
                </w:tcPr>
                <w:p w14:paraId="63B6A9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无机酸制造（2611）、无机碱制造（2612）、无机盐制造（2613）</w:t>
                  </w:r>
                </w:p>
              </w:tc>
              <w:tc>
                <w:tcPr>
                  <w:tcW w:w="1786" w:type="pct"/>
                  <w:tcBorders>
                    <w:tl2br w:val="nil"/>
                    <w:tr2bl w:val="nil"/>
                  </w:tcBorders>
                  <w:noWrap w:val="0"/>
                  <w:vAlign w:val="center"/>
                </w:tcPr>
                <w:p w14:paraId="534310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烧碱、纯碱、工业硫酸、黄磷、合成氨、尿素、磷铵、电石、聚氯乙烯、聚丙烯、精对苯二甲酸、对二甲苯、苯乙烯、乙酸乙烯酯、二苯基甲烷二异氰酸酯、1,4-丁二醇</w:t>
                  </w:r>
                </w:p>
              </w:tc>
              <w:tc>
                <w:tcPr>
                  <w:tcW w:w="1092" w:type="pct"/>
                  <w:tcBorders>
                    <w:tl2br w:val="nil"/>
                    <w:tr2bl w:val="nil"/>
                  </w:tcBorders>
                  <w:noWrap w:val="0"/>
                  <w:vAlign w:val="center"/>
                </w:tcPr>
                <w:p w14:paraId="707C29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1C6E0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tcBorders>
                    <w:tl2br w:val="nil"/>
                    <w:tr2bl w:val="nil"/>
                  </w:tcBorders>
                  <w:noWrap w:val="0"/>
                  <w:vAlign w:val="center"/>
                </w:tcPr>
                <w:p w14:paraId="17C994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w:t>
                  </w:r>
                </w:p>
              </w:tc>
              <w:tc>
                <w:tcPr>
                  <w:tcW w:w="419" w:type="pct"/>
                  <w:tcBorders>
                    <w:tl2br w:val="nil"/>
                    <w:tr2bl w:val="nil"/>
                  </w:tcBorders>
                  <w:noWrap w:val="0"/>
                  <w:vAlign w:val="center"/>
                </w:tcPr>
                <w:p w14:paraId="5E99F5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煤化工</w:t>
                  </w:r>
                </w:p>
              </w:tc>
              <w:tc>
                <w:tcPr>
                  <w:tcW w:w="1391" w:type="pct"/>
                  <w:tcBorders>
                    <w:tl2br w:val="nil"/>
                    <w:tr2bl w:val="nil"/>
                  </w:tcBorders>
                  <w:noWrap w:val="0"/>
                  <w:vAlign w:val="center"/>
                </w:tcPr>
                <w:p w14:paraId="65B070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煤制合成气生产（2522）、煤制液体燃料生产（2523）</w:t>
                  </w:r>
                </w:p>
              </w:tc>
              <w:tc>
                <w:tcPr>
                  <w:tcW w:w="1786" w:type="pct"/>
                  <w:tcBorders>
                    <w:tl2br w:val="nil"/>
                    <w:tr2bl w:val="nil"/>
                  </w:tcBorders>
                  <w:noWrap w:val="0"/>
                  <w:vAlign w:val="center"/>
                </w:tcPr>
                <w:p w14:paraId="51A971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一氧化碳、氢气、甲烷及其他煤制合成气；甲醇、二甲醚、乙二醇、汽油、柴油和航空燃料及其他煤制液体燃料</w:t>
                  </w:r>
                </w:p>
              </w:tc>
              <w:tc>
                <w:tcPr>
                  <w:tcW w:w="1092" w:type="pct"/>
                  <w:tcBorders>
                    <w:tl2br w:val="nil"/>
                    <w:tr2bl w:val="nil"/>
                  </w:tcBorders>
                  <w:noWrap w:val="0"/>
                  <w:vAlign w:val="center"/>
                </w:tcPr>
                <w:p w14:paraId="5F2709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30C66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9" w:hRule="atLeast"/>
              </w:trPr>
              <w:tc>
                <w:tcPr>
                  <w:tcW w:w="310" w:type="pct"/>
                  <w:tcBorders>
                    <w:tl2br w:val="nil"/>
                    <w:tr2bl w:val="nil"/>
                  </w:tcBorders>
                  <w:noWrap w:val="0"/>
                  <w:vAlign w:val="center"/>
                </w:tcPr>
                <w:p w14:paraId="16A068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4</w:t>
                  </w:r>
                </w:p>
              </w:tc>
              <w:tc>
                <w:tcPr>
                  <w:tcW w:w="419" w:type="pct"/>
                  <w:tcBorders>
                    <w:tl2br w:val="nil"/>
                    <w:tr2bl w:val="nil"/>
                  </w:tcBorders>
                  <w:noWrap w:val="0"/>
                  <w:vAlign w:val="center"/>
                </w:tcPr>
                <w:p w14:paraId="66C663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焦化</w:t>
                  </w:r>
                </w:p>
              </w:tc>
              <w:tc>
                <w:tcPr>
                  <w:tcW w:w="1391" w:type="pct"/>
                  <w:tcBorders>
                    <w:tl2br w:val="nil"/>
                    <w:tr2bl w:val="nil"/>
                  </w:tcBorders>
                  <w:noWrap w:val="0"/>
                  <w:vAlign w:val="center"/>
                </w:tcPr>
                <w:p w14:paraId="001C2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炼焦（2521）</w:t>
                  </w:r>
                </w:p>
              </w:tc>
              <w:tc>
                <w:tcPr>
                  <w:tcW w:w="1786" w:type="pct"/>
                  <w:tcBorders>
                    <w:tl2br w:val="nil"/>
                    <w:tr2bl w:val="nil"/>
                  </w:tcBorders>
                  <w:noWrap w:val="0"/>
                  <w:vAlign w:val="center"/>
                </w:tcPr>
                <w:p w14:paraId="1679B3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焦炭、石油焦（焦炭类）、沥青焦、其他原料生产焦炭、机焦、型焦、土焦、半焦炭、针状焦、其他工艺生产焦炭、矿物油焦</w:t>
                  </w:r>
                </w:p>
              </w:tc>
              <w:tc>
                <w:tcPr>
                  <w:tcW w:w="1092" w:type="pct"/>
                  <w:tcBorders>
                    <w:tl2br w:val="nil"/>
                    <w:tr2bl w:val="nil"/>
                  </w:tcBorders>
                  <w:noWrap w:val="0"/>
                  <w:vAlign w:val="center"/>
                </w:tcPr>
                <w:p w14:paraId="10F5E4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67634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5" w:hRule="atLeast"/>
              </w:trPr>
              <w:tc>
                <w:tcPr>
                  <w:tcW w:w="310" w:type="pct"/>
                  <w:tcBorders>
                    <w:tl2br w:val="nil"/>
                    <w:tr2bl w:val="nil"/>
                  </w:tcBorders>
                  <w:noWrap w:val="0"/>
                  <w:vAlign w:val="center"/>
                </w:tcPr>
                <w:p w14:paraId="281F46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w:t>
                  </w:r>
                </w:p>
              </w:tc>
              <w:tc>
                <w:tcPr>
                  <w:tcW w:w="419" w:type="pct"/>
                  <w:tcBorders>
                    <w:tl2br w:val="nil"/>
                    <w:tr2bl w:val="nil"/>
                  </w:tcBorders>
                  <w:noWrap w:val="0"/>
                  <w:vAlign w:val="center"/>
                </w:tcPr>
                <w:p w14:paraId="2B1941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钢铁</w:t>
                  </w:r>
                </w:p>
              </w:tc>
              <w:tc>
                <w:tcPr>
                  <w:tcW w:w="1391" w:type="pct"/>
                  <w:tcBorders>
                    <w:tl2br w:val="nil"/>
                    <w:tr2bl w:val="nil"/>
                  </w:tcBorders>
                  <w:noWrap w:val="0"/>
                  <w:vAlign w:val="center"/>
                </w:tcPr>
                <w:p w14:paraId="73E455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炼铁（3110）、炼钢（3120）、铁合金（3140）</w:t>
                  </w:r>
                </w:p>
              </w:tc>
              <w:tc>
                <w:tcPr>
                  <w:tcW w:w="1786" w:type="pct"/>
                  <w:tcBorders>
                    <w:tl2br w:val="nil"/>
                    <w:tr2bl w:val="nil"/>
                  </w:tcBorders>
                  <w:noWrap w:val="0"/>
                  <w:vAlign w:val="center"/>
                </w:tcPr>
                <w:p w14:paraId="538BBD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炼钢用高炉生铁、直接还原铁、熔融还原铁、非合金钢粗钢、低合金钢粗钢、合金钢粗钢、铁合金、电解金属锰</w:t>
                  </w:r>
                </w:p>
              </w:tc>
              <w:tc>
                <w:tcPr>
                  <w:tcW w:w="1092" w:type="pct"/>
                  <w:tcBorders>
                    <w:tl2br w:val="nil"/>
                    <w:tr2bl w:val="nil"/>
                  </w:tcBorders>
                  <w:noWrap w:val="0"/>
                  <w:vAlign w:val="center"/>
                </w:tcPr>
                <w:p w14:paraId="645CB9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76437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10" w:type="pct"/>
                  <w:vMerge w:val="restart"/>
                  <w:tcBorders>
                    <w:tl2br w:val="nil"/>
                    <w:tr2bl w:val="nil"/>
                  </w:tcBorders>
                  <w:noWrap w:val="0"/>
                  <w:vAlign w:val="center"/>
                </w:tcPr>
                <w:p w14:paraId="15FCA3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w:t>
                  </w:r>
                </w:p>
              </w:tc>
              <w:tc>
                <w:tcPr>
                  <w:tcW w:w="419" w:type="pct"/>
                  <w:vMerge w:val="restart"/>
                  <w:tcBorders>
                    <w:tl2br w:val="nil"/>
                    <w:tr2bl w:val="nil"/>
                  </w:tcBorders>
                  <w:noWrap w:val="0"/>
                  <w:vAlign w:val="center"/>
                </w:tcPr>
                <w:p w14:paraId="0C7935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建材</w:t>
                  </w:r>
                </w:p>
              </w:tc>
              <w:tc>
                <w:tcPr>
                  <w:tcW w:w="1391" w:type="pct"/>
                  <w:vMerge w:val="restart"/>
                  <w:tcBorders>
                    <w:tl2br w:val="nil"/>
                    <w:tr2bl w:val="nil"/>
                  </w:tcBorders>
                  <w:noWrap w:val="0"/>
                  <w:vAlign w:val="center"/>
                </w:tcPr>
                <w:p w14:paraId="010FDE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水泥制造（3011）、石灰和石膏制造（3012）、粘土砖瓦及建筑砌块制造（3031）、平板玻璃制造（3041）、建筑陶瓷制品制造（3071）</w:t>
                  </w:r>
                </w:p>
              </w:tc>
              <w:tc>
                <w:tcPr>
                  <w:tcW w:w="1786" w:type="pct"/>
                  <w:tcBorders>
                    <w:tl2br w:val="nil"/>
                    <w:tr2bl w:val="nil"/>
                  </w:tcBorders>
                  <w:noWrap w:val="0"/>
                  <w:vAlign w:val="center"/>
                </w:tcPr>
                <w:p w14:paraId="06EAD4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石灰、建筑陶瓷、耐火材料、烧结砖瓦</w:t>
                  </w:r>
                </w:p>
              </w:tc>
              <w:tc>
                <w:tcPr>
                  <w:tcW w:w="1092" w:type="pct"/>
                  <w:vMerge w:val="restart"/>
                  <w:tcBorders>
                    <w:tl2br w:val="nil"/>
                    <w:tr2bl w:val="nil"/>
                  </w:tcBorders>
                  <w:noWrap w:val="0"/>
                  <w:vAlign w:val="center"/>
                </w:tcPr>
                <w:p w14:paraId="1ACEFB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01991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vMerge w:val="continue"/>
                  <w:tcBorders>
                    <w:tl2br w:val="nil"/>
                    <w:tr2bl w:val="nil"/>
                  </w:tcBorders>
                  <w:noWrap w:val="0"/>
                  <w:vAlign w:val="center"/>
                </w:tcPr>
                <w:p w14:paraId="3795269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419" w:type="pct"/>
                  <w:vMerge w:val="continue"/>
                  <w:tcBorders>
                    <w:tl2br w:val="nil"/>
                    <w:tr2bl w:val="nil"/>
                  </w:tcBorders>
                  <w:noWrap w:val="0"/>
                  <w:vAlign w:val="center"/>
                </w:tcPr>
                <w:p w14:paraId="58ABCC2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391" w:type="pct"/>
                  <w:vMerge w:val="continue"/>
                  <w:tcBorders>
                    <w:tl2br w:val="nil"/>
                    <w:tr2bl w:val="nil"/>
                  </w:tcBorders>
                  <w:noWrap w:val="0"/>
                  <w:vAlign w:val="center"/>
                </w:tcPr>
                <w:p w14:paraId="02A937E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786" w:type="pct"/>
                  <w:tcBorders>
                    <w:tl2br w:val="nil"/>
                    <w:tr2bl w:val="nil"/>
                  </w:tcBorders>
                  <w:noWrap w:val="0"/>
                  <w:vAlign w:val="center"/>
                </w:tcPr>
                <w:p w14:paraId="59DA03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水泥熟料、平板玻璃</w:t>
                  </w:r>
                </w:p>
              </w:tc>
              <w:tc>
                <w:tcPr>
                  <w:tcW w:w="1092" w:type="pct"/>
                  <w:vMerge w:val="continue"/>
                  <w:tcBorders>
                    <w:tl2br w:val="nil"/>
                    <w:tr2bl w:val="nil"/>
                  </w:tcBorders>
                  <w:noWrap w:val="0"/>
                  <w:vAlign w:val="center"/>
                </w:tcPr>
                <w:p w14:paraId="72A8555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0CBA1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8" w:hRule="atLeast"/>
              </w:trPr>
              <w:tc>
                <w:tcPr>
                  <w:tcW w:w="310" w:type="pct"/>
                  <w:tcBorders>
                    <w:tl2br w:val="nil"/>
                    <w:tr2bl w:val="nil"/>
                  </w:tcBorders>
                  <w:noWrap w:val="0"/>
                  <w:vAlign w:val="center"/>
                </w:tcPr>
                <w:p w14:paraId="2995D8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7</w:t>
                  </w:r>
                </w:p>
              </w:tc>
              <w:tc>
                <w:tcPr>
                  <w:tcW w:w="419" w:type="pct"/>
                  <w:tcBorders>
                    <w:tl2br w:val="nil"/>
                    <w:tr2bl w:val="nil"/>
                  </w:tcBorders>
                  <w:noWrap w:val="0"/>
                  <w:vAlign w:val="center"/>
                </w:tcPr>
                <w:p w14:paraId="5DBE0C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有色</w:t>
                  </w:r>
                </w:p>
              </w:tc>
              <w:tc>
                <w:tcPr>
                  <w:tcW w:w="1391" w:type="pct"/>
                  <w:tcBorders>
                    <w:tl2br w:val="nil"/>
                    <w:tr2bl w:val="nil"/>
                  </w:tcBorders>
                  <w:noWrap w:val="0"/>
                  <w:vAlign w:val="center"/>
                </w:tcPr>
                <w:p w14:paraId="1EF590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铜冶炼（3211）、铅锌冶炼（3212）、锑冶炼（3215）、铝冶炼（3216）、硅冶炼（3218）</w:t>
                  </w:r>
                </w:p>
              </w:tc>
              <w:tc>
                <w:tcPr>
                  <w:tcW w:w="1786" w:type="pct"/>
                  <w:tcBorders>
                    <w:tl2br w:val="nil"/>
                    <w:tr2bl w:val="nil"/>
                  </w:tcBorders>
                  <w:noWrap w:val="0"/>
                  <w:vAlign w:val="center"/>
                </w:tcPr>
                <w:p w14:paraId="7C8D76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铜、铅锌、锑、铝、硅冶炼</w:t>
                  </w:r>
                </w:p>
              </w:tc>
              <w:tc>
                <w:tcPr>
                  <w:tcW w:w="1092" w:type="pct"/>
                  <w:tcBorders>
                    <w:tl2br w:val="nil"/>
                    <w:tr2bl w:val="nil"/>
                  </w:tcBorders>
                  <w:noWrap w:val="0"/>
                  <w:vAlign w:val="center"/>
                </w:tcPr>
                <w:p w14:paraId="6078BF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05A09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tcBorders>
                    <w:tl2br w:val="nil"/>
                    <w:tr2bl w:val="nil"/>
                  </w:tcBorders>
                  <w:noWrap w:val="0"/>
                  <w:vAlign w:val="center"/>
                </w:tcPr>
                <w:p w14:paraId="325208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8</w:t>
                  </w:r>
                </w:p>
              </w:tc>
              <w:tc>
                <w:tcPr>
                  <w:tcW w:w="419" w:type="pct"/>
                  <w:tcBorders>
                    <w:tl2br w:val="nil"/>
                    <w:tr2bl w:val="nil"/>
                  </w:tcBorders>
                  <w:noWrap w:val="0"/>
                  <w:vAlign w:val="center"/>
                </w:tcPr>
                <w:p w14:paraId="57FF61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煤电</w:t>
                  </w:r>
                </w:p>
              </w:tc>
              <w:tc>
                <w:tcPr>
                  <w:tcW w:w="1391" w:type="pct"/>
                  <w:tcBorders>
                    <w:tl2br w:val="nil"/>
                    <w:tr2bl w:val="nil"/>
                  </w:tcBorders>
                  <w:noWrap w:val="0"/>
                  <w:vAlign w:val="center"/>
                </w:tcPr>
                <w:p w14:paraId="5EA9F2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火力发电（4411）、热电联产（4412）</w:t>
                  </w:r>
                </w:p>
              </w:tc>
              <w:tc>
                <w:tcPr>
                  <w:tcW w:w="1786" w:type="pct"/>
                  <w:tcBorders>
                    <w:tl2br w:val="nil"/>
                    <w:tr2bl w:val="nil"/>
                  </w:tcBorders>
                  <w:noWrap w:val="0"/>
                  <w:vAlign w:val="center"/>
                </w:tcPr>
                <w:p w14:paraId="130F2A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燃煤发电、燃煤热电联产</w:t>
                  </w:r>
                </w:p>
              </w:tc>
              <w:tc>
                <w:tcPr>
                  <w:tcW w:w="1092" w:type="pct"/>
                  <w:tcBorders>
                    <w:tl2br w:val="nil"/>
                    <w:tr2bl w:val="nil"/>
                  </w:tcBorders>
                  <w:noWrap w:val="0"/>
                  <w:vAlign w:val="center"/>
                </w:tcPr>
                <w:p w14:paraId="1F2E09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4AF49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0" w:type="pct"/>
                  <w:tcBorders>
                    <w:tl2br w:val="nil"/>
                    <w:tr2bl w:val="nil"/>
                  </w:tcBorders>
                  <w:noWrap w:val="0"/>
                  <w:vAlign w:val="center"/>
                </w:tcPr>
                <w:p w14:paraId="2054D64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9</w:t>
                  </w:r>
                </w:p>
              </w:tc>
              <w:tc>
                <w:tcPr>
                  <w:tcW w:w="3597" w:type="pct"/>
                  <w:gridSpan w:val="3"/>
                  <w:tcBorders>
                    <w:tl2br w:val="nil"/>
                    <w:tr2bl w:val="nil"/>
                  </w:tcBorders>
                  <w:noWrap w:val="0"/>
                  <w:vAlign w:val="center"/>
                </w:tcPr>
                <w:p w14:paraId="7A6C29F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涉煤及煤制品、石油焦、渣油、重油等高污染燃料使用工业炉窑、锅炉的项目</w:t>
                  </w:r>
                </w:p>
              </w:tc>
              <w:tc>
                <w:tcPr>
                  <w:tcW w:w="1092" w:type="pct"/>
                  <w:tcBorders>
                    <w:tl2br w:val="nil"/>
                    <w:tr2bl w:val="nil"/>
                  </w:tcBorders>
                  <w:noWrap w:val="0"/>
                  <w:vAlign w:val="center"/>
                </w:tcPr>
                <w:p w14:paraId="232F0B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本项目不涉及</w:t>
                  </w:r>
                </w:p>
              </w:tc>
            </w:tr>
          </w:tbl>
          <w:p w14:paraId="2932B4F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根据上表可知</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w:t>
            </w:r>
            <w:r>
              <w:rPr>
                <w:rFonts w:ascii="Times New Roman" w:hAnsi="Times New Roman" w:eastAsia="宋体" w:cs="Times New Roman"/>
                <w:color w:val="auto"/>
                <w:kern w:val="2"/>
                <w:sz w:val="24"/>
                <w:szCs w:val="24"/>
                <w:highlight w:val="none"/>
                <w:u w:val="none" w:color="auto"/>
                <w:shd w:val="clear" w:color="auto" w:fill="auto"/>
                <w:lang w:bidi="en-US"/>
              </w:rPr>
              <w:t>本项目不属于所列举的“两高”类别项目，</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也</w:t>
            </w:r>
            <w:r>
              <w:rPr>
                <w:rFonts w:ascii="Times New Roman" w:hAnsi="Times New Roman" w:eastAsia="宋体" w:cs="Times New Roman"/>
                <w:color w:val="auto"/>
                <w:kern w:val="2"/>
                <w:sz w:val="24"/>
                <w:szCs w:val="24"/>
                <w:highlight w:val="none"/>
                <w:u w:val="none" w:color="auto"/>
                <w:shd w:val="clear" w:color="auto" w:fill="auto"/>
                <w:lang w:bidi="en-US"/>
              </w:rPr>
              <w:t>不涉及使用煤炭及煤制品、石油焦、渣油、重油等高污染燃料的工业炉窑、锅炉项目。</w:t>
            </w:r>
          </w:p>
        </w:tc>
      </w:tr>
    </w:tbl>
    <w:p w14:paraId="7558B7FA">
      <w:pPr>
        <w:numPr>
          <w:ilvl w:val="0"/>
          <w:numId w:val="0"/>
        </w:numPr>
        <w:tabs>
          <w:tab w:val="left" w:pos="1021"/>
        </w:tabs>
        <w:jc w:val="both"/>
        <w:rPr>
          <w:rFonts w:hint="default" w:ascii="Times New Roman" w:hAnsi="Times New Roman" w:eastAsia="宋体" w:cs="Times New Roman"/>
          <w:b/>
          <w:bCs/>
          <w:color w:val="auto"/>
          <w:kern w:val="44"/>
          <w:sz w:val="28"/>
          <w:szCs w:val="44"/>
          <w:highlight w:val="none"/>
          <w:u w:val="none" w:color="auto"/>
          <w:lang w:val="en-US" w:eastAsia="zh-CN" w:bidi="ar-SA"/>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6CFB504">
      <w:pPr>
        <w:pStyle w:val="2"/>
        <w:bidi w:val="0"/>
        <w:jc w:val="center"/>
        <w:rPr>
          <w:rFonts w:hint="default"/>
          <w:highlight w:val="none"/>
          <w:u w:val="none" w:color="auto"/>
          <w:lang w:val="en-US" w:eastAsia="zh-CN"/>
        </w:rPr>
      </w:pPr>
      <w:bookmarkStart w:id="17" w:name="_Toc29910"/>
      <w:bookmarkStart w:id="18" w:name="_Toc9723"/>
      <w:bookmarkStart w:id="19" w:name="_Toc27384"/>
      <w:bookmarkStart w:id="20" w:name="_Toc28794"/>
      <w:bookmarkStart w:id="21" w:name="_Toc1717"/>
      <w:bookmarkStart w:id="22" w:name="_Toc26707"/>
      <w:bookmarkStart w:id="23" w:name="_Toc3696"/>
      <w:bookmarkStart w:id="24" w:name="_Toc25626"/>
      <w:bookmarkStart w:id="25" w:name="_Toc7079"/>
      <w:bookmarkStart w:id="26" w:name="_Toc15057"/>
      <w:r>
        <w:rPr>
          <w:rFonts w:hint="default"/>
          <w:highlight w:val="none"/>
          <w:u w:val="none" w:color="auto"/>
          <w:lang w:val="en-US" w:eastAsia="zh-CN"/>
        </w:rPr>
        <w:t>二、建设项目工程分析</w:t>
      </w:r>
      <w:bookmarkEnd w:id="17"/>
      <w:bookmarkEnd w:id="18"/>
      <w:bookmarkEnd w:id="19"/>
      <w:bookmarkEnd w:id="20"/>
      <w:bookmarkEnd w:id="21"/>
      <w:bookmarkEnd w:id="22"/>
      <w:bookmarkEnd w:id="23"/>
      <w:bookmarkEnd w:id="24"/>
      <w:bookmarkEnd w:id="25"/>
      <w:bookmarkEnd w:id="26"/>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5D7F5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tcBorders>
              <w:tl2br w:val="nil"/>
              <w:tr2bl w:val="nil"/>
            </w:tcBorders>
            <w:noWrap w:val="0"/>
            <w:vAlign w:val="center"/>
          </w:tcPr>
          <w:p w14:paraId="49070238">
            <w:pPr>
              <w:pStyle w:val="16"/>
              <w:adjustRightInd w:val="0"/>
              <w:snapToGrid w:val="0"/>
              <w:spacing w:before="0" w:beforeAutospacing="0" w:after="0" w:afterAutospacing="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建设内容</w:t>
            </w:r>
          </w:p>
        </w:tc>
        <w:tc>
          <w:tcPr>
            <w:tcW w:w="4733" w:type="pct"/>
            <w:tcBorders>
              <w:tl2br w:val="nil"/>
              <w:tr2bl w:val="nil"/>
            </w:tcBorders>
            <w:noWrap w:val="0"/>
            <w:vAlign w:val="top"/>
          </w:tcPr>
          <w:p w14:paraId="705822CB">
            <w:pPr>
              <w:pStyle w:val="25"/>
              <w:numPr>
                <w:ilvl w:val="0"/>
                <w:numId w:val="0"/>
              </w:numPr>
              <w:bidi w:val="0"/>
              <w:rPr>
                <w:rStyle w:val="24"/>
                <w:rFonts w:hint="default" w:ascii="Times New Roman" w:hAnsi="Times New Roman" w:eastAsia="宋体" w:cs="Times New Roman"/>
                <w:color w:val="auto"/>
                <w:sz w:val="24"/>
                <w:szCs w:val="24"/>
                <w:highlight w:val="none"/>
                <w:u w:val="none" w:color="auto"/>
                <w:shd w:val="clear" w:color="auto" w:fill="auto"/>
                <w:lang w:val="en-US" w:eastAsia="zh-CN" w:bidi="ar"/>
              </w:rPr>
            </w:pPr>
            <w:bookmarkStart w:id="27" w:name="_Toc19487"/>
            <w:bookmarkStart w:id="28" w:name="_Toc16777"/>
            <w:bookmarkStart w:id="29" w:name="_Toc21573"/>
            <w:bookmarkStart w:id="30" w:name="_Toc3740"/>
            <w:bookmarkStart w:id="31" w:name="_Toc29479"/>
            <w:bookmarkStart w:id="32" w:name="_Toc20451"/>
            <w:bookmarkStart w:id="33" w:name="_Toc24104"/>
            <w:bookmarkStart w:id="34" w:name="_Toc22715"/>
            <w:bookmarkStart w:id="35" w:name="_Toc32507"/>
            <w:bookmarkStart w:id="36" w:name="_Toc8164"/>
            <w:bookmarkStart w:id="37" w:name="_Toc4137"/>
            <w:bookmarkStart w:id="38" w:name="_Toc19679"/>
            <w:r>
              <w:rPr>
                <w:rStyle w:val="24"/>
                <w:rFonts w:hint="default" w:ascii="Times New Roman" w:hAnsi="Times New Roman" w:eastAsia="宋体" w:cs="Times New Roman"/>
                <w:color w:val="auto"/>
                <w:sz w:val="24"/>
                <w:szCs w:val="24"/>
                <w:highlight w:val="none"/>
                <w:u w:val="none" w:color="auto"/>
                <w:shd w:val="clear" w:color="auto" w:fill="auto"/>
                <w:lang w:val="en-US" w:eastAsia="zh-CN" w:bidi="ar"/>
              </w:rPr>
              <w:t>1、项目由来</w:t>
            </w:r>
          </w:p>
          <w:bookmarkEnd w:id="27"/>
          <w:bookmarkEnd w:id="28"/>
          <w:bookmarkEnd w:id="29"/>
          <w:bookmarkEnd w:id="30"/>
          <w:bookmarkEnd w:id="31"/>
          <w:bookmarkEnd w:id="32"/>
          <w:bookmarkEnd w:id="33"/>
          <w:bookmarkEnd w:id="34"/>
          <w:bookmarkEnd w:id="35"/>
          <w:bookmarkEnd w:id="36"/>
          <w:bookmarkEnd w:id="37"/>
          <w:bookmarkEnd w:id="38"/>
          <w:p w14:paraId="5F564B77">
            <w:pPr>
              <w:pStyle w:val="25"/>
              <w:bidi w:val="0"/>
              <w:rPr>
                <w:highlight w:val="none"/>
                <w:u w:val="none" w:color="auto"/>
              </w:rPr>
            </w:pPr>
            <w:r>
              <w:rPr>
                <w:rFonts w:ascii="Segoe UI" w:hAnsi="Segoe UI" w:eastAsia="Segoe UI" w:cs="Segoe UI"/>
                <w:i w:val="0"/>
                <w:iCs w:val="0"/>
                <w:caps w:val="0"/>
                <w:color w:val="0F1115"/>
                <w:spacing w:val="0"/>
                <w:sz w:val="24"/>
                <w:szCs w:val="24"/>
                <w:highlight w:val="none"/>
                <w:u w:val="none" w:color="auto"/>
                <w:shd w:val="clear" w:fill="FFFFFF"/>
              </w:rPr>
              <w:t>由于超过使用年限的报废液化石油气钢瓶内仍残留少量液化气</w:t>
            </w:r>
            <w:r>
              <w:rPr>
                <w:rFonts w:hint="eastAsia"/>
                <w:highlight w:val="none"/>
                <w:u w:val="none" w:color="auto"/>
              </w:rPr>
              <w:t>，一旦随意倾倒、处置残</w:t>
            </w:r>
            <w:r>
              <w:rPr>
                <w:rFonts w:hint="eastAsia"/>
                <w:highlight w:val="none"/>
                <w:u w:val="none" w:color="auto"/>
                <w:lang w:val="en-US" w:eastAsia="zh-CN"/>
              </w:rPr>
              <w:t>液</w:t>
            </w:r>
            <w:r>
              <w:rPr>
                <w:rFonts w:hint="eastAsia"/>
                <w:highlight w:val="none"/>
                <w:u w:val="none" w:color="auto"/>
              </w:rPr>
              <w:t>会引发火灾等安全事故，重新流入使用环节继续使用会严重威胁公共安全和人民生命财产安全。为加强液化石油气钢瓶安全管理，岳阳县长富钢瓶检测厂新墙分厂租用岳阳县长富钢瓶检测厂厂房，总占地面积1</w:t>
            </w:r>
            <w:r>
              <w:rPr>
                <w:rFonts w:hint="eastAsia"/>
                <w:highlight w:val="none"/>
                <w:u w:val="none" w:color="auto"/>
                <w:lang w:val="en-US" w:eastAsia="zh-CN"/>
              </w:rPr>
              <w:t>25</w:t>
            </w:r>
            <w:r>
              <w:rPr>
                <w:rFonts w:hint="eastAsia"/>
                <w:highlight w:val="none"/>
                <w:u w:val="none" w:color="auto"/>
              </w:rPr>
              <w:t>0m</w:t>
            </w:r>
            <w:r>
              <w:rPr>
                <w:rFonts w:hint="eastAsia"/>
                <w:highlight w:val="none"/>
                <w:u w:val="none" w:color="auto"/>
                <w:vertAlign w:val="superscript"/>
                <w:lang w:val="en-US" w:eastAsia="zh-CN"/>
              </w:rPr>
              <w:t>2</w:t>
            </w:r>
            <w:r>
              <w:rPr>
                <w:rFonts w:hint="eastAsia"/>
                <w:highlight w:val="none"/>
                <w:u w:val="none" w:color="auto"/>
              </w:rPr>
              <w:t>，总建筑面积1</w:t>
            </w:r>
            <w:r>
              <w:rPr>
                <w:rFonts w:hint="eastAsia"/>
                <w:highlight w:val="none"/>
                <w:u w:val="none" w:color="auto"/>
                <w:lang w:val="en-US" w:eastAsia="zh-CN"/>
              </w:rPr>
              <w:t>10</w:t>
            </w:r>
            <w:r>
              <w:rPr>
                <w:rFonts w:hint="eastAsia"/>
                <w:highlight w:val="none"/>
                <w:u w:val="none" w:color="auto"/>
              </w:rPr>
              <w:t>0m</w:t>
            </w:r>
            <w:r>
              <w:rPr>
                <w:rFonts w:hint="eastAsia"/>
                <w:highlight w:val="none"/>
                <w:u w:val="none" w:color="auto"/>
                <w:vertAlign w:val="superscript"/>
                <w:lang w:val="en-US" w:eastAsia="zh-CN"/>
              </w:rPr>
              <w:t>2</w:t>
            </w:r>
            <w:r>
              <w:rPr>
                <w:rFonts w:hint="eastAsia"/>
                <w:highlight w:val="none"/>
                <w:u w:val="none" w:color="auto"/>
              </w:rPr>
              <w:t>，购置</w:t>
            </w:r>
            <w:r>
              <w:rPr>
                <w:rFonts w:hint="eastAsia"/>
                <w:highlight w:val="none"/>
                <w:u w:val="none" w:color="auto"/>
                <w:lang w:val="en-US" w:eastAsia="zh-CN"/>
              </w:rPr>
              <w:t>抽残机</w:t>
            </w:r>
            <w:r>
              <w:rPr>
                <w:rFonts w:hint="eastAsia"/>
                <w:highlight w:val="none"/>
                <w:u w:val="none" w:color="auto"/>
              </w:rPr>
              <w:t>、卸阀机等专用消除气瓶使用功能等设备，</w:t>
            </w:r>
            <w:r>
              <w:rPr>
                <w:rFonts w:hint="eastAsia"/>
                <w:highlight w:val="none"/>
                <w:u w:val="none" w:color="auto"/>
                <w:lang w:val="en-US" w:eastAsia="zh-CN"/>
              </w:rPr>
              <w:t>投资160万元，建设年处置12万只报废液化石油气钢瓶项目</w:t>
            </w:r>
            <w:r>
              <w:rPr>
                <w:rFonts w:hint="eastAsia"/>
                <w:highlight w:val="none"/>
                <w:u w:val="none" w:color="auto"/>
              </w:rPr>
              <w:t>。</w:t>
            </w:r>
          </w:p>
          <w:p w14:paraId="48C8F2D6">
            <w:pPr>
              <w:pStyle w:val="25"/>
              <w:bidi w:val="0"/>
              <w:rPr>
                <w:rFonts w:hint="eastAsia" w:cs="Times New Roman"/>
                <w:color w:val="auto"/>
                <w:kern w:val="0"/>
                <w:sz w:val="24"/>
                <w:szCs w:val="24"/>
                <w:highlight w:val="none"/>
                <w:u w:val="none" w:color="auto"/>
                <w:lang w:eastAsia="zh-CN" w:bidi="ar-SA"/>
              </w:rPr>
            </w:pPr>
            <w:r>
              <w:rPr>
                <w:rFonts w:hint="eastAsia"/>
                <w:highlight w:val="none"/>
                <w:u w:val="none" w:color="auto"/>
                <w:lang w:val="en-US" w:eastAsia="zh-CN"/>
              </w:rPr>
              <w:t>目前，</w:t>
            </w:r>
            <w:r>
              <w:rPr>
                <w:rFonts w:hint="eastAsia"/>
                <w:highlight w:val="none"/>
                <w:u w:val="none" w:color="auto"/>
              </w:rPr>
              <w:t>岳阳县长富钢瓶检测厂新墙分厂</w:t>
            </w:r>
            <w:r>
              <w:rPr>
                <w:rFonts w:hint="eastAsia" w:cs="Times New Roman"/>
                <w:color w:val="auto"/>
                <w:kern w:val="0"/>
                <w:sz w:val="24"/>
                <w:szCs w:val="24"/>
                <w:highlight w:val="none"/>
                <w:u w:val="none" w:color="auto"/>
                <w:lang w:eastAsia="zh-CN" w:bidi="ar-SA"/>
              </w:rPr>
              <w:t>为完善环保手续，现申请办理“</w:t>
            </w:r>
            <w:r>
              <w:rPr>
                <w:rFonts w:hint="eastAsia"/>
                <w:highlight w:val="none"/>
                <w:u w:val="none" w:color="auto"/>
                <w:lang w:val="en-US" w:eastAsia="zh-CN"/>
              </w:rPr>
              <w:t>年处置12万只报废液化石油气钢瓶项目</w:t>
            </w:r>
            <w:r>
              <w:rPr>
                <w:rFonts w:hint="eastAsia" w:cs="Times New Roman"/>
                <w:color w:val="auto"/>
                <w:kern w:val="0"/>
                <w:sz w:val="24"/>
                <w:szCs w:val="24"/>
                <w:highlight w:val="none"/>
                <w:u w:val="none" w:color="auto"/>
                <w:lang w:eastAsia="zh-CN" w:bidi="ar-SA"/>
              </w:rPr>
              <w:t>”环评手续。</w:t>
            </w:r>
          </w:p>
          <w:p w14:paraId="3A2E5C87">
            <w:pPr>
              <w:pStyle w:val="25"/>
              <w:bidi w:val="0"/>
              <w:rPr>
                <w:rFonts w:hint="default" w:eastAsia="宋体" w:cs="Times New Roman"/>
                <w:color w:val="auto"/>
                <w:kern w:val="0"/>
                <w:sz w:val="24"/>
                <w:szCs w:val="24"/>
                <w:highlight w:val="none"/>
                <w:u w:val="none" w:color="auto"/>
                <w:lang w:val="en-US" w:eastAsia="zh-CN" w:bidi="ar-SA"/>
              </w:rPr>
            </w:pPr>
            <w:r>
              <w:rPr>
                <w:rFonts w:hint="eastAsia"/>
                <w:highlight w:val="none"/>
                <w:u w:val="none" w:color="auto"/>
              </w:rPr>
              <w:t>我司于2025年</w:t>
            </w:r>
            <w:r>
              <w:rPr>
                <w:rFonts w:hint="eastAsia"/>
                <w:highlight w:val="none"/>
                <w:u w:val="none" w:color="auto"/>
                <w:lang w:val="en-US" w:eastAsia="zh-CN"/>
              </w:rPr>
              <w:t>11</w:t>
            </w:r>
            <w:r>
              <w:rPr>
                <w:rFonts w:hint="eastAsia"/>
                <w:highlight w:val="none"/>
                <w:u w:val="none" w:color="auto"/>
              </w:rPr>
              <w:t>月</w:t>
            </w:r>
            <w:r>
              <w:rPr>
                <w:rFonts w:hint="eastAsia"/>
                <w:highlight w:val="none"/>
                <w:u w:val="none" w:color="auto"/>
                <w:lang w:val="en-US" w:eastAsia="zh-CN"/>
              </w:rPr>
              <w:t>19</w:t>
            </w:r>
            <w:r>
              <w:rPr>
                <w:rFonts w:hint="eastAsia"/>
                <w:highlight w:val="none"/>
                <w:u w:val="none" w:color="auto"/>
              </w:rPr>
              <w:t>日取得发改备案文件，经核查，</w:t>
            </w:r>
            <w:r>
              <w:rPr>
                <w:highlight w:val="none"/>
                <w:u w:val="none" w:color="auto"/>
              </w:rPr>
              <w:t>文件中需调整的内容包括：</w:t>
            </w:r>
            <w:r>
              <w:rPr>
                <w:rFonts w:hint="eastAsia"/>
                <w:highlight w:val="none"/>
                <w:u w:val="none" w:color="auto"/>
              </w:rPr>
              <w:t>项目名称由“年处置报废12万只液化石油气钢瓶项目”更改为“</w:t>
            </w:r>
            <w:r>
              <w:rPr>
                <w:rFonts w:hint="eastAsia" w:cs="Times New Roman"/>
                <w:color w:val="auto"/>
                <w:sz w:val="24"/>
                <w:szCs w:val="24"/>
                <w:highlight w:val="none"/>
                <w:u w:val="none" w:color="auto"/>
                <w:lang w:val="en-US" w:eastAsia="zh-CN"/>
              </w:rPr>
              <w:t>年处置12万只报废液化石油气钢瓶项目</w:t>
            </w:r>
            <w:r>
              <w:rPr>
                <w:rFonts w:hint="eastAsia"/>
                <w:highlight w:val="none"/>
                <w:u w:val="none" w:color="auto"/>
              </w:rPr>
              <w:t>”</w:t>
            </w:r>
            <w:r>
              <w:rPr>
                <w:rFonts w:hint="eastAsia"/>
                <w:highlight w:val="none"/>
                <w:u w:val="none" w:color="auto"/>
                <w:lang w:eastAsia="zh-CN"/>
              </w:rPr>
              <w:t>；</w:t>
            </w:r>
            <w:r>
              <w:rPr>
                <w:rFonts w:hint="eastAsia"/>
                <w:highlight w:val="none"/>
                <w:u w:val="none" w:color="auto"/>
                <w:lang w:val="en-US" w:eastAsia="zh-CN"/>
              </w:rPr>
              <w:t>建设地点由“岳阳县老街居委会湖南省湘阳食品有限公司办公楼105室”更改为“岳阳县新墙镇”。</w:t>
            </w:r>
          </w:p>
          <w:p w14:paraId="7A7AA788">
            <w:pPr>
              <w:pStyle w:val="25"/>
              <w:bidi w:val="0"/>
              <w:rPr>
                <w:rFonts w:hint="default" w:ascii="Times New Roman" w:hAnsi="Times New Roman" w:cs="Times New Roman"/>
                <w:color w:val="auto"/>
                <w:highlight w:val="none"/>
                <w:u w:val="none" w:color="auto"/>
                <w:lang w:eastAsia="zh-CN"/>
              </w:rPr>
            </w:pPr>
            <w:r>
              <w:rPr>
                <w:rStyle w:val="28"/>
                <w:rFonts w:hint="default"/>
                <w:highlight w:val="none"/>
                <w:u w:val="none" w:color="auto"/>
              </w:rPr>
              <w:t>根据《中华人民共和国环境保护法》（中华人民共和国主席令第九号）</w:t>
            </w:r>
            <w:r>
              <w:rPr>
                <w:rFonts w:hint="eastAsia" w:ascii="宋体" w:hAnsi="宋体" w:cs="宋体"/>
                <w:sz w:val="24"/>
                <w:highlight w:val="none"/>
                <w:u w:val="none" w:color="auto"/>
              </w:rPr>
              <w:t>、《中华人民共和国环境影响评价法》</w:t>
            </w:r>
            <w:r>
              <w:rPr>
                <w:rStyle w:val="28"/>
                <w:rFonts w:hint="default"/>
                <w:highlight w:val="none"/>
                <w:u w:val="none" w:color="auto"/>
              </w:rPr>
              <w:t>（2018年修订版）</w:t>
            </w:r>
            <w:r>
              <w:rPr>
                <w:rFonts w:hint="eastAsia" w:ascii="宋体" w:hAnsi="宋体" w:cs="宋体"/>
                <w:sz w:val="24"/>
                <w:highlight w:val="none"/>
                <w:u w:val="none" w:color="auto"/>
              </w:rPr>
              <w:t>和《建设项目环境保护管理条例》的有关规定</w:t>
            </w:r>
            <w:r>
              <w:rPr>
                <w:kern w:val="0"/>
                <w:sz w:val="24"/>
                <w:highlight w:val="none"/>
                <w:u w:val="none" w:color="auto"/>
              </w:rPr>
              <w:t>，本项目应</w:t>
            </w:r>
            <w:r>
              <w:rPr>
                <w:rFonts w:hint="eastAsia"/>
                <w:kern w:val="0"/>
                <w:sz w:val="24"/>
                <w:highlight w:val="none"/>
                <w:u w:val="none" w:color="auto"/>
              </w:rPr>
              <w:t>办理</w:t>
            </w:r>
            <w:r>
              <w:rPr>
                <w:kern w:val="0"/>
                <w:sz w:val="24"/>
                <w:highlight w:val="none"/>
                <w:u w:val="none" w:color="auto"/>
              </w:rPr>
              <w:t>环境影响评价</w:t>
            </w:r>
            <w:r>
              <w:rPr>
                <w:rFonts w:hint="eastAsia"/>
                <w:kern w:val="0"/>
                <w:sz w:val="24"/>
                <w:highlight w:val="none"/>
                <w:u w:val="none" w:color="auto"/>
              </w:rPr>
              <w:t>手续；</w:t>
            </w:r>
            <w:r>
              <w:rPr>
                <w:kern w:val="0"/>
                <w:sz w:val="24"/>
                <w:highlight w:val="none"/>
                <w:u w:val="none" w:color="auto"/>
              </w:rPr>
              <w:t>根据《建设项目环境影响评价分类管理名录》</w:t>
            </w:r>
            <w:r>
              <w:rPr>
                <w:rFonts w:hint="eastAsia"/>
                <w:kern w:val="0"/>
                <w:sz w:val="24"/>
                <w:highlight w:val="none"/>
                <w:u w:val="none" w:color="auto"/>
              </w:rPr>
              <w:t>（</w:t>
            </w:r>
            <w:r>
              <w:rPr>
                <w:kern w:val="0"/>
                <w:sz w:val="24"/>
                <w:highlight w:val="none"/>
                <w:u w:val="none" w:color="auto"/>
              </w:rPr>
              <w:t>2021年版</w:t>
            </w:r>
            <w:r>
              <w:rPr>
                <w:rFonts w:hint="eastAsia"/>
                <w:kern w:val="0"/>
                <w:sz w:val="24"/>
                <w:highlight w:val="none"/>
                <w:u w:val="none" w:color="auto"/>
              </w:rPr>
              <w:t>）</w:t>
            </w:r>
            <w:r>
              <w:rPr>
                <w:kern w:val="0"/>
                <w:sz w:val="24"/>
                <w:highlight w:val="none"/>
                <w:u w:val="none" w:color="auto"/>
              </w:rPr>
              <w:t>，</w:t>
            </w:r>
            <w:r>
              <w:rPr>
                <w:rFonts w:hint="default" w:ascii="Times New Roman" w:hAnsi="Times New Roman" w:cs="Times New Roman"/>
                <w:color w:val="auto"/>
                <w:highlight w:val="none"/>
                <w:u w:val="none" w:color="auto"/>
                <w:lang w:eastAsia="zh-CN"/>
              </w:rPr>
              <w:t>本项目属于分类管理名录中的</w:t>
            </w:r>
            <w:r>
              <w:rPr>
                <w:rFonts w:hint="eastAsia" w:cs="Times New Roman"/>
                <w:color w:val="auto"/>
                <w:sz w:val="24"/>
                <w:szCs w:val="24"/>
                <w:highlight w:val="none"/>
                <w:u w:val="none" w:color="auto"/>
                <w:lang w:val="en-US" w:eastAsia="zh-CN"/>
              </w:rPr>
              <w:t>三十九、废弃资源综合利用业42 85.金属废料和碎屑加工处理421</w:t>
            </w:r>
            <w:r>
              <w:rPr>
                <w:color w:val="auto"/>
                <w:sz w:val="24"/>
                <w:highlight w:val="none"/>
                <w:u w:val="none" w:color="auto"/>
              </w:rPr>
              <w:t>的</w:t>
            </w:r>
            <w:r>
              <w:rPr>
                <w:rFonts w:hint="eastAsia"/>
                <w:color w:val="auto"/>
                <w:sz w:val="24"/>
                <w:highlight w:val="none"/>
                <w:u w:val="none" w:color="auto"/>
                <w:lang w:eastAsia="zh-CN"/>
              </w:rPr>
              <w:t>“</w:t>
            </w:r>
            <w:r>
              <w:rPr>
                <w:rFonts w:hint="eastAsia"/>
                <w:color w:val="auto"/>
                <w:sz w:val="24"/>
                <w:highlight w:val="none"/>
                <w:u w:val="none" w:color="auto"/>
                <w:lang w:val="en-US" w:eastAsia="zh-CN"/>
              </w:rPr>
              <w:t>废钢</w:t>
            </w:r>
            <w:r>
              <w:rPr>
                <w:rFonts w:hint="eastAsia"/>
                <w:color w:val="auto"/>
                <w:sz w:val="24"/>
                <w:highlight w:val="none"/>
                <w:u w:val="none" w:color="auto"/>
                <w:lang w:eastAsia="zh-CN"/>
              </w:rPr>
              <w:t>”</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据此，岳阳县长富钢瓶检测厂新墙分厂</w:t>
            </w:r>
            <w:r>
              <w:rPr>
                <w:rFonts w:hint="default" w:ascii="Times New Roman" w:hAnsi="Times New Roman" w:cs="Times New Roman"/>
                <w:color w:val="auto"/>
                <w:highlight w:val="none"/>
                <w:u w:val="none" w:color="auto"/>
                <w:lang w:eastAsia="zh-CN"/>
              </w:rPr>
              <w:t>委托</w:t>
            </w:r>
            <w:r>
              <w:rPr>
                <w:rFonts w:hint="default" w:ascii="Times New Roman" w:hAnsi="Times New Roman" w:cs="Times New Roman"/>
                <w:color w:val="auto"/>
                <w:highlight w:val="none"/>
                <w:u w:val="none" w:color="auto"/>
                <w:lang w:val="en-US" w:eastAsia="zh-CN"/>
              </w:rPr>
              <w:t>湖南京帝</w:t>
            </w:r>
            <w:r>
              <w:rPr>
                <w:rFonts w:hint="default" w:ascii="Times New Roman" w:hAnsi="Times New Roman" w:cs="Times New Roman"/>
                <w:color w:val="auto"/>
                <w:highlight w:val="none"/>
                <w:u w:val="none" w:color="auto"/>
                <w:lang w:eastAsia="zh-CN"/>
              </w:rPr>
              <w:t>环保</w:t>
            </w:r>
            <w:r>
              <w:rPr>
                <w:rFonts w:hint="default" w:ascii="Times New Roman" w:hAnsi="Times New Roman" w:cs="Times New Roman"/>
                <w:color w:val="auto"/>
                <w:highlight w:val="none"/>
                <w:u w:val="none" w:color="auto"/>
                <w:lang w:val="en-US" w:eastAsia="zh-CN"/>
              </w:rPr>
              <w:t>科技研究院</w:t>
            </w:r>
            <w:r>
              <w:rPr>
                <w:rFonts w:hint="default" w:ascii="Times New Roman" w:hAnsi="Times New Roman" w:cs="Times New Roman"/>
                <w:color w:val="auto"/>
                <w:highlight w:val="none"/>
                <w:u w:val="none" w:color="auto"/>
                <w:lang w:eastAsia="zh-CN"/>
              </w:rPr>
              <w:t>有限公司于202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lang w:eastAsia="zh-CN"/>
              </w:rPr>
              <w:t>年</w:t>
            </w:r>
            <w:r>
              <w:rPr>
                <w:rFonts w:hint="eastAsia" w:cs="Times New Roman"/>
                <w:color w:val="auto"/>
                <w:highlight w:val="none"/>
                <w:u w:val="none" w:color="auto"/>
                <w:lang w:val="en-US" w:eastAsia="zh-CN"/>
              </w:rPr>
              <w:t>10</w:t>
            </w:r>
            <w:r>
              <w:rPr>
                <w:rFonts w:hint="default" w:ascii="Times New Roman" w:hAnsi="Times New Roman" w:cs="Times New Roman"/>
                <w:color w:val="auto"/>
                <w:highlight w:val="none"/>
                <w:u w:val="none" w:color="auto"/>
                <w:lang w:eastAsia="zh-CN"/>
              </w:rPr>
              <w:t>月承担该项目环境影响评价工作。通过现场踏勘调查、工程分析，依据《建设项目环境影响报告表编制技术指南》（</w:t>
            </w:r>
            <w:r>
              <w:rPr>
                <w:rFonts w:hint="default" w:ascii="Times New Roman" w:hAnsi="Times New Roman" w:cs="Times New Roman"/>
                <w:color w:val="auto"/>
                <w:highlight w:val="none"/>
                <w:u w:val="none" w:color="auto"/>
                <w:lang w:val="en-US" w:eastAsia="zh-CN"/>
              </w:rPr>
              <w:t>污染影响类</w:t>
            </w:r>
            <w:r>
              <w:rPr>
                <w:rFonts w:hint="default" w:ascii="Times New Roman" w:hAnsi="Times New Roman" w:cs="Times New Roman"/>
                <w:color w:val="auto"/>
                <w:highlight w:val="none"/>
                <w:u w:val="none" w:color="auto"/>
                <w:lang w:eastAsia="zh-CN"/>
              </w:rPr>
              <w:t>）要求编制了本建设项目的环境影响报告表，提请生态环境部门审批。</w:t>
            </w:r>
          </w:p>
          <w:p w14:paraId="78E23747">
            <w:pPr>
              <w:pStyle w:val="25"/>
              <w:numPr>
                <w:ilvl w:val="0"/>
                <w:numId w:val="0"/>
              </w:numPr>
              <w:bidi w:val="0"/>
              <w:rPr>
                <w:rFonts w:hint="default" w:ascii="Times New Roman" w:hAnsi="Times New Roman" w:cs="Times New Roman"/>
                <w:b/>
                <w:bCs/>
                <w:color w:val="auto"/>
                <w:sz w:val="24"/>
                <w:szCs w:val="24"/>
                <w:highlight w:val="none"/>
                <w:u w:val="none" w:color="auto"/>
                <w:lang w:val="en-US" w:eastAsia="zh-CN"/>
              </w:rPr>
            </w:pPr>
            <w:bookmarkStart w:id="39" w:name="_Toc10512"/>
            <w:bookmarkStart w:id="40" w:name="_Toc7290"/>
            <w:bookmarkStart w:id="41" w:name="_Toc25098"/>
            <w:bookmarkStart w:id="42" w:name="_Toc123"/>
            <w:bookmarkStart w:id="43" w:name="_Toc2231"/>
            <w:bookmarkStart w:id="44" w:name="_Toc26646"/>
            <w:bookmarkStart w:id="45" w:name="_Toc19366"/>
            <w:bookmarkStart w:id="46" w:name="_Toc10776"/>
            <w:bookmarkStart w:id="47" w:name="_Toc26502"/>
            <w:bookmarkStart w:id="48" w:name="_Toc11840"/>
            <w:bookmarkStart w:id="49" w:name="_Toc760"/>
            <w:bookmarkStart w:id="50" w:name="_Toc27324"/>
            <w:r>
              <w:rPr>
                <w:rStyle w:val="24"/>
                <w:rFonts w:hint="default" w:ascii="Times New Roman" w:hAnsi="Times New Roman" w:eastAsia="宋体" w:cs="Times New Roman"/>
                <w:color w:val="auto"/>
                <w:sz w:val="24"/>
                <w:szCs w:val="24"/>
                <w:highlight w:val="none"/>
                <w:u w:val="none" w:color="auto"/>
                <w:shd w:val="clear" w:color="auto" w:fill="auto"/>
                <w:lang w:val="en-US" w:eastAsia="zh-CN" w:bidi="ar"/>
              </w:rPr>
              <w:t>2、建设工程内容及规模</w:t>
            </w:r>
            <w:bookmarkEnd w:id="39"/>
            <w:bookmarkEnd w:id="40"/>
            <w:bookmarkEnd w:id="41"/>
            <w:bookmarkEnd w:id="42"/>
            <w:bookmarkEnd w:id="43"/>
            <w:bookmarkEnd w:id="44"/>
            <w:bookmarkEnd w:id="45"/>
            <w:bookmarkEnd w:id="46"/>
            <w:bookmarkEnd w:id="47"/>
            <w:bookmarkEnd w:id="48"/>
            <w:bookmarkEnd w:id="49"/>
            <w:bookmarkEnd w:id="50"/>
          </w:p>
          <w:p w14:paraId="2F550293">
            <w:pPr>
              <w:pStyle w:val="25"/>
              <w:bidi w:val="0"/>
              <w:rPr>
                <w:rFonts w:hint="default"/>
                <w:highlight w:val="none"/>
                <w:u w:val="none" w:color="auto"/>
              </w:rPr>
            </w:pPr>
            <w:r>
              <w:rPr>
                <w:rFonts w:hint="default"/>
                <w:highlight w:val="none"/>
                <w:u w:val="none" w:color="auto"/>
                <w:lang w:val="en-US" w:eastAsia="zh-CN"/>
              </w:rPr>
              <w:t>本项目</w:t>
            </w:r>
            <w:r>
              <w:rPr>
                <w:rFonts w:hint="eastAsia"/>
                <w:highlight w:val="none"/>
                <w:u w:val="none" w:color="auto"/>
                <w:lang w:val="en-US" w:eastAsia="zh-CN"/>
              </w:rPr>
              <w:t>选址于湖南省岳阳市岳阳县新墙镇</w:t>
            </w:r>
            <w:r>
              <w:rPr>
                <w:rFonts w:hint="eastAsia"/>
                <w:highlight w:val="none"/>
                <w:u w:val="none" w:color="auto"/>
                <w:lang w:eastAsia="zh-CN"/>
              </w:rPr>
              <w:t>，</w:t>
            </w:r>
            <w:r>
              <w:rPr>
                <w:rFonts w:hint="default"/>
                <w:highlight w:val="none"/>
                <w:u w:val="none" w:color="auto"/>
              </w:rPr>
              <w:t>总</w:t>
            </w:r>
            <w:r>
              <w:rPr>
                <w:rFonts w:hint="default"/>
                <w:highlight w:val="none"/>
                <w:u w:val="none" w:color="auto"/>
                <w:lang w:val="en-US" w:eastAsia="zh-CN"/>
              </w:rPr>
              <w:t>占</w:t>
            </w:r>
            <w:r>
              <w:rPr>
                <w:rFonts w:hint="default"/>
                <w:highlight w:val="none"/>
                <w:u w:val="none" w:color="auto"/>
              </w:rPr>
              <w:t>地面积为</w:t>
            </w:r>
            <w:r>
              <w:rPr>
                <w:rFonts w:hint="eastAsia"/>
                <w:highlight w:val="none"/>
                <w:u w:val="none" w:color="auto"/>
                <w:lang w:val="en-US" w:eastAsia="zh-CN"/>
              </w:rPr>
              <w:t>1250</w:t>
            </w:r>
            <w:r>
              <w:rPr>
                <w:rFonts w:hint="default"/>
                <w:highlight w:val="none"/>
                <w:u w:val="none" w:color="auto"/>
                <w:lang w:val="en-US" w:eastAsia="zh-CN"/>
              </w:rPr>
              <w:t>m</w:t>
            </w:r>
            <w:r>
              <w:rPr>
                <w:rFonts w:hint="default"/>
                <w:highlight w:val="none"/>
                <w:u w:val="none" w:color="auto"/>
                <w:vertAlign w:val="superscript"/>
                <w:lang w:val="en-US" w:eastAsia="zh-CN"/>
              </w:rPr>
              <w:t>2</w:t>
            </w:r>
            <w:r>
              <w:rPr>
                <w:rFonts w:hint="eastAsia"/>
                <w:highlight w:val="none"/>
                <w:u w:val="none" w:color="auto"/>
                <w:lang w:val="en-US" w:eastAsia="zh-CN"/>
              </w:rPr>
              <w:t>，建筑面积为1100m</w:t>
            </w:r>
            <w:r>
              <w:rPr>
                <w:rFonts w:hint="default"/>
                <w:highlight w:val="none"/>
                <w:u w:val="none" w:color="auto"/>
                <w:vertAlign w:val="superscript"/>
                <w:lang w:val="en-US" w:eastAsia="zh-CN"/>
              </w:rPr>
              <w:t>2</w:t>
            </w:r>
            <w:r>
              <w:rPr>
                <w:rFonts w:hint="default"/>
                <w:highlight w:val="none"/>
                <w:u w:val="none" w:color="auto"/>
              </w:rPr>
              <w:t>。</w:t>
            </w:r>
            <w:r>
              <w:rPr>
                <w:rFonts w:hint="eastAsia"/>
                <w:highlight w:val="none"/>
                <w:u w:val="none" w:color="auto"/>
                <w:lang w:val="en-US" w:eastAsia="zh-CN"/>
              </w:rPr>
              <w:t>租赁</w:t>
            </w:r>
            <w:r>
              <w:rPr>
                <w:rFonts w:hint="eastAsia"/>
                <w:highlight w:val="none"/>
                <w:u w:val="none" w:color="auto"/>
              </w:rPr>
              <w:t>岳阳县长富钢瓶检测厂</w:t>
            </w:r>
            <w:r>
              <w:rPr>
                <w:rFonts w:hint="eastAsia"/>
                <w:highlight w:val="none"/>
                <w:u w:val="none" w:color="auto"/>
                <w:lang w:val="en-US" w:eastAsia="zh-CN"/>
              </w:rPr>
              <w:t>的现有厂房（附件3），主要建设一条年处理能力为12万只化石油气钢瓶报废生产线，以及配套工程、环保工程、供配电、给排水等设施</w:t>
            </w:r>
            <w:r>
              <w:rPr>
                <w:rFonts w:hint="default"/>
                <w:highlight w:val="none"/>
                <w:u w:val="none" w:color="auto"/>
                <w:lang w:val="en-US" w:eastAsia="zh-CN"/>
              </w:rPr>
              <w:t>。</w:t>
            </w:r>
            <w:r>
              <w:rPr>
                <w:rFonts w:hint="default"/>
                <w:highlight w:val="none"/>
                <w:u w:val="none" w:color="auto"/>
              </w:rPr>
              <w:t>主要建设内容具体见下表</w:t>
            </w:r>
            <w:r>
              <w:rPr>
                <w:rFonts w:hint="default"/>
                <w:highlight w:val="none"/>
                <w:u w:val="none" w:color="auto"/>
                <w:lang w:val="en-US" w:eastAsia="zh-CN"/>
              </w:rPr>
              <w:t>2</w:t>
            </w:r>
            <w:r>
              <w:rPr>
                <w:rFonts w:hint="default"/>
                <w:highlight w:val="none"/>
                <w:u w:val="none" w:color="auto"/>
              </w:rPr>
              <w:t>-1。</w:t>
            </w:r>
          </w:p>
          <w:p w14:paraId="09EF9610">
            <w:pPr>
              <w:adjustRightInd w:val="0"/>
              <w:snapToGrid w:val="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表</w:t>
            </w:r>
            <w:r>
              <w:rPr>
                <w:rFonts w:hint="default" w:ascii="Times New Roman" w:hAnsi="Times New Roman" w:cs="Times New Roman"/>
                <w:b/>
                <w:bCs/>
                <w:color w:val="auto"/>
                <w:sz w:val="21"/>
                <w:szCs w:val="21"/>
                <w:highlight w:val="none"/>
                <w:u w:val="none" w:color="auto"/>
                <w:lang w:val="en-US" w:eastAsia="zh-CN"/>
              </w:rPr>
              <w:t>2</w:t>
            </w:r>
            <w:r>
              <w:rPr>
                <w:rFonts w:hint="default" w:ascii="Times New Roman" w:hAnsi="Times New Roman" w:cs="Times New Roman"/>
                <w:b/>
                <w:bCs/>
                <w:color w:val="auto"/>
                <w:sz w:val="21"/>
                <w:szCs w:val="21"/>
                <w:highlight w:val="none"/>
                <w:u w:val="none" w:color="auto"/>
              </w:rPr>
              <w:t>-1</w:t>
            </w:r>
            <w:r>
              <w:rPr>
                <w:rFonts w:hint="eastAsia" w:cs="Times New Roman"/>
                <w:b/>
                <w:bCs/>
                <w:color w:val="auto"/>
                <w:sz w:val="21"/>
                <w:szCs w:val="21"/>
                <w:highlight w:val="none"/>
                <w:u w:val="none" w:color="auto"/>
                <w:lang w:val="en-US" w:eastAsia="zh-CN"/>
              </w:rPr>
              <w:t xml:space="preserve">   </w:t>
            </w:r>
            <w:r>
              <w:rPr>
                <w:rFonts w:hint="default" w:ascii="Times New Roman" w:hAnsi="Times New Roman" w:cs="Times New Roman"/>
                <w:b/>
                <w:bCs/>
                <w:color w:val="auto"/>
                <w:sz w:val="21"/>
                <w:szCs w:val="21"/>
                <w:highlight w:val="none"/>
                <w:u w:val="none" w:color="auto"/>
              </w:rPr>
              <w:t>项目建设工程一览表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9"/>
              <w:gridCol w:w="610"/>
              <w:gridCol w:w="990"/>
              <w:gridCol w:w="4221"/>
              <w:gridCol w:w="907"/>
            </w:tblGrid>
            <w:tr w14:paraId="4105A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696" w:type="pct"/>
                  <w:tcBorders>
                    <w:tl2br w:val="nil"/>
                    <w:tr2bl w:val="nil"/>
                  </w:tcBorders>
                  <w:noWrap w:val="0"/>
                  <w:vAlign w:val="center"/>
                </w:tcPr>
                <w:p w14:paraId="35A94368">
                  <w:pPr>
                    <w:pStyle w:val="30"/>
                    <w:bidi w:val="0"/>
                    <w:jc w:val="center"/>
                    <w:rPr>
                      <w:rFonts w:hint="default"/>
                      <w:b/>
                      <w:bCs/>
                      <w:color w:val="auto"/>
                      <w:highlight w:val="none"/>
                      <w:u w:val="none" w:color="auto"/>
                      <w:lang w:val="en-US" w:eastAsia="zh-CN"/>
                    </w:rPr>
                  </w:pPr>
                  <w:r>
                    <w:rPr>
                      <w:rFonts w:hint="default"/>
                      <w:b/>
                      <w:bCs/>
                      <w:color w:val="auto"/>
                      <w:highlight w:val="none"/>
                      <w:u w:val="none" w:color="auto"/>
                      <w:lang w:val="en-US" w:eastAsia="zh-CN"/>
                    </w:rPr>
                    <w:t>类别</w:t>
                  </w:r>
                </w:p>
              </w:tc>
              <w:tc>
                <w:tcPr>
                  <w:tcW w:w="1023" w:type="pct"/>
                  <w:gridSpan w:val="2"/>
                  <w:tcBorders>
                    <w:tl2br w:val="nil"/>
                    <w:tr2bl w:val="nil"/>
                  </w:tcBorders>
                  <w:noWrap w:val="0"/>
                  <w:vAlign w:val="center"/>
                </w:tcPr>
                <w:p w14:paraId="41D6091E">
                  <w:pPr>
                    <w:pStyle w:val="30"/>
                    <w:bidi w:val="0"/>
                    <w:jc w:val="center"/>
                    <w:rPr>
                      <w:rFonts w:hint="default"/>
                      <w:b/>
                      <w:bCs/>
                      <w:color w:val="auto"/>
                      <w:highlight w:val="none"/>
                      <w:u w:val="none" w:color="auto"/>
                      <w:lang w:val="en-US" w:eastAsia="zh-CN"/>
                    </w:rPr>
                  </w:pPr>
                  <w:r>
                    <w:rPr>
                      <w:rFonts w:hint="default"/>
                      <w:b/>
                      <w:bCs/>
                      <w:color w:val="auto"/>
                      <w:highlight w:val="none"/>
                      <w:u w:val="none" w:color="auto"/>
                      <w:lang w:val="en-US" w:eastAsia="zh-CN"/>
                    </w:rPr>
                    <w:t>名称</w:t>
                  </w:r>
                </w:p>
              </w:tc>
              <w:tc>
                <w:tcPr>
                  <w:tcW w:w="2699" w:type="pct"/>
                  <w:tcBorders>
                    <w:tl2br w:val="nil"/>
                    <w:tr2bl w:val="nil"/>
                  </w:tcBorders>
                  <w:noWrap w:val="0"/>
                  <w:vAlign w:val="center"/>
                </w:tcPr>
                <w:p w14:paraId="6B0AA58E">
                  <w:pPr>
                    <w:pStyle w:val="30"/>
                    <w:bidi w:val="0"/>
                    <w:jc w:val="center"/>
                    <w:rPr>
                      <w:rFonts w:hint="default"/>
                      <w:b/>
                      <w:bCs/>
                      <w:color w:val="auto"/>
                      <w:highlight w:val="none"/>
                      <w:u w:val="none" w:color="auto"/>
                      <w:lang w:val="en-US" w:eastAsia="zh-CN"/>
                    </w:rPr>
                  </w:pPr>
                  <w:r>
                    <w:rPr>
                      <w:rFonts w:hint="default"/>
                      <w:b/>
                      <w:bCs/>
                      <w:color w:val="auto"/>
                      <w:highlight w:val="none"/>
                      <w:u w:val="none" w:color="auto"/>
                      <w:lang w:val="en-US" w:eastAsia="zh-CN"/>
                    </w:rPr>
                    <w:t>建设内容与规模</w:t>
                  </w:r>
                </w:p>
              </w:tc>
              <w:tc>
                <w:tcPr>
                  <w:tcW w:w="580" w:type="pct"/>
                  <w:tcBorders>
                    <w:tl2br w:val="nil"/>
                    <w:tr2bl w:val="nil"/>
                  </w:tcBorders>
                  <w:noWrap w:val="0"/>
                  <w:vAlign w:val="center"/>
                </w:tcPr>
                <w:p w14:paraId="10B329CD">
                  <w:pPr>
                    <w:pStyle w:val="30"/>
                    <w:bidi w:val="0"/>
                    <w:jc w:val="center"/>
                    <w:rPr>
                      <w:rFonts w:hint="default"/>
                      <w:b/>
                      <w:bCs/>
                      <w:color w:val="auto"/>
                      <w:highlight w:val="none"/>
                      <w:u w:val="none" w:color="auto"/>
                      <w:lang w:val="en-US" w:eastAsia="zh-CN"/>
                    </w:rPr>
                  </w:pPr>
                  <w:r>
                    <w:rPr>
                      <w:rFonts w:hint="default"/>
                      <w:b/>
                      <w:bCs/>
                      <w:color w:val="auto"/>
                      <w:highlight w:val="none"/>
                      <w:u w:val="none" w:color="auto"/>
                      <w:lang w:val="en-US" w:eastAsia="zh-CN"/>
                    </w:rPr>
                    <w:t>备注</w:t>
                  </w:r>
                </w:p>
              </w:tc>
            </w:tr>
            <w:tr w14:paraId="25056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restart"/>
                  <w:tcBorders>
                    <w:tl2br w:val="nil"/>
                    <w:tr2bl w:val="nil"/>
                  </w:tcBorders>
                  <w:noWrap w:val="0"/>
                  <w:vAlign w:val="center"/>
                </w:tcPr>
                <w:p w14:paraId="1E150071">
                  <w:pPr>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主体工程</w:t>
                  </w:r>
                </w:p>
              </w:tc>
              <w:tc>
                <w:tcPr>
                  <w:tcW w:w="390" w:type="pct"/>
                  <w:vMerge w:val="restart"/>
                  <w:tcBorders>
                    <w:tl2br w:val="nil"/>
                    <w:tr2bl w:val="nil"/>
                  </w:tcBorders>
                  <w:noWrap w:val="0"/>
                  <w:vAlign w:val="center"/>
                </w:tcPr>
                <w:p w14:paraId="01B25673">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生产区</w:t>
                  </w:r>
                </w:p>
              </w:tc>
              <w:tc>
                <w:tcPr>
                  <w:tcW w:w="633" w:type="pct"/>
                  <w:tcBorders>
                    <w:tl2br w:val="nil"/>
                    <w:tr2bl w:val="nil"/>
                  </w:tcBorders>
                  <w:noWrap w:val="0"/>
                  <w:vAlign w:val="center"/>
                </w:tcPr>
                <w:p w14:paraId="31F5403F">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抽残液区</w:t>
                  </w:r>
                </w:p>
              </w:tc>
              <w:tc>
                <w:tcPr>
                  <w:tcW w:w="2699" w:type="pct"/>
                  <w:tcBorders>
                    <w:tl2br w:val="nil"/>
                    <w:tr2bl w:val="nil"/>
                  </w:tcBorders>
                  <w:noWrap w:val="0"/>
                  <w:vAlign w:val="center"/>
                </w:tcPr>
                <w:p w14:paraId="2535A0F5">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1F，</w:t>
                  </w:r>
                  <w:r>
                    <w:rPr>
                      <w:rFonts w:hint="default" w:ascii="Times New Roman" w:hAnsi="Times New Roman" w:eastAsia="宋体" w:cs="Times New Roman"/>
                      <w:color w:val="auto"/>
                      <w:highlight w:val="none"/>
                      <w:u w:val="none" w:color="auto"/>
                      <w:lang w:val="en-US" w:eastAsia="zh-CN"/>
                    </w:rPr>
                    <w:t>建筑面积</w:t>
                  </w:r>
                  <w:r>
                    <w:rPr>
                      <w:rFonts w:hint="eastAsia" w:ascii="Times New Roman" w:hAnsi="Times New Roman" w:eastAsia="宋体" w:cs="Times New Roman"/>
                      <w:color w:val="auto"/>
                      <w:highlight w:val="none"/>
                      <w:u w:val="none" w:color="auto"/>
                      <w:lang w:val="en-US" w:eastAsia="zh-CN"/>
                    </w:rPr>
                    <w:t>为150</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eastAsia" w:eastAsia="宋体" w:cs="Times New Roman"/>
                      <w:color w:val="auto"/>
                      <w:sz w:val="24"/>
                      <w:szCs w:val="32"/>
                      <w:highlight w:val="none"/>
                      <w:u w:val="none" w:color="auto"/>
                      <w:vertAlign w:val="baseline"/>
                      <w:lang w:val="en-US" w:eastAsia="zh-CN"/>
                    </w:rPr>
                    <w:t>，</w:t>
                  </w:r>
                  <w:r>
                    <w:rPr>
                      <w:rFonts w:hint="eastAsia" w:cs="Times New Roman"/>
                      <w:color w:val="auto"/>
                      <w:highlight w:val="none"/>
                      <w:u w:val="none" w:color="auto"/>
                      <w:lang w:val="en-US" w:eastAsia="zh-CN"/>
                    </w:rPr>
                    <w:t>位于厂区南侧，主要用于抽残液</w:t>
                  </w:r>
                </w:p>
              </w:tc>
              <w:tc>
                <w:tcPr>
                  <w:tcW w:w="580" w:type="pct"/>
                  <w:tcBorders>
                    <w:tl2br w:val="nil"/>
                    <w:tr2bl w:val="nil"/>
                  </w:tcBorders>
                  <w:noWrap w:val="0"/>
                  <w:vAlign w:val="center"/>
                </w:tcPr>
                <w:p w14:paraId="0BD4F0FB">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已建</w:t>
                  </w:r>
                </w:p>
              </w:tc>
            </w:tr>
            <w:tr w14:paraId="759DB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 w:hRule="atLeast"/>
              </w:trPr>
              <w:tc>
                <w:tcPr>
                  <w:tcW w:w="696" w:type="pct"/>
                  <w:vMerge w:val="continue"/>
                  <w:tcBorders>
                    <w:tl2br w:val="nil"/>
                    <w:tr2bl w:val="nil"/>
                  </w:tcBorders>
                  <w:noWrap w:val="0"/>
                  <w:vAlign w:val="center"/>
                </w:tcPr>
                <w:p w14:paraId="14D8E5F2">
                  <w:pPr>
                    <w:bidi w:val="0"/>
                    <w:jc w:val="center"/>
                    <w:rPr>
                      <w:rFonts w:hint="default" w:ascii="Times New Roman" w:hAnsi="Times New Roman" w:cs="Times New Roman"/>
                      <w:color w:val="auto"/>
                      <w:highlight w:val="none"/>
                      <w:u w:val="none" w:color="auto"/>
                      <w:lang w:val="en-US" w:eastAsia="zh-CN"/>
                    </w:rPr>
                  </w:pPr>
                </w:p>
              </w:tc>
              <w:tc>
                <w:tcPr>
                  <w:tcW w:w="390" w:type="pct"/>
                  <w:vMerge w:val="continue"/>
                  <w:tcBorders>
                    <w:tl2br w:val="nil"/>
                    <w:tr2bl w:val="nil"/>
                  </w:tcBorders>
                  <w:noWrap w:val="0"/>
                  <w:vAlign w:val="center"/>
                </w:tcPr>
                <w:p w14:paraId="2F095ECE">
                  <w:pPr>
                    <w:bidi w:val="0"/>
                    <w:jc w:val="center"/>
                    <w:rPr>
                      <w:rFonts w:hint="default" w:cs="Times New Roman"/>
                      <w:color w:val="auto"/>
                      <w:highlight w:val="none"/>
                      <w:u w:val="none" w:color="auto"/>
                      <w:lang w:val="en-US" w:eastAsia="zh-CN"/>
                    </w:rPr>
                  </w:pPr>
                </w:p>
              </w:tc>
              <w:tc>
                <w:tcPr>
                  <w:tcW w:w="633" w:type="pct"/>
                  <w:tcBorders>
                    <w:tl2br w:val="nil"/>
                    <w:tr2bl w:val="nil"/>
                  </w:tcBorders>
                  <w:noWrap w:val="0"/>
                  <w:vAlign w:val="center"/>
                </w:tcPr>
                <w:p w14:paraId="0C4B06A5">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拆卸瓶阀区</w:t>
                  </w:r>
                </w:p>
              </w:tc>
              <w:tc>
                <w:tcPr>
                  <w:tcW w:w="2699" w:type="pct"/>
                  <w:tcBorders>
                    <w:tl2br w:val="nil"/>
                    <w:tr2bl w:val="nil"/>
                  </w:tcBorders>
                  <w:noWrap w:val="0"/>
                  <w:vAlign w:val="center"/>
                </w:tcPr>
                <w:p w14:paraId="458258AF">
                  <w:pPr>
                    <w:bidi w:val="0"/>
                    <w:jc w:val="center"/>
                    <w:rPr>
                      <w:rFonts w:hint="default" w:ascii="Times New Roman" w:eastAsia="宋体" w:cs="Times New Roman"/>
                      <w:color w:val="auto"/>
                      <w:kern w:val="2"/>
                      <w:sz w:val="21"/>
                      <w:szCs w:val="24"/>
                      <w:highlight w:val="none"/>
                      <w:u w:val="none" w:color="auto"/>
                      <w:lang w:val="en-US" w:eastAsia="zh-CN" w:bidi="ar-SA"/>
                    </w:rPr>
                  </w:pPr>
                  <w:r>
                    <w:rPr>
                      <w:rFonts w:hint="eastAsia" w:cs="Times New Roman"/>
                      <w:color w:val="auto"/>
                      <w:highlight w:val="none"/>
                      <w:u w:val="none" w:color="auto"/>
                      <w:lang w:val="en-US" w:eastAsia="zh-CN"/>
                    </w:rPr>
                    <w:t>1F，</w:t>
                  </w:r>
                  <w:r>
                    <w:rPr>
                      <w:rFonts w:hint="default" w:ascii="Times New Roman" w:hAnsi="Times New Roman" w:eastAsia="宋体" w:cs="Times New Roman"/>
                      <w:color w:val="auto"/>
                      <w:highlight w:val="none"/>
                      <w:u w:val="none" w:color="auto"/>
                      <w:lang w:val="en-US" w:eastAsia="zh-CN"/>
                    </w:rPr>
                    <w:t>建筑面积</w:t>
                  </w:r>
                  <w:r>
                    <w:rPr>
                      <w:rFonts w:hint="eastAsia" w:cs="Times New Roman"/>
                      <w:color w:val="auto"/>
                      <w:highlight w:val="none"/>
                      <w:u w:val="none" w:color="auto"/>
                      <w:lang w:val="en-US" w:eastAsia="zh-CN"/>
                    </w:rPr>
                    <w:t>为200</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eastAsia" w:eastAsia="宋体" w:cs="Times New Roman"/>
                      <w:color w:val="auto"/>
                      <w:sz w:val="24"/>
                      <w:szCs w:val="32"/>
                      <w:highlight w:val="none"/>
                      <w:u w:val="none" w:color="auto"/>
                      <w:vertAlign w:val="baseline"/>
                      <w:lang w:val="en-US" w:eastAsia="zh-CN"/>
                    </w:rPr>
                    <w:t>，</w:t>
                  </w:r>
                  <w:r>
                    <w:rPr>
                      <w:rFonts w:hint="default" w:ascii="Times New Roman" w:hAnsi="Times New Roman" w:eastAsia="宋体" w:cs="Times New Roman"/>
                      <w:color w:val="auto"/>
                      <w:highlight w:val="none"/>
                      <w:u w:val="none" w:color="auto"/>
                      <w:lang w:val="en-US" w:eastAsia="zh-CN"/>
                    </w:rPr>
                    <w:t>位于厂区</w:t>
                  </w:r>
                  <w:r>
                    <w:rPr>
                      <w:rFonts w:hint="eastAsia" w:cs="Times New Roman"/>
                      <w:color w:val="auto"/>
                      <w:highlight w:val="none"/>
                      <w:u w:val="none" w:color="auto"/>
                      <w:lang w:val="en-US" w:eastAsia="zh-CN"/>
                    </w:rPr>
                    <w:t>东北</w:t>
                  </w:r>
                  <w:r>
                    <w:rPr>
                      <w:rFonts w:hint="default" w:ascii="Times New Roman" w:hAnsi="Times New Roman" w:eastAsia="宋体" w:cs="Times New Roman"/>
                      <w:color w:val="auto"/>
                      <w:highlight w:val="none"/>
                      <w:u w:val="none" w:color="auto"/>
                      <w:lang w:val="en-US" w:eastAsia="zh-CN"/>
                    </w:rPr>
                    <w:t>侧</w:t>
                  </w:r>
                  <w:r>
                    <w:rPr>
                      <w:rFonts w:hint="eastAsia"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主要用于</w:t>
                  </w:r>
                  <w:r>
                    <w:rPr>
                      <w:rFonts w:hint="eastAsia" w:cs="Times New Roman"/>
                      <w:color w:val="auto"/>
                      <w:highlight w:val="none"/>
                      <w:u w:val="none" w:color="auto"/>
                      <w:lang w:val="en-US" w:eastAsia="zh-CN"/>
                    </w:rPr>
                    <w:t>报废液化石油气钢瓶</w:t>
                  </w:r>
                </w:p>
              </w:tc>
              <w:tc>
                <w:tcPr>
                  <w:tcW w:w="580" w:type="pct"/>
                  <w:vMerge w:val="restart"/>
                  <w:tcBorders>
                    <w:tl2br w:val="nil"/>
                    <w:tr2bl w:val="nil"/>
                  </w:tcBorders>
                  <w:noWrap w:val="0"/>
                  <w:vAlign w:val="center"/>
                </w:tcPr>
                <w:p w14:paraId="33C86DB0">
                  <w:pPr>
                    <w:bidi w:val="0"/>
                    <w:jc w:val="center"/>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009CC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center"/>
                </w:tcPr>
                <w:p w14:paraId="0BD37838">
                  <w:pPr>
                    <w:bidi w:val="0"/>
                    <w:jc w:val="center"/>
                    <w:rPr>
                      <w:highlight w:val="none"/>
                      <w:u w:val="none" w:color="auto"/>
                    </w:rPr>
                  </w:pPr>
                </w:p>
              </w:tc>
              <w:tc>
                <w:tcPr>
                  <w:tcW w:w="390" w:type="pct"/>
                  <w:vMerge w:val="continue"/>
                  <w:tcBorders>
                    <w:tl2br w:val="nil"/>
                    <w:tr2bl w:val="nil"/>
                  </w:tcBorders>
                  <w:noWrap w:val="0"/>
                  <w:vAlign w:val="center"/>
                </w:tcPr>
                <w:p w14:paraId="0488CC94">
                  <w:pPr>
                    <w:bidi w:val="0"/>
                    <w:jc w:val="center"/>
                    <w:rPr>
                      <w:highlight w:val="none"/>
                      <w:u w:val="none" w:color="auto"/>
                    </w:rPr>
                  </w:pPr>
                </w:p>
              </w:tc>
              <w:tc>
                <w:tcPr>
                  <w:tcW w:w="633" w:type="pct"/>
                  <w:tcBorders>
                    <w:tl2br w:val="nil"/>
                    <w:tr2bl w:val="nil"/>
                  </w:tcBorders>
                  <w:noWrap w:val="0"/>
                  <w:vAlign w:val="center"/>
                </w:tcPr>
                <w:p w14:paraId="091C3A5F">
                  <w:pPr>
                    <w:bidi w:val="0"/>
                    <w:jc w:val="center"/>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焚烧区</w:t>
                  </w:r>
                </w:p>
              </w:tc>
              <w:tc>
                <w:tcPr>
                  <w:tcW w:w="2699" w:type="pct"/>
                  <w:tcBorders>
                    <w:tl2br w:val="nil"/>
                    <w:tr2bl w:val="nil"/>
                  </w:tcBorders>
                  <w:noWrap w:val="0"/>
                  <w:vAlign w:val="center"/>
                </w:tcPr>
                <w:p w14:paraId="2065B696">
                  <w:pPr>
                    <w:bidi w:val="0"/>
                    <w:jc w:val="center"/>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1F，</w:t>
                  </w:r>
                  <w:r>
                    <w:rPr>
                      <w:rFonts w:hint="eastAsia"/>
                      <w:szCs w:val="21"/>
                      <w:highlight w:val="none"/>
                      <w:u w:val="none" w:color="auto"/>
                    </w:rPr>
                    <w:t>位于厂区</w:t>
                  </w:r>
                  <w:r>
                    <w:rPr>
                      <w:rFonts w:hint="eastAsia"/>
                      <w:szCs w:val="21"/>
                      <w:highlight w:val="none"/>
                      <w:u w:val="none" w:color="auto"/>
                      <w:lang w:val="en-US" w:eastAsia="zh-CN"/>
                    </w:rPr>
                    <w:t>南</w:t>
                  </w:r>
                  <w:r>
                    <w:rPr>
                      <w:rFonts w:hint="eastAsia"/>
                      <w:szCs w:val="21"/>
                      <w:highlight w:val="none"/>
                      <w:u w:val="none" w:color="auto"/>
                    </w:rPr>
                    <w:t>侧，</w:t>
                  </w:r>
                  <w:r>
                    <w:rPr>
                      <w:bCs/>
                      <w:szCs w:val="21"/>
                      <w:highlight w:val="none"/>
                      <w:u w:val="none" w:color="auto"/>
                    </w:rPr>
                    <w:t>设置</w:t>
                  </w:r>
                  <w:r>
                    <w:rPr>
                      <w:rFonts w:hint="eastAsia"/>
                      <w:bCs/>
                      <w:szCs w:val="21"/>
                      <w:highlight w:val="none"/>
                      <w:u w:val="none" w:color="auto"/>
                      <w:lang w:val="en-US" w:eastAsia="zh-CN"/>
                    </w:rPr>
                    <w:t>2</w:t>
                  </w:r>
                  <w:r>
                    <w:rPr>
                      <w:bCs/>
                      <w:szCs w:val="21"/>
                      <w:highlight w:val="none"/>
                      <w:u w:val="none" w:color="auto"/>
                    </w:rPr>
                    <w:t>台</w:t>
                  </w:r>
                  <w:r>
                    <w:rPr>
                      <w:rFonts w:hint="eastAsia"/>
                      <w:bCs/>
                      <w:szCs w:val="21"/>
                      <w:highlight w:val="none"/>
                      <w:u w:val="none" w:color="auto"/>
                      <w:lang w:val="en-US" w:eastAsia="zh-CN"/>
                    </w:rPr>
                    <w:t>焚烧炉</w:t>
                  </w:r>
                </w:p>
              </w:tc>
              <w:tc>
                <w:tcPr>
                  <w:tcW w:w="580" w:type="pct"/>
                  <w:vMerge w:val="continue"/>
                  <w:tcBorders>
                    <w:tl2br w:val="nil"/>
                    <w:tr2bl w:val="nil"/>
                  </w:tcBorders>
                  <w:noWrap w:val="0"/>
                  <w:vAlign w:val="center"/>
                </w:tcPr>
                <w:p w14:paraId="32A2D148">
                  <w:pPr>
                    <w:bidi w:val="0"/>
                    <w:jc w:val="center"/>
                    <w:rPr>
                      <w:rFonts w:hint="eastAsia" w:cs="Times New Roman"/>
                      <w:color w:val="auto"/>
                      <w:highlight w:val="none"/>
                      <w:u w:val="none" w:color="auto"/>
                      <w:lang w:val="en-US" w:eastAsia="zh-CN"/>
                    </w:rPr>
                  </w:pPr>
                </w:p>
              </w:tc>
            </w:tr>
            <w:tr w14:paraId="4924E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tcBorders>
                    <w:tl2br w:val="nil"/>
                    <w:tr2bl w:val="nil"/>
                  </w:tcBorders>
                  <w:noWrap w:val="0"/>
                  <w:vAlign w:val="center"/>
                </w:tcPr>
                <w:p w14:paraId="703AC807">
                  <w:pPr>
                    <w:bidi w:val="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辅助工程</w:t>
                  </w:r>
                </w:p>
              </w:tc>
              <w:tc>
                <w:tcPr>
                  <w:tcW w:w="1023" w:type="pct"/>
                  <w:gridSpan w:val="2"/>
                  <w:tcBorders>
                    <w:tl2br w:val="nil"/>
                    <w:tr2bl w:val="nil"/>
                  </w:tcBorders>
                  <w:noWrap w:val="0"/>
                  <w:vAlign w:val="center"/>
                </w:tcPr>
                <w:p w14:paraId="30049358">
                  <w:pPr>
                    <w:bidi w:val="0"/>
                    <w:jc w:val="center"/>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办公室</w:t>
                  </w:r>
                </w:p>
              </w:tc>
              <w:tc>
                <w:tcPr>
                  <w:tcW w:w="2699" w:type="pct"/>
                  <w:tcBorders>
                    <w:tl2br w:val="nil"/>
                    <w:tr2bl w:val="nil"/>
                  </w:tcBorders>
                  <w:noWrap w:val="0"/>
                  <w:vAlign w:val="center"/>
                </w:tcPr>
                <w:p w14:paraId="28B3C745">
                  <w:pPr>
                    <w:bidi w:val="0"/>
                    <w:jc w:val="center"/>
                    <w:rPr>
                      <w:rFonts w:hint="default" w:ascii="Times New Roman" w:hAnsi="Times New Roman" w:cs="Times New Roman"/>
                      <w:color w:val="auto"/>
                      <w:highlight w:val="none"/>
                      <w:u w:val="none" w:color="auto"/>
                      <w:lang w:val="en-US" w:eastAsia="zh-CN"/>
                    </w:rPr>
                  </w:pPr>
                  <w:r>
                    <w:rPr>
                      <w:rFonts w:hint="eastAsia"/>
                      <w:color w:val="auto"/>
                      <w:highlight w:val="none"/>
                      <w:u w:val="none" w:color="auto"/>
                      <w:lang w:val="en-US" w:eastAsia="zh-CN"/>
                    </w:rPr>
                    <w:t>砖混结构，1F</w:t>
                  </w:r>
                  <w:r>
                    <w:rPr>
                      <w:rFonts w:hint="eastAsia"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建筑面积为</w:t>
                  </w:r>
                  <w:r>
                    <w:rPr>
                      <w:rFonts w:hint="eastAsia" w:cs="Times New Roman"/>
                      <w:color w:val="auto"/>
                      <w:highlight w:val="none"/>
                      <w:u w:val="none" w:color="auto"/>
                      <w:lang w:val="en-US" w:eastAsia="zh-CN"/>
                    </w:rPr>
                    <w:t>25</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eastAsia"/>
                      <w:color w:val="auto"/>
                      <w:highlight w:val="none"/>
                      <w:u w:val="none" w:color="auto"/>
                      <w:lang w:val="en-US" w:eastAsia="zh-CN"/>
                    </w:rPr>
                    <w:t>，位于</w:t>
                  </w:r>
                  <w:r>
                    <w:rPr>
                      <w:rFonts w:hint="default" w:ascii="Times New Roman" w:hAnsi="Times New Roman" w:eastAsia="宋体" w:cs="Times New Roman"/>
                      <w:color w:val="auto"/>
                      <w:highlight w:val="none"/>
                      <w:u w:val="none" w:color="auto"/>
                      <w:lang w:val="en-US" w:eastAsia="zh-CN"/>
                    </w:rPr>
                    <w:t>用于厂区</w:t>
                  </w:r>
                  <w:r>
                    <w:rPr>
                      <w:rFonts w:hint="eastAsia" w:cs="Times New Roman"/>
                      <w:color w:val="auto"/>
                      <w:highlight w:val="none"/>
                      <w:u w:val="none" w:color="auto"/>
                      <w:lang w:val="en-US" w:eastAsia="zh-CN"/>
                    </w:rPr>
                    <w:t>西北侧，人员办公</w:t>
                  </w:r>
                </w:p>
              </w:tc>
              <w:tc>
                <w:tcPr>
                  <w:tcW w:w="580" w:type="pct"/>
                  <w:tcBorders>
                    <w:tl2br w:val="nil"/>
                    <w:tr2bl w:val="nil"/>
                  </w:tcBorders>
                  <w:noWrap w:val="0"/>
                  <w:vAlign w:val="center"/>
                </w:tcPr>
                <w:p w14:paraId="05216859">
                  <w:pPr>
                    <w:bidi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557C5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restart"/>
                  <w:tcBorders>
                    <w:tl2br w:val="nil"/>
                    <w:tr2bl w:val="nil"/>
                  </w:tcBorders>
                  <w:noWrap w:val="0"/>
                  <w:vAlign w:val="center"/>
                </w:tcPr>
                <w:p w14:paraId="48D56D2A">
                  <w:pPr>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储运工程</w:t>
                  </w:r>
                </w:p>
              </w:tc>
              <w:tc>
                <w:tcPr>
                  <w:tcW w:w="1023" w:type="pct"/>
                  <w:gridSpan w:val="2"/>
                  <w:tcBorders>
                    <w:tl2br w:val="nil"/>
                    <w:tr2bl w:val="nil"/>
                  </w:tcBorders>
                  <w:noWrap w:val="0"/>
                  <w:vAlign w:val="center"/>
                </w:tcPr>
                <w:p w14:paraId="433CECDB">
                  <w:pPr>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原材料堆场</w:t>
                  </w:r>
                </w:p>
              </w:tc>
              <w:tc>
                <w:tcPr>
                  <w:tcW w:w="2699" w:type="pct"/>
                  <w:tcBorders>
                    <w:tl2br w:val="nil"/>
                    <w:tr2bl w:val="nil"/>
                  </w:tcBorders>
                  <w:noWrap w:val="0"/>
                  <w:vAlign w:val="top"/>
                </w:tcPr>
                <w:p w14:paraId="1C84216D">
                  <w:pPr>
                    <w:bidi w:val="0"/>
                    <w:jc w:val="center"/>
                    <w:rPr>
                      <w:rFonts w:hint="default" w:ascii="Times New Roman" w:hAnsi="Times New Roman" w:cs="Times New Roman"/>
                      <w:color w:val="auto"/>
                      <w:highlight w:val="none"/>
                      <w:u w:val="none" w:color="auto"/>
                      <w:lang w:val="en-US" w:eastAsia="zh-CN"/>
                    </w:rPr>
                  </w:pPr>
                  <w:r>
                    <w:rPr>
                      <w:rFonts w:hint="eastAsia"/>
                      <w:color w:val="auto"/>
                      <w:highlight w:val="none"/>
                      <w:u w:val="none" w:color="auto"/>
                      <w:lang w:val="en-US" w:eastAsia="zh-CN"/>
                    </w:rPr>
                    <w:t>1</w:t>
                  </w:r>
                  <w:r>
                    <w:rPr>
                      <w:rFonts w:hint="eastAsia" w:eastAsia="宋体"/>
                      <w:color w:val="auto"/>
                      <w:highlight w:val="none"/>
                      <w:u w:val="none" w:color="auto"/>
                      <w:lang w:val="en-US" w:eastAsia="zh-CN"/>
                    </w:rPr>
                    <w:t>F，</w:t>
                  </w:r>
                  <w:r>
                    <w:rPr>
                      <w:rFonts w:hint="default" w:ascii="Times New Roman" w:hAnsi="Times New Roman" w:cs="Times New Roman"/>
                      <w:color w:val="auto"/>
                      <w:highlight w:val="none"/>
                      <w:u w:val="none" w:color="auto"/>
                      <w:lang w:val="en-US" w:eastAsia="zh-CN"/>
                    </w:rPr>
                    <w:t>建筑</w:t>
                  </w:r>
                  <w:r>
                    <w:rPr>
                      <w:rFonts w:hint="default" w:ascii="Times New Roman" w:hAnsi="Times New Roman" w:eastAsia="宋体" w:cs="Times New Roman"/>
                      <w:color w:val="auto"/>
                      <w:highlight w:val="none"/>
                      <w:u w:val="none" w:color="auto"/>
                      <w:lang w:val="en-US" w:eastAsia="zh-CN"/>
                    </w:rPr>
                    <w:t>面积为</w:t>
                  </w:r>
                  <w:r>
                    <w:rPr>
                      <w:rFonts w:hint="eastAsia" w:cs="Times New Roman"/>
                      <w:color w:val="auto"/>
                      <w:highlight w:val="none"/>
                      <w:u w:val="none" w:color="auto"/>
                      <w:lang w:val="en-US" w:eastAsia="zh-CN"/>
                    </w:rPr>
                    <w:t>525</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default" w:ascii="Times New Roman" w:hAnsi="Times New Roman" w:cs="Times New Roman"/>
                      <w:color w:val="auto"/>
                      <w:highlight w:val="none"/>
                      <w:u w:val="none" w:color="auto"/>
                      <w:lang w:val="en-US" w:eastAsia="zh-CN"/>
                    </w:rPr>
                    <w:t>，位于厂区</w:t>
                  </w:r>
                  <w:r>
                    <w:rPr>
                      <w:rFonts w:hint="eastAsia" w:cs="Times New Roman"/>
                      <w:color w:val="auto"/>
                      <w:highlight w:val="none"/>
                      <w:u w:val="none" w:color="auto"/>
                      <w:lang w:val="en-US" w:eastAsia="zh-CN"/>
                    </w:rPr>
                    <w:t>西</w:t>
                  </w:r>
                  <w:r>
                    <w:rPr>
                      <w:rFonts w:hint="default" w:ascii="Times New Roman" w:hAnsi="Times New Roman" w:cs="Times New Roman"/>
                      <w:color w:val="auto"/>
                      <w:highlight w:val="none"/>
                      <w:u w:val="none" w:color="auto"/>
                      <w:lang w:val="en-US" w:eastAsia="zh-CN"/>
                    </w:rPr>
                    <w:t>侧</w:t>
                  </w:r>
                  <w:r>
                    <w:rPr>
                      <w:rFonts w:hint="eastAsia" w:cs="Times New Roman"/>
                      <w:color w:val="auto"/>
                      <w:highlight w:val="none"/>
                      <w:u w:val="none" w:color="auto"/>
                      <w:lang w:val="en-US" w:eastAsia="zh-CN"/>
                    </w:rPr>
                    <w:t>，主要用于堆放原材料</w:t>
                  </w:r>
                </w:p>
              </w:tc>
              <w:tc>
                <w:tcPr>
                  <w:tcW w:w="580" w:type="pct"/>
                  <w:tcBorders>
                    <w:tl2br w:val="nil"/>
                    <w:tr2bl w:val="nil"/>
                  </w:tcBorders>
                  <w:noWrap w:val="0"/>
                  <w:vAlign w:val="center"/>
                </w:tcPr>
                <w:p w14:paraId="1F4009A7">
                  <w:pPr>
                    <w:keepNext w:val="0"/>
                    <w:keepLines w:val="0"/>
                    <w:widowControl/>
                    <w:suppressLineNumbers w:val="0"/>
                    <w:jc w:val="center"/>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6D4D4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center"/>
                </w:tcPr>
                <w:p w14:paraId="5E91E4C7">
                  <w:pPr>
                    <w:bidi w:val="0"/>
                    <w:jc w:val="center"/>
                    <w:rPr>
                      <w:rFonts w:hint="default" w:ascii="Times New Roman" w:hAnsi="Times New Roman" w:cs="Times New Roman"/>
                      <w:color w:val="auto"/>
                      <w:highlight w:val="none"/>
                      <w:u w:val="none" w:color="auto"/>
                      <w:lang w:val="en-US" w:eastAsia="zh-CN"/>
                    </w:rPr>
                  </w:pPr>
                </w:p>
              </w:tc>
              <w:tc>
                <w:tcPr>
                  <w:tcW w:w="1023" w:type="pct"/>
                  <w:gridSpan w:val="2"/>
                  <w:tcBorders>
                    <w:tl2br w:val="nil"/>
                    <w:tr2bl w:val="nil"/>
                  </w:tcBorders>
                  <w:noWrap w:val="0"/>
                  <w:vAlign w:val="center"/>
                </w:tcPr>
                <w:p w14:paraId="3289C687">
                  <w:pPr>
                    <w:bidi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成品堆放区</w:t>
                  </w:r>
                </w:p>
              </w:tc>
              <w:tc>
                <w:tcPr>
                  <w:tcW w:w="2699" w:type="pct"/>
                  <w:tcBorders>
                    <w:tl2br w:val="nil"/>
                    <w:tr2bl w:val="nil"/>
                  </w:tcBorders>
                  <w:noWrap w:val="0"/>
                  <w:vAlign w:val="top"/>
                </w:tcPr>
                <w:p w14:paraId="4889155D">
                  <w:pPr>
                    <w:bidi w:val="0"/>
                    <w:jc w:val="center"/>
                    <w:rPr>
                      <w:rFonts w:hint="default"/>
                      <w:color w:val="auto"/>
                      <w:highlight w:val="none"/>
                      <w:u w:val="none" w:color="auto"/>
                      <w:lang w:val="en-US" w:eastAsia="zh-CN"/>
                    </w:rPr>
                  </w:pPr>
                  <w:r>
                    <w:rPr>
                      <w:rFonts w:hint="eastAsia"/>
                      <w:color w:val="auto"/>
                      <w:highlight w:val="none"/>
                      <w:u w:val="none" w:color="auto"/>
                      <w:lang w:val="en-US" w:eastAsia="zh-CN"/>
                    </w:rPr>
                    <w:t>1F，</w:t>
                  </w:r>
                  <w:r>
                    <w:rPr>
                      <w:rFonts w:hint="default" w:ascii="Times New Roman" w:hAnsi="Times New Roman" w:cs="Times New Roman"/>
                      <w:color w:val="auto"/>
                      <w:highlight w:val="none"/>
                      <w:u w:val="none" w:color="auto"/>
                      <w:lang w:val="en-US" w:eastAsia="zh-CN"/>
                    </w:rPr>
                    <w:t>建筑</w:t>
                  </w:r>
                  <w:r>
                    <w:rPr>
                      <w:rFonts w:hint="default" w:ascii="Times New Roman" w:hAnsi="Times New Roman" w:eastAsia="宋体" w:cs="Times New Roman"/>
                      <w:color w:val="auto"/>
                      <w:highlight w:val="none"/>
                      <w:u w:val="none" w:color="auto"/>
                      <w:lang w:val="en-US" w:eastAsia="zh-CN"/>
                    </w:rPr>
                    <w:t>面积为</w:t>
                  </w:r>
                  <w:r>
                    <w:rPr>
                      <w:rFonts w:hint="eastAsia" w:cs="Times New Roman"/>
                      <w:color w:val="auto"/>
                      <w:highlight w:val="none"/>
                      <w:u w:val="none" w:color="auto"/>
                      <w:lang w:val="en-US" w:eastAsia="zh-CN"/>
                    </w:rPr>
                    <w:t>525</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default" w:ascii="Times New Roman" w:hAnsi="Times New Roman" w:cs="Times New Roman"/>
                      <w:color w:val="auto"/>
                      <w:highlight w:val="none"/>
                      <w:u w:val="none" w:color="auto"/>
                      <w:lang w:val="en-US" w:eastAsia="zh-CN"/>
                    </w:rPr>
                    <w:t>，位于厂区</w:t>
                  </w:r>
                  <w:r>
                    <w:rPr>
                      <w:rFonts w:hint="eastAsia" w:cs="Times New Roman"/>
                      <w:color w:val="auto"/>
                      <w:highlight w:val="none"/>
                      <w:u w:val="none" w:color="auto"/>
                      <w:lang w:val="en-US" w:eastAsia="zh-CN"/>
                    </w:rPr>
                    <w:t>北</w:t>
                  </w:r>
                  <w:r>
                    <w:rPr>
                      <w:rFonts w:hint="default" w:ascii="Times New Roman" w:hAnsi="Times New Roman" w:cs="Times New Roman"/>
                      <w:color w:val="auto"/>
                      <w:highlight w:val="none"/>
                      <w:u w:val="none" w:color="auto"/>
                      <w:lang w:val="en-US" w:eastAsia="zh-CN"/>
                    </w:rPr>
                    <w:t>侧</w:t>
                  </w:r>
                  <w:r>
                    <w:rPr>
                      <w:rFonts w:hint="eastAsia" w:ascii="Times New Roman" w:hAnsi="Times New Roman" w:cs="Times New Roman"/>
                      <w:color w:val="auto"/>
                      <w:highlight w:val="none"/>
                      <w:u w:val="none" w:color="auto"/>
                      <w:lang w:val="en-US" w:eastAsia="zh-CN"/>
                    </w:rPr>
                    <w:t>，</w:t>
                  </w:r>
                  <w:r>
                    <w:rPr>
                      <w:rFonts w:hint="eastAsia" w:cs="Times New Roman"/>
                      <w:color w:val="auto"/>
                      <w:highlight w:val="none"/>
                      <w:u w:val="none" w:color="auto"/>
                      <w:lang w:val="en-US" w:eastAsia="zh-CN"/>
                    </w:rPr>
                    <w:t>用于堆放成品</w:t>
                  </w:r>
                </w:p>
              </w:tc>
              <w:tc>
                <w:tcPr>
                  <w:tcW w:w="580" w:type="pct"/>
                  <w:tcBorders>
                    <w:tl2br w:val="nil"/>
                    <w:tr2bl w:val="nil"/>
                  </w:tcBorders>
                  <w:noWrap w:val="0"/>
                  <w:vAlign w:val="center"/>
                </w:tcPr>
                <w:p w14:paraId="0AAFFC98">
                  <w:pPr>
                    <w:keepNext w:val="0"/>
                    <w:keepLines w:val="0"/>
                    <w:widowControl/>
                    <w:suppressLineNumbers w:val="0"/>
                    <w:jc w:val="center"/>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1A46D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restart"/>
                  <w:tcBorders>
                    <w:tl2br w:val="nil"/>
                    <w:tr2bl w:val="nil"/>
                  </w:tcBorders>
                  <w:noWrap w:val="0"/>
                  <w:vAlign w:val="center"/>
                </w:tcPr>
                <w:p w14:paraId="27B81351">
                  <w:pPr>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公用工程</w:t>
                  </w:r>
                </w:p>
              </w:tc>
              <w:tc>
                <w:tcPr>
                  <w:tcW w:w="1023" w:type="pct"/>
                  <w:gridSpan w:val="2"/>
                  <w:tcBorders>
                    <w:tl2br w:val="nil"/>
                    <w:tr2bl w:val="nil"/>
                  </w:tcBorders>
                  <w:noWrap w:val="0"/>
                  <w:vAlign w:val="center"/>
                </w:tcPr>
                <w:p w14:paraId="1CC546C5">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排水</w:t>
                  </w:r>
                </w:p>
              </w:tc>
              <w:tc>
                <w:tcPr>
                  <w:tcW w:w="2699" w:type="pct"/>
                  <w:tcBorders>
                    <w:tl2br w:val="nil"/>
                    <w:tr2bl w:val="nil"/>
                  </w:tcBorders>
                  <w:noWrap w:val="0"/>
                  <w:vAlign w:val="center"/>
                </w:tcPr>
                <w:p w14:paraId="297B6FF8">
                  <w:pPr>
                    <w:bidi w:val="0"/>
                    <w:jc w:val="center"/>
                    <w:rPr>
                      <w:rFonts w:hint="default" w:ascii="Times New Roman" w:hAnsi="Times New Roman" w:cs="Times New Roman"/>
                      <w:color w:val="auto"/>
                      <w:highlight w:val="none"/>
                      <w:u w:val="none" w:color="auto"/>
                      <w:lang w:val="en-US" w:eastAsia="zh-CN"/>
                    </w:rPr>
                  </w:pPr>
                  <w:r>
                    <w:rPr>
                      <w:rFonts w:hint="default" w:eastAsia="宋体"/>
                      <w:color w:val="auto"/>
                      <w:highlight w:val="none"/>
                      <w:u w:val="none" w:color="auto"/>
                      <w:lang w:val="en-US" w:eastAsia="zh-CN"/>
                    </w:rPr>
                    <w:t>项目实行雨污分流制</w:t>
                  </w:r>
                </w:p>
              </w:tc>
              <w:tc>
                <w:tcPr>
                  <w:tcW w:w="580" w:type="pct"/>
                  <w:vMerge w:val="restart"/>
                  <w:tcBorders>
                    <w:tl2br w:val="nil"/>
                    <w:tr2bl w:val="nil"/>
                  </w:tcBorders>
                  <w:noWrap w:val="0"/>
                  <w:vAlign w:val="center"/>
                </w:tcPr>
                <w:p w14:paraId="491E8C2F">
                  <w:pPr>
                    <w:keepNext w:val="0"/>
                    <w:keepLines w:val="0"/>
                    <w:widowControl/>
                    <w:suppressLineNumbers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依托</w:t>
                  </w:r>
                </w:p>
              </w:tc>
            </w:tr>
            <w:tr w14:paraId="6917A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top"/>
                </w:tcPr>
                <w:p w14:paraId="192F2424">
                  <w:pPr>
                    <w:bidi w:val="0"/>
                    <w:jc w:val="left"/>
                    <w:rPr>
                      <w:rFonts w:hint="default" w:ascii="Times New Roman" w:hAnsi="Times New Roman" w:cs="Times New Roman"/>
                      <w:color w:val="auto"/>
                      <w:highlight w:val="none"/>
                      <w:u w:val="none" w:color="auto"/>
                      <w:lang w:val="en-US" w:eastAsia="zh-CN"/>
                    </w:rPr>
                  </w:pPr>
                </w:p>
              </w:tc>
              <w:tc>
                <w:tcPr>
                  <w:tcW w:w="1023" w:type="pct"/>
                  <w:gridSpan w:val="2"/>
                  <w:tcBorders>
                    <w:tl2br w:val="nil"/>
                    <w:tr2bl w:val="nil"/>
                  </w:tcBorders>
                  <w:noWrap w:val="0"/>
                  <w:vAlign w:val="center"/>
                </w:tcPr>
                <w:p w14:paraId="4B2F54AF">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供电</w:t>
                  </w:r>
                </w:p>
              </w:tc>
              <w:tc>
                <w:tcPr>
                  <w:tcW w:w="2699" w:type="pct"/>
                  <w:tcBorders>
                    <w:tl2br w:val="nil"/>
                    <w:tr2bl w:val="nil"/>
                  </w:tcBorders>
                  <w:noWrap w:val="0"/>
                  <w:vAlign w:val="center"/>
                </w:tcPr>
                <w:p w14:paraId="04B0E6CC">
                  <w:pPr>
                    <w:bidi w:val="0"/>
                    <w:jc w:val="center"/>
                    <w:rPr>
                      <w:rFonts w:hint="default" w:eastAsia="宋体"/>
                      <w:color w:val="auto"/>
                      <w:highlight w:val="none"/>
                      <w:u w:val="none" w:color="auto"/>
                      <w:lang w:val="en-US" w:eastAsia="zh-CN"/>
                    </w:rPr>
                  </w:pP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p>
              </w:tc>
              <w:tc>
                <w:tcPr>
                  <w:tcW w:w="580" w:type="pct"/>
                  <w:vMerge w:val="continue"/>
                  <w:tcBorders>
                    <w:tl2br w:val="nil"/>
                    <w:tr2bl w:val="nil"/>
                  </w:tcBorders>
                  <w:noWrap w:val="0"/>
                  <w:vAlign w:val="center"/>
                </w:tcPr>
                <w:p w14:paraId="0F13D9D4">
                  <w:pPr>
                    <w:bidi w:val="0"/>
                    <w:jc w:val="both"/>
                    <w:rPr>
                      <w:rFonts w:hint="default" w:ascii="Times New Roman" w:hAnsi="Times New Roman" w:eastAsia="宋体" w:cs="Times New Roman"/>
                      <w:color w:val="auto"/>
                      <w:highlight w:val="none"/>
                      <w:u w:val="none" w:color="auto"/>
                      <w:lang w:val="en-US" w:eastAsia="zh-CN"/>
                    </w:rPr>
                  </w:pPr>
                </w:p>
              </w:tc>
            </w:tr>
            <w:tr w14:paraId="39B8E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696" w:type="pct"/>
                  <w:vMerge w:val="continue"/>
                  <w:tcBorders>
                    <w:tl2br w:val="nil"/>
                    <w:tr2bl w:val="nil"/>
                  </w:tcBorders>
                  <w:noWrap w:val="0"/>
                  <w:vAlign w:val="top"/>
                </w:tcPr>
                <w:p w14:paraId="1D6ED472">
                  <w:pPr>
                    <w:bidi w:val="0"/>
                    <w:jc w:val="left"/>
                    <w:rPr>
                      <w:rFonts w:hint="default" w:ascii="Times New Roman" w:hAnsi="Times New Roman" w:cs="Times New Roman"/>
                      <w:color w:val="auto"/>
                      <w:highlight w:val="none"/>
                      <w:u w:val="none" w:color="auto"/>
                      <w:lang w:val="en-US" w:eastAsia="zh-CN"/>
                    </w:rPr>
                  </w:pPr>
                </w:p>
              </w:tc>
              <w:tc>
                <w:tcPr>
                  <w:tcW w:w="1023" w:type="pct"/>
                  <w:gridSpan w:val="2"/>
                  <w:tcBorders>
                    <w:tl2br w:val="nil"/>
                    <w:tr2bl w:val="nil"/>
                  </w:tcBorders>
                  <w:noWrap w:val="0"/>
                  <w:vAlign w:val="center"/>
                </w:tcPr>
                <w:p w14:paraId="5D3C842C">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供水</w:t>
                  </w:r>
                </w:p>
              </w:tc>
              <w:tc>
                <w:tcPr>
                  <w:tcW w:w="2699" w:type="pct"/>
                  <w:tcBorders>
                    <w:tl2br w:val="nil"/>
                    <w:tr2bl w:val="nil"/>
                  </w:tcBorders>
                  <w:noWrap w:val="0"/>
                  <w:vAlign w:val="center"/>
                </w:tcPr>
                <w:p w14:paraId="25C5C29E">
                  <w:pPr>
                    <w:bidi w:val="0"/>
                    <w:jc w:val="center"/>
                    <w:rPr>
                      <w:rFonts w:hint="default" w:eastAsia="宋体"/>
                      <w:color w:val="auto"/>
                      <w:highlight w:val="none"/>
                      <w:u w:val="none" w:color="auto"/>
                      <w:lang w:val="en-US" w:eastAsia="zh-CN"/>
                    </w:rPr>
                  </w:pPr>
                  <w:r>
                    <w:rPr>
                      <w:rFonts w:hint="default" w:eastAsia="宋体"/>
                      <w:color w:val="auto"/>
                      <w:highlight w:val="none"/>
                      <w:u w:val="none" w:color="auto"/>
                      <w:lang w:val="en-US" w:eastAsia="zh-CN"/>
                    </w:rPr>
                    <w:t>市政供水</w:t>
                  </w:r>
                </w:p>
              </w:tc>
              <w:tc>
                <w:tcPr>
                  <w:tcW w:w="580" w:type="pct"/>
                  <w:vMerge w:val="continue"/>
                  <w:tcBorders>
                    <w:tl2br w:val="nil"/>
                    <w:tr2bl w:val="nil"/>
                  </w:tcBorders>
                  <w:noWrap w:val="0"/>
                  <w:vAlign w:val="center"/>
                </w:tcPr>
                <w:p w14:paraId="14788727">
                  <w:pPr>
                    <w:bidi w:val="0"/>
                    <w:jc w:val="both"/>
                    <w:rPr>
                      <w:rFonts w:hint="default" w:ascii="Times New Roman" w:hAnsi="Times New Roman" w:eastAsia="宋体" w:cs="Times New Roman"/>
                      <w:color w:val="auto"/>
                      <w:highlight w:val="none"/>
                      <w:u w:val="none" w:color="auto"/>
                      <w:lang w:val="en-US" w:eastAsia="zh-CN"/>
                    </w:rPr>
                  </w:pPr>
                </w:p>
              </w:tc>
            </w:tr>
            <w:tr w14:paraId="101B1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trPr>
              <w:tc>
                <w:tcPr>
                  <w:tcW w:w="696" w:type="pct"/>
                  <w:vMerge w:val="restart"/>
                  <w:tcBorders>
                    <w:tl2br w:val="nil"/>
                    <w:tr2bl w:val="nil"/>
                  </w:tcBorders>
                  <w:noWrap w:val="0"/>
                  <w:vAlign w:val="center"/>
                </w:tcPr>
                <w:p w14:paraId="31C4B783">
                  <w:pPr>
                    <w:bidi w:val="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环保工程</w:t>
                  </w:r>
                </w:p>
              </w:tc>
              <w:tc>
                <w:tcPr>
                  <w:tcW w:w="1023" w:type="pct"/>
                  <w:gridSpan w:val="2"/>
                  <w:vMerge w:val="restart"/>
                  <w:tcBorders>
                    <w:tl2br w:val="nil"/>
                    <w:tr2bl w:val="nil"/>
                  </w:tcBorders>
                  <w:noWrap w:val="0"/>
                  <w:vAlign w:val="center"/>
                </w:tcPr>
                <w:p w14:paraId="7ABCE165">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废气治理</w:t>
                  </w:r>
                </w:p>
              </w:tc>
              <w:tc>
                <w:tcPr>
                  <w:tcW w:w="2699" w:type="pct"/>
                  <w:tcBorders>
                    <w:tl2br w:val="nil"/>
                    <w:tr2bl w:val="nil"/>
                  </w:tcBorders>
                  <w:noWrap w:val="0"/>
                  <w:vAlign w:val="center"/>
                </w:tcPr>
                <w:p w14:paraId="0C9CE49C">
                  <w:pPr>
                    <w:bidi w:val="0"/>
                    <w:jc w:val="center"/>
                    <w:rPr>
                      <w:rFonts w:hint="eastAsia" w:cs="Times New Roman"/>
                      <w:color w:val="auto"/>
                      <w:highlight w:val="none"/>
                      <w:u w:val="none" w:color="auto"/>
                      <w:lang w:val="en-US" w:eastAsia="zh-CN"/>
                    </w:rPr>
                  </w:pPr>
                  <w:r>
                    <w:rPr>
                      <w:rFonts w:hint="eastAsia"/>
                      <w:highlight w:val="none"/>
                      <w:u w:val="none" w:color="auto"/>
                      <w:lang w:val="en-US" w:eastAsia="zh-CN"/>
                    </w:rPr>
                    <w:t>有组织：</w:t>
                  </w:r>
                  <w:r>
                    <w:rPr>
                      <w:rFonts w:hint="eastAsia"/>
                      <w:highlight w:val="none"/>
                      <w:u w:val="none" w:color="auto"/>
                    </w:rPr>
                    <w:t>焚烧炉废气经</w:t>
                  </w:r>
                  <w:r>
                    <w:rPr>
                      <w:rFonts w:hint="eastAsia"/>
                      <w:highlight w:val="none"/>
                      <w:u w:val="none" w:color="auto"/>
                      <w:lang w:val="en-US" w:eastAsia="zh-CN"/>
                    </w:rPr>
                    <w:t>水膜</w:t>
                  </w:r>
                  <w:r>
                    <w:rPr>
                      <w:rFonts w:hint="eastAsia"/>
                      <w:highlight w:val="none"/>
                      <w:u w:val="none" w:color="auto"/>
                    </w:rPr>
                    <w:t>除尘</w:t>
                  </w:r>
                  <w:r>
                    <w:rPr>
                      <w:rFonts w:hint="eastAsia"/>
                      <w:highlight w:val="none"/>
                      <w:u w:val="none" w:color="auto"/>
                      <w:lang w:val="en-US" w:eastAsia="zh-CN"/>
                    </w:rPr>
                    <w:t>装置</w:t>
                  </w:r>
                  <w:r>
                    <w:rPr>
                      <w:rFonts w:hint="eastAsia"/>
                      <w:highlight w:val="none"/>
                      <w:u w:val="none" w:color="auto"/>
                    </w:rPr>
                    <w:t>处理</w:t>
                  </w:r>
                  <w:r>
                    <w:rPr>
                      <w:rFonts w:hint="eastAsia"/>
                      <w:highlight w:val="none"/>
                      <w:u w:val="none" w:color="auto"/>
                      <w:lang w:val="en-US" w:eastAsia="zh-CN"/>
                    </w:rPr>
                    <w:t>后</w:t>
                  </w:r>
                  <w:r>
                    <w:rPr>
                      <w:rFonts w:hint="eastAsia"/>
                      <w:highlight w:val="none"/>
                      <w:u w:val="none" w:color="auto"/>
                    </w:rPr>
                    <w:t>经15m</w:t>
                  </w:r>
                  <w:r>
                    <w:rPr>
                      <w:rFonts w:hint="eastAsia"/>
                      <w:highlight w:val="none"/>
                      <w:u w:val="none" w:color="auto"/>
                      <w:lang w:eastAsia="zh-CN"/>
                    </w:rPr>
                    <w:t>排气筒</w:t>
                  </w:r>
                  <w:r>
                    <w:rPr>
                      <w:rFonts w:hint="eastAsia"/>
                      <w:highlight w:val="none"/>
                      <w:u w:val="none" w:color="auto"/>
                    </w:rPr>
                    <w:t>排放(DA001)</w:t>
                  </w:r>
                </w:p>
              </w:tc>
              <w:tc>
                <w:tcPr>
                  <w:tcW w:w="580" w:type="pct"/>
                  <w:tcBorders>
                    <w:tl2br w:val="nil"/>
                    <w:tr2bl w:val="nil"/>
                  </w:tcBorders>
                  <w:noWrap w:val="0"/>
                  <w:vAlign w:val="center"/>
                </w:tcPr>
                <w:p w14:paraId="7BBAA9BD">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已建</w:t>
                  </w:r>
                </w:p>
              </w:tc>
            </w:tr>
            <w:tr w14:paraId="18CCA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trPr>
              <w:tc>
                <w:tcPr>
                  <w:tcW w:w="696" w:type="pct"/>
                  <w:vMerge w:val="continue"/>
                  <w:tcBorders>
                    <w:tl2br w:val="nil"/>
                    <w:tr2bl w:val="nil"/>
                  </w:tcBorders>
                  <w:noWrap w:val="0"/>
                  <w:vAlign w:val="center"/>
                </w:tcPr>
                <w:p w14:paraId="6593FF5E">
                  <w:pPr>
                    <w:bidi w:val="0"/>
                    <w:jc w:val="center"/>
                    <w:rPr>
                      <w:rFonts w:hint="default" w:ascii="Times New Roman" w:hAnsi="Times New Roman" w:cs="Times New Roman"/>
                      <w:color w:val="auto"/>
                      <w:highlight w:val="none"/>
                      <w:u w:val="none" w:color="auto"/>
                      <w:lang w:val="en-US" w:eastAsia="zh-CN"/>
                    </w:rPr>
                  </w:pPr>
                </w:p>
              </w:tc>
              <w:tc>
                <w:tcPr>
                  <w:tcW w:w="1023" w:type="pct"/>
                  <w:gridSpan w:val="2"/>
                  <w:vMerge w:val="continue"/>
                  <w:tcBorders>
                    <w:tl2br w:val="nil"/>
                    <w:tr2bl w:val="nil"/>
                  </w:tcBorders>
                  <w:noWrap w:val="0"/>
                  <w:vAlign w:val="center"/>
                </w:tcPr>
                <w:p w14:paraId="414639CE">
                  <w:pPr>
                    <w:bidi w:val="0"/>
                    <w:jc w:val="center"/>
                    <w:rPr>
                      <w:rFonts w:hint="default" w:ascii="Times New Roman" w:hAnsi="Times New Roman" w:cs="Times New Roman"/>
                      <w:color w:val="auto"/>
                      <w:highlight w:val="none"/>
                      <w:u w:val="none" w:color="auto"/>
                      <w:lang w:val="en-US" w:eastAsia="zh-CN"/>
                    </w:rPr>
                  </w:pPr>
                </w:p>
              </w:tc>
              <w:tc>
                <w:tcPr>
                  <w:tcW w:w="2699" w:type="pct"/>
                  <w:tcBorders>
                    <w:tl2br w:val="nil"/>
                    <w:tr2bl w:val="nil"/>
                  </w:tcBorders>
                  <w:noWrap w:val="0"/>
                  <w:vAlign w:val="center"/>
                </w:tcPr>
                <w:p w14:paraId="7F97C680">
                  <w:pPr>
                    <w:keepNext w:val="0"/>
                    <w:keepLines w:val="0"/>
                    <w:widowControl/>
                    <w:suppressLineNumbers w:val="0"/>
                    <w:jc w:val="center"/>
                    <w:rPr>
                      <w:rFonts w:hint="default" w:eastAsia="宋体"/>
                      <w:highlight w:val="none"/>
                      <w:u w:val="none" w:color="auto"/>
                      <w:lang w:val="en-US" w:eastAsia="zh-CN"/>
                    </w:rPr>
                  </w:pPr>
                  <w:r>
                    <w:rPr>
                      <w:rFonts w:hint="eastAsia" w:ascii="Times New Roman" w:hAnsi="Times New Roman" w:eastAsia="宋体" w:cs="Times New Roman"/>
                      <w:highlight w:val="none"/>
                      <w:u w:val="none" w:color="auto"/>
                      <w:lang w:val="en-US" w:eastAsia="zh-CN"/>
                    </w:rPr>
                    <w:t>无组织：钢瓶抽残气</w:t>
                  </w:r>
                  <w:r>
                    <w:rPr>
                      <w:rFonts w:hint="eastAsia" w:cs="Times New Roman"/>
                      <w:highlight w:val="none"/>
                      <w:u w:val="none" w:color="auto"/>
                      <w:lang w:val="en-US" w:eastAsia="zh-CN"/>
                    </w:rPr>
                    <w:t>和</w:t>
                  </w:r>
                  <w:r>
                    <w:rPr>
                      <w:rFonts w:hint="eastAsia"/>
                      <w:highlight w:val="none"/>
                      <w:u w:val="none" w:color="auto"/>
                      <w:lang w:val="en-US" w:eastAsia="zh-CN"/>
                    </w:rPr>
                    <w:t>拆卸瓶阀</w:t>
                  </w:r>
                  <w:r>
                    <w:rPr>
                      <w:rFonts w:hint="eastAsia" w:ascii="Times New Roman" w:hAnsi="Times New Roman" w:eastAsia="宋体" w:cs="Times New Roman"/>
                      <w:highlight w:val="none"/>
                      <w:u w:val="none" w:color="auto"/>
                      <w:lang w:val="en-US" w:eastAsia="zh-CN"/>
                    </w:rPr>
                    <w:t>产生的废气</w:t>
                  </w:r>
                  <w:r>
                    <w:rPr>
                      <w:rFonts w:hint="eastAsia" w:cs="Times New Roman"/>
                      <w:highlight w:val="none"/>
                      <w:u w:val="none" w:color="auto"/>
                      <w:lang w:val="en-US" w:eastAsia="zh-CN"/>
                    </w:rPr>
                    <w:t>无组织扩散</w:t>
                  </w:r>
                </w:p>
              </w:tc>
              <w:tc>
                <w:tcPr>
                  <w:tcW w:w="580" w:type="pct"/>
                  <w:tcBorders>
                    <w:tl2br w:val="nil"/>
                    <w:tr2bl w:val="nil"/>
                  </w:tcBorders>
                  <w:noWrap w:val="0"/>
                  <w:vAlign w:val="center"/>
                </w:tcPr>
                <w:p w14:paraId="4318C4B4">
                  <w:pPr>
                    <w:bidi w:val="0"/>
                    <w:jc w:val="center"/>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已建</w:t>
                  </w:r>
                </w:p>
              </w:tc>
            </w:tr>
            <w:tr w14:paraId="48966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trPr>
              <w:tc>
                <w:tcPr>
                  <w:tcW w:w="696" w:type="pct"/>
                  <w:vMerge w:val="continue"/>
                  <w:tcBorders>
                    <w:tl2br w:val="nil"/>
                    <w:tr2bl w:val="nil"/>
                  </w:tcBorders>
                  <w:noWrap w:val="0"/>
                  <w:vAlign w:val="top"/>
                </w:tcPr>
                <w:p w14:paraId="79F68C50">
                  <w:pPr>
                    <w:bidi w:val="0"/>
                    <w:jc w:val="center"/>
                    <w:rPr>
                      <w:rFonts w:hint="default" w:ascii="Times New Roman" w:hAnsi="Times New Roman" w:cs="Times New Roman"/>
                      <w:color w:val="auto"/>
                      <w:highlight w:val="none"/>
                      <w:u w:val="none" w:color="auto"/>
                      <w:lang w:val="en-US" w:eastAsia="zh-CN"/>
                    </w:rPr>
                  </w:pPr>
                </w:p>
              </w:tc>
              <w:tc>
                <w:tcPr>
                  <w:tcW w:w="1023" w:type="pct"/>
                  <w:gridSpan w:val="2"/>
                  <w:vMerge w:val="restart"/>
                  <w:tcBorders>
                    <w:tl2br w:val="nil"/>
                    <w:tr2bl w:val="nil"/>
                  </w:tcBorders>
                  <w:noWrap w:val="0"/>
                  <w:vAlign w:val="center"/>
                </w:tcPr>
                <w:p w14:paraId="241ED786">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废水治理</w:t>
                  </w:r>
                </w:p>
              </w:tc>
              <w:tc>
                <w:tcPr>
                  <w:tcW w:w="2699" w:type="pct"/>
                  <w:tcBorders>
                    <w:tl2br w:val="nil"/>
                    <w:tr2bl w:val="nil"/>
                  </w:tcBorders>
                  <w:noWrap w:val="0"/>
                  <w:vAlign w:val="center"/>
                </w:tcPr>
                <w:p w14:paraId="075285E4">
                  <w:pPr>
                    <w:pStyle w:val="30"/>
                    <w:keepNext w:val="0"/>
                    <w:keepLines w:val="0"/>
                    <w:pageBreakBefore w:val="0"/>
                    <w:widowControl w:val="0"/>
                    <w:kinsoku/>
                    <w:wordWrap w:val="0"/>
                    <w:overflowPunct/>
                    <w:topLinePunct/>
                    <w:autoSpaceDE/>
                    <w:autoSpaceDN/>
                    <w:bidi w:val="0"/>
                    <w:adjustRightInd/>
                    <w:snapToGrid/>
                    <w:jc w:val="center"/>
                    <w:textAlignment w:val="baseline"/>
                    <w:rPr>
                      <w:rFonts w:hint="default" w:eastAsia="宋体"/>
                      <w:highlight w:val="none"/>
                      <w:u w:val="none" w:color="auto"/>
                      <w:lang w:val="en-US" w:eastAsia="zh-CN"/>
                    </w:rPr>
                  </w:pPr>
                  <w:r>
                    <w:rPr>
                      <w:rFonts w:hint="eastAsia"/>
                      <w:highlight w:val="none"/>
                      <w:u w:val="none" w:color="auto"/>
                      <w:lang w:val="en-US" w:eastAsia="zh-CN"/>
                    </w:rPr>
                    <w:t>生活污水：</w:t>
                  </w:r>
                  <w:r>
                    <w:rPr>
                      <w:rFonts w:hint="default"/>
                      <w:highlight w:val="none"/>
                      <w:u w:val="none" w:color="auto"/>
                      <w:lang w:val="en-US" w:eastAsia="zh-CN"/>
                    </w:rPr>
                    <w:t>项目实行雨污分流制。</w:t>
                  </w:r>
                  <w:r>
                    <w:rPr>
                      <w:rFonts w:hint="eastAsia"/>
                      <w:highlight w:val="none"/>
                      <w:u w:val="none" w:color="auto"/>
                      <w:lang w:val="en-US" w:eastAsia="zh-CN"/>
                    </w:rPr>
                    <w:t>生活污水</w:t>
                  </w:r>
                  <w:r>
                    <w:rPr>
                      <w:rFonts w:hint="default" w:ascii="Times New Roman" w:hAnsi="Times New Roman" w:cs="Times New Roman"/>
                      <w:color w:val="auto"/>
                      <w:sz w:val="21"/>
                      <w:szCs w:val="21"/>
                      <w:highlight w:val="none"/>
                      <w:u w:val="none" w:color="auto"/>
                    </w:rPr>
                    <w:t>经</w:t>
                  </w:r>
                  <w:r>
                    <w:rPr>
                      <w:rFonts w:hint="eastAsia" w:cs="Times New Roman"/>
                      <w:color w:val="auto"/>
                      <w:sz w:val="21"/>
                      <w:szCs w:val="21"/>
                      <w:highlight w:val="none"/>
                      <w:u w:val="none" w:color="auto"/>
                      <w:lang w:eastAsia="zh-CN"/>
                    </w:rPr>
                    <w:t>三级化粪池处理后</w:t>
                  </w:r>
                  <w:r>
                    <w:rPr>
                      <w:rFonts w:hint="default"/>
                      <w:color w:val="auto"/>
                      <w:highlight w:val="none"/>
                      <w:u w:val="none" w:color="auto"/>
                    </w:rPr>
                    <w:t>用作农肥</w:t>
                  </w:r>
                </w:p>
              </w:tc>
              <w:tc>
                <w:tcPr>
                  <w:tcW w:w="580" w:type="pct"/>
                  <w:tcBorders>
                    <w:tl2br w:val="nil"/>
                    <w:tr2bl w:val="nil"/>
                  </w:tcBorders>
                  <w:noWrap w:val="0"/>
                  <w:vAlign w:val="center"/>
                </w:tcPr>
                <w:p w14:paraId="30D3077C">
                  <w:pPr>
                    <w:bidi w:val="0"/>
                    <w:jc w:val="center"/>
                    <w:rPr>
                      <w:rFonts w:hint="default" w:ascii="Times New Roman" w:hAnsi="Times New Roman" w:cs="Times New Roman"/>
                      <w:color w:val="auto"/>
                      <w:kern w:val="0"/>
                      <w:sz w:val="21"/>
                      <w:szCs w:val="21"/>
                      <w:highlight w:val="none"/>
                      <w:u w:val="none" w:color="auto"/>
                      <w:vertAlign w:val="baseline"/>
                      <w:lang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0E5D0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top"/>
                </w:tcPr>
                <w:p w14:paraId="629104F7">
                  <w:pPr>
                    <w:pStyle w:val="33"/>
                    <w:rPr>
                      <w:highlight w:val="none"/>
                      <w:u w:val="none" w:color="auto"/>
                    </w:rPr>
                  </w:pPr>
                </w:p>
              </w:tc>
              <w:tc>
                <w:tcPr>
                  <w:tcW w:w="1023" w:type="pct"/>
                  <w:gridSpan w:val="2"/>
                  <w:vMerge w:val="continue"/>
                  <w:tcBorders>
                    <w:tl2br w:val="nil"/>
                    <w:tr2bl w:val="nil"/>
                  </w:tcBorders>
                  <w:noWrap w:val="0"/>
                  <w:vAlign w:val="center"/>
                </w:tcPr>
                <w:p w14:paraId="37902D97">
                  <w:pPr>
                    <w:pStyle w:val="33"/>
                    <w:rPr>
                      <w:highlight w:val="none"/>
                      <w:u w:val="none" w:color="auto"/>
                    </w:rPr>
                  </w:pPr>
                </w:p>
              </w:tc>
              <w:tc>
                <w:tcPr>
                  <w:tcW w:w="2699" w:type="pct"/>
                  <w:tcBorders>
                    <w:tl2br w:val="nil"/>
                    <w:tr2bl w:val="nil"/>
                  </w:tcBorders>
                  <w:noWrap w:val="0"/>
                  <w:vAlign w:val="center"/>
                </w:tcPr>
                <w:p w14:paraId="11A931CB">
                  <w:pPr>
                    <w:pStyle w:val="33"/>
                    <w:jc w:val="center"/>
                    <w:rPr>
                      <w:rFonts w:hint="eastAsia" w:ascii="Times New Roman" w:hAnsi="Times New Roman" w:eastAsia="宋体" w:cs="Times New Roman"/>
                      <w:b w:val="0"/>
                      <w:kern w:val="0"/>
                      <w:sz w:val="21"/>
                      <w:szCs w:val="20"/>
                      <w:highlight w:val="none"/>
                      <w:u w:val="none" w:color="auto"/>
                      <w:lang w:val="en-US" w:eastAsia="zh-CN" w:bidi="ar-SA"/>
                    </w:rPr>
                  </w:pPr>
                  <w:r>
                    <w:rPr>
                      <w:rFonts w:hint="eastAsia" w:ascii="Times New Roman" w:hAnsi="Times New Roman" w:eastAsia="宋体" w:cs="Times New Roman"/>
                      <w:b w:val="0"/>
                      <w:kern w:val="0"/>
                      <w:sz w:val="21"/>
                      <w:szCs w:val="20"/>
                      <w:highlight w:val="none"/>
                      <w:u w:val="none" w:color="auto"/>
                      <w:lang w:val="en-US" w:eastAsia="zh-CN" w:bidi="ar-SA"/>
                    </w:rPr>
                    <w:t>水膜除尘用水循环使用，不外排</w:t>
                  </w:r>
                </w:p>
              </w:tc>
              <w:tc>
                <w:tcPr>
                  <w:tcW w:w="580" w:type="pct"/>
                  <w:tcBorders>
                    <w:tl2br w:val="nil"/>
                    <w:tr2bl w:val="nil"/>
                  </w:tcBorders>
                  <w:noWrap w:val="0"/>
                  <w:vAlign w:val="center"/>
                </w:tcPr>
                <w:p w14:paraId="5C5C8D89">
                  <w:pPr>
                    <w:pStyle w:val="33"/>
                    <w:rPr>
                      <w:rFonts w:hint="eastAsia" w:ascii="Times New Roman" w:hAnsi="Times New Roman" w:eastAsia="宋体" w:cs="Times New Roman"/>
                      <w:b w:val="0"/>
                      <w:kern w:val="0"/>
                      <w:sz w:val="21"/>
                      <w:szCs w:val="20"/>
                      <w:highlight w:val="none"/>
                      <w:u w:val="none" w:color="auto"/>
                      <w:lang w:val="en-US" w:eastAsia="zh-CN" w:bidi="ar-SA"/>
                    </w:rPr>
                  </w:pPr>
                  <w:r>
                    <w:rPr>
                      <w:rFonts w:hint="eastAsia" w:cs="Times New Roman"/>
                      <w:b w:val="0"/>
                      <w:bCs/>
                      <w:color w:val="auto"/>
                      <w:highlight w:val="none"/>
                      <w:u w:val="none" w:color="auto"/>
                      <w:lang w:val="en-US" w:eastAsia="zh-CN"/>
                    </w:rPr>
                    <w:t>已</w:t>
                  </w:r>
                  <w:r>
                    <w:rPr>
                      <w:rFonts w:hint="default" w:ascii="Times New Roman" w:hAnsi="Times New Roman" w:cs="Times New Roman"/>
                      <w:b w:val="0"/>
                      <w:bCs/>
                      <w:color w:val="auto"/>
                      <w:highlight w:val="none"/>
                      <w:u w:val="none" w:color="auto"/>
                      <w:lang w:val="en-US" w:eastAsia="zh-CN"/>
                    </w:rPr>
                    <w:t>建</w:t>
                  </w:r>
                </w:p>
              </w:tc>
            </w:tr>
            <w:tr w14:paraId="60DB0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696" w:type="pct"/>
                  <w:vMerge w:val="continue"/>
                  <w:tcBorders>
                    <w:tl2br w:val="nil"/>
                    <w:tr2bl w:val="nil"/>
                  </w:tcBorders>
                  <w:noWrap w:val="0"/>
                  <w:vAlign w:val="top"/>
                </w:tcPr>
                <w:p w14:paraId="5BF4C69E">
                  <w:pPr>
                    <w:bidi w:val="0"/>
                    <w:jc w:val="center"/>
                    <w:rPr>
                      <w:rFonts w:hint="default" w:ascii="Times New Roman" w:hAnsi="Times New Roman" w:cs="Times New Roman"/>
                      <w:color w:val="auto"/>
                      <w:highlight w:val="none"/>
                      <w:u w:val="none" w:color="auto"/>
                      <w:lang w:val="en-US" w:eastAsia="zh-CN"/>
                    </w:rPr>
                  </w:pPr>
                </w:p>
              </w:tc>
              <w:tc>
                <w:tcPr>
                  <w:tcW w:w="1023" w:type="pct"/>
                  <w:gridSpan w:val="2"/>
                  <w:tcBorders>
                    <w:tl2br w:val="nil"/>
                    <w:tr2bl w:val="nil"/>
                  </w:tcBorders>
                  <w:noWrap w:val="0"/>
                  <w:vAlign w:val="center"/>
                </w:tcPr>
                <w:p w14:paraId="0FF47E9E">
                  <w:pPr>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噪声治理</w:t>
                  </w:r>
                </w:p>
              </w:tc>
              <w:tc>
                <w:tcPr>
                  <w:tcW w:w="2699" w:type="pct"/>
                  <w:tcBorders>
                    <w:tl2br w:val="nil"/>
                    <w:tr2bl w:val="nil"/>
                  </w:tcBorders>
                  <w:noWrap w:val="0"/>
                  <w:vAlign w:val="center"/>
                </w:tcPr>
                <w:p w14:paraId="54FA9053">
                  <w:pPr>
                    <w:bidi w:val="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隔声、减震、降噪</w:t>
                  </w:r>
                </w:p>
              </w:tc>
              <w:tc>
                <w:tcPr>
                  <w:tcW w:w="580" w:type="pct"/>
                  <w:tcBorders>
                    <w:tl2br w:val="nil"/>
                    <w:tr2bl w:val="nil"/>
                  </w:tcBorders>
                  <w:noWrap w:val="0"/>
                  <w:vAlign w:val="center"/>
                </w:tcPr>
                <w:p w14:paraId="4B3FBDE7">
                  <w:pPr>
                    <w:bidi w:val="0"/>
                    <w:jc w:val="center"/>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04E3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top"/>
                </w:tcPr>
                <w:p w14:paraId="240DE088">
                  <w:pPr>
                    <w:bidi w:val="0"/>
                    <w:jc w:val="center"/>
                    <w:rPr>
                      <w:rFonts w:hint="default" w:ascii="Times New Roman" w:hAnsi="Times New Roman" w:cs="Times New Roman"/>
                      <w:color w:val="auto"/>
                      <w:highlight w:val="none"/>
                      <w:u w:val="none" w:color="auto"/>
                      <w:lang w:val="en-US" w:eastAsia="zh-CN"/>
                    </w:rPr>
                  </w:pPr>
                </w:p>
              </w:tc>
              <w:tc>
                <w:tcPr>
                  <w:tcW w:w="1023" w:type="pct"/>
                  <w:gridSpan w:val="2"/>
                  <w:vMerge w:val="restart"/>
                  <w:tcBorders>
                    <w:tl2br w:val="nil"/>
                    <w:tr2bl w:val="nil"/>
                  </w:tcBorders>
                  <w:noWrap w:val="0"/>
                  <w:vAlign w:val="center"/>
                </w:tcPr>
                <w:p w14:paraId="09B420D1">
                  <w:pPr>
                    <w:pStyle w:val="42"/>
                    <w:spacing w:before="39" w:line="228" w:lineRule="auto"/>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kern w:val="2"/>
                      <w:sz w:val="21"/>
                      <w:szCs w:val="24"/>
                      <w:highlight w:val="none"/>
                      <w:u w:val="none" w:color="auto"/>
                      <w:lang w:val="en-US" w:eastAsia="zh-CN" w:bidi="ar-SA"/>
                    </w:rPr>
                    <w:t>固废治理</w:t>
                  </w:r>
                </w:p>
              </w:tc>
              <w:tc>
                <w:tcPr>
                  <w:tcW w:w="2699" w:type="pct"/>
                  <w:tcBorders>
                    <w:tl2br w:val="nil"/>
                    <w:tr2bl w:val="nil"/>
                  </w:tcBorders>
                  <w:noWrap w:val="0"/>
                  <w:vAlign w:val="top"/>
                </w:tcPr>
                <w:p w14:paraId="38A31672">
                  <w:pPr>
                    <w:pStyle w:val="42"/>
                    <w:spacing w:before="38" w:line="211"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生活垃圾分类收集，由环卫部门统一清运；</w:t>
                  </w:r>
                </w:p>
              </w:tc>
              <w:tc>
                <w:tcPr>
                  <w:tcW w:w="580" w:type="pct"/>
                  <w:vMerge w:val="restart"/>
                  <w:tcBorders>
                    <w:tl2br w:val="nil"/>
                    <w:tr2bl w:val="nil"/>
                  </w:tcBorders>
                  <w:noWrap w:val="0"/>
                  <w:vAlign w:val="center"/>
                </w:tcPr>
                <w:p w14:paraId="73914180">
                  <w:pPr>
                    <w:bidi w:val="0"/>
                    <w:jc w:val="center"/>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已</w:t>
                  </w:r>
                  <w:r>
                    <w:rPr>
                      <w:rFonts w:hint="default" w:ascii="Times New Roman" w:hAnsi="Times New Roman" w:cs="Times New Roman"/>
                      <w:color w:val="auto"/>
                      <w:highlight w:val="none"/>
                      <w:u w:val="none" w:color="auto"/>
                      <w:lang w:val="en-US" w:eastAsia="zh-CN"/>
                    </w:rPr>
                    <w:t>建</w:t>
                  </w:r>
                </w:p>
              </w:tc>
            </w:tr>
            <w:tr w14:paraId="60132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top"/>
                </w:tcPr>
                <w:p w14:paraId="60E80BB8">
                  <w:pPr>
                    <w:bidi w:val="0"/>
                    <w:jc w:val="center"/>
                    <w:rPr>
                      <w:rFonts w:hint="default" w:ascii="Times New Roman" w:hAnsi="Times New Roman" w:cs="Times New Roman"/>
                      <w:color w:val="auto"/>
                      <w:highlight w:val="none"/>
                      <w:u w:val="none" w:color="auto"/>
                      <w:lang w:val="en-US" w:eastAsia="zh-CN"/>
                    </w:rPr>
                  </w:pPr>
                </w:p>
              </w:tc>
              <w:tc>
                <w:tcPr>
                  <w:tcW w:w="1023" w:type="pct"/>
                  <w:gridSpan w:val="2"/>
                  <w:vMerge w:val="continue"/>
                  <w:tcBorders>
                    <w:tl2br w:val="nil"/>
                    <w:tr2bl w:val="nil"/>
                  </w:tcBorders>
                  <w:noWrap w:val="0"/>
                  <w:vAlign w:val="center"/>
                </w:tcPr>
                <w:p w14:paraId="518BFFC7">
                  <w:pPr>
                    <w:pStyle w:val="42"/>
                    <w:spacing w:before="39" w:line="228" w:lineRule="auto"/>
                    <w:jc w:val="center"/>
                    <w:rPr>
                      <w:rFonts w:hint="default" w:ascii="Times New Roman" w:hAnsi="Times New Roman" w:eastAsia="宋体" w:cs="Times New Roman"/>
                      <w:color w:val="auto"/>
                      <w:kern w:val="2"/>
                      <w:sz w:val="21"/>
                      <w:szCs w:val="24"/>
                      <w:highlight w:val="none"/>
                      <w:u w:val="none" w:color="auto"/>
                      <w:lang w:val="en-US" w:eastAsia="zh-CN" w:bidi="ar-SA"/>
                    </w:rPr>
                  </w:pPr>
                </w:p>
              </w:tc>
              <w:tc>
                <w:tcPr>
                  <w:tcW w:w="2699" w:type="pct"/>
                  <w:tcBorders>
                    <w:tl2br w:val="nil"/>
                    <w:tr2bl w:val="nil"/>
                  </w:tcBorders>
                  <w:noWrap w:val="0"/>
                  <w:vAlign w:val="top"/>
                </w:tcPr>
                <w:p w14:paraId="63ADA7C6">
                  <w:pPr>
                    <w:pStyle w:val="42"/>
                    <w:spacing w:before="38" w:line="211"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ascii="Times New Roman" w:hAnsi="Times New Roman" w:cs="Times New Roman"/>
                      <w:b w:val="0"/>
                      <w:bCs w:val="0"/>
                      <w:color w:val="auto"/>
                      <w:kern w:val="2"/>
                      <w:sz w:val="21"/>
                      <w:szCs w:val="21"/>
                      <w:highlight w:val="none"/>
                      <w:u w:val="none" w:color="auto"/>
                      <w:vertAlign w:val="baseline"/>
                      <w:lang w:val="en-US" w:eastAsia="zh-CN" w:bidi="ar-SA"/>
                    </w:rPr>
                    <w:t>一般固废为</w:t>
                  </w:r>
                  <w:r>
                    <w:rPr>
                      <w:rFonts w:hint="eastAsia"/>
                      <w:color w:val="auto"/>
                      <w:highlight w:val="none"/>
                      <w:u w:val="none" w:color="auto"/>
                      <w:lang w:val="en-US" w:eastAsia="zh-CN"/>
                    </w:rPr>
                    <w:t>废角阀和水膜除尘湿渣，交由厂家回收，日产日清；</w:t>
                  </w:r>
                </w:p>
              </w:tc>
              <w:tc>
                <w:tcPr>
                  <w:tcW w:w="580" w:type="pct"/>
                  <w:vMerge w:val="continue"/>
                  <w:tcBorders>
                    <w:tl2br w:val="nil"/>
                    <w:tr2bl w:val="nil"/>
                  </w:tcBorders>
                  <w:noWrap w:val="0"/>
                  <w:vAlign w:val="center"/>
                </w:tcPr>
                <w:p w14:paraId="7D0A978D">
                  <w:pPr>
                    <w:bidi w:val="0"/>
                    <w:jc w:val="center"/>
                    <w:rPr>
                      <w:rFonts w:hint="eastAsia" w:cs="Times New Roman"/>
                      <w:color w:val="auto"/>
                      <w:highlight w:val="none"/>
                      <w:u w:val="none" w:color="auto"/>
                      <w:lang w:val="en-US" w:eastAsia="zh-CN"/>
                    </w:rPr>
                  </w:pPr>
                </w:p>
              </w:tc>
            </w:tr>
            <w:tr w14:paraId="3106E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96" w:type="pct"/>
                  <w:vMerge w:val="continue"/>
                  <w:tcBorders>
                    <w:tl2br w:val="nil"/>
                    <w:tr2bl w:val="nil"/>
                  </w:tcBorders>
                  <w:noWrap w:val="0"/>
                  <w:vAlign w:val="top"/>
                </w:tcPr>
                <w:p w14:paraId="206339AC">
                  <w:pPr>
                    <w:bidi w:val="0"/>
                    <w:jc w:val="center"/>
                    <w:rPr>
                      <w:rFonts w:hint="default" w:ascii="Times New Roman" w:hAnsi="Times New Roman" w:cs="Times New Roman"/>
                      <w:color w:val="auto"/>
                      <w:highlight w:val="none"/>
                      <w:u w:val="none" w:color="auto"/>
                      <w:lang w:val="en-US" w:eastAsia="zh-CN"/>
                    </w:rPr>
                  </w:pPr>
                </w:p>
              </w:tc>
              <w:tc>
                <w:tcPr>
                  <w:tcW w:w="1023" w:type="pct"/>
                  <w:gridSpan w:val="2"/>
                  <w:vMerge w:val="continue"/>
                  <w:tcBorders>
                    <w:tl2br w:val="nil"/>
                    <w:tr2bl w:val="nil"/>
                  </w:tcBorders>
                  <w:noWrap w:val="0"/>
                  <w:vAlign w:val="center"/>
                </w:tcPr>
                <w:p w14:paraId="189C8190">
                  <w:pPr>
                    <w:pStyle w:val="42"/>
                    <w:spacing w:before="39" w:line="228" w:lineRule="auto"/>
                    <w:jc w:val="center"/>
                    <w:rPr>
                      <w:rFonts w:hint="default" w:ascii="Times New Roman" w:hAnsi="Times New Roman" w:eastAsia="宋体" w:cs="Times New Roman"/>
                      <w:color w:val="auto"/>
                      <w:kern w:val="2"/>
                      <w:sz w:val="21"/>
                      <w:szCs w:val="24"/>
                      <w:highlight w:val="none"/>
                      <w:u w:val="none" w:color="auto"/>
                      <w:lang w:val="en-US" w:eastAsia="zh-CN" w:bidi="ar-SA"/>
                    </w:rPr>
                  </w:pPr>
                </w:p>
              </w:tc>
              <w:tc>
                <w:tcPr>
                  <w:tcW w:w="2699" w:type="pct"/>
                  <w:tcBorders>
                    <w:tl2br w:val="nil"/>
                    <w:tr2bl w:val="nil"/>
                  </w:tcBorders>
                  <w:noWrap w:val="0"/>
                  <w:vAlign w:val="top"/>
                </w:tcPr>
                <w:p w14:paraId="0258B0C5">
                  <w:pPr>
                    <w:pStyle w:val="42"/>
                    <w:spacing w:before="38"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危险废物暂存间位于</w:t>
                  </w:r>
                  <w:r>
                    <w:rPr>
                      <w:rFonts w:hint="eastAsia" w:ascii="Times New Roman" w:hAnsi="Times New Roman" w:cs="Times New Roman"/>
                      <w:b w:val="0"/>
                      <w:bCs w:val="0"/>
                      <w:color w:val="auto"/>
                      <w:kern w:val="2"/>
                      <w:sz w:val="21"/>
                      <w:szCs w:val="21"/>
                      <w:highlight w:val="none"/>
                      <w:u w:val="none" w:color="auto"/>
                      <w:vertAlign w:val="baseline"/>
                      <w:lang w:val="en-US" w:eastAsia="zh-CN" w:bidi="ar-SA"/>
                    </w:rPr>
                    <w:t>厂区北</w:t>
                  </w: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侧，面积为5m</w:t>
                  </w:r>
                  <w:r>
                    <w:rPr>
                      <w:rFonts w:hint="default" w:ascii="Times New Roman" w:hAnsi="Times New Roman" w:eastAsia="宋体" w:cs="Times New Roman"/>
                      <w:b w:val="0"/>
                      <w:bCs w:val="0"/>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，废机油和废机油桶属于危险废物，存放至危废暂存间，再交由有资质单位进行处理</w:t>
                  </w:r>
                </w:p>
              </w:tc>
              <w:tc>
                <w:tcPr>
                  <w:tcW w:w="580" w:type="pct"/>
                  <w:tcBorders>
                    <w:tl2br w:val="nil"/>
                    <w:tr2bl w:val="nil"/>
                  </w:tcBorders>
                  <w:noWrap w:val="0"/>
                  <w:vAlign w:val="center"/>
                </w:tcPr>
                <w:p w14:paraId="2E79A1D1">
                  <w:pPr>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未建</w:t>
                  </w:r>
                </w:p>
              </w:tc>
            </w:tr>
          </w:tbl>
          <w:p w14:paraId="3A6CDEC7">
            <w:pPr>
              <w:pStyle w:val="25"/>
              <w:bidi w:val="0"/>
              <w:ind w:left="0" w:leftChars="0" w:firstLine="0" w:firstLineChars="0"/>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3、</w:t>
            </w:r>
            <w:r>
              <w:rPr>
                <w:rFonts w:hint="eastAsia" w:cs="Times New Roman"/>
                <w:b/>
                <w:bCs/>
                <w:color w:val="auto"/>
                <w:highlight w:val="none"/>
                <w:u w:val="none" w:color="auto"/>
                <w:lang w:val="en-US" w:eastAsia="zh-CN"/>
              </w:rPr>
              <w:t>处理能力</w:t>
            </w:r>
          </w:p>
          <w:p w14:paraId="649D74FF">
            <w:pPr>
              <w:pStyle w:val="25"/>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本项目主要产品方案详见下表2-2。</w:t>
            </w:r>
          </w:p>
          <w:p w14:paraId="001E8940">
            <w:pPr>
              <w:pStyle w:val="30"/>
              <w:bidi w:val="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表2-2</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lang w:val="en-US" w:eastAsia="zh-CN"/>
              </w:rPr>
              <w:t>主要产品及生产规模一览表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17"/>
              <w:gridCol w:w="1730"/>
              <w:gridCol w:w="2035"/>
              <w:gridCol w:w="2035"/>
            </w:tblGrid>
            <w:tr w14:paraId="0AC18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90" w:type="pct"/>
                  <w:tcBorders>
                    <w:tl2br w:val="nil"/>
                    <w:tr2bl w:val="nil"/>
                  </w:tcBorders>
                  <w:noWrap w:val="0"/>
                  <w:vAlign w:val="center"/>
                </w:tcPr>
                <w:p w14:paraId="5A6BCE9B">
                  <w:pPr>
                    <w:spacing w:line="240" w:lineRule="auto"/>
                    <w:jc w:val="center"/>
                    <w:rPr>
                      <w:rFonts w:hint="default" w:ascii="Times New Roman" w:hAnsi="Times New Roman" w:cs="Times New Roman"/>
                      <w:b/>
                      <w:bCs/>
                      <w:color w:val="auto"/>
                      <w:highlight w:val="none"/>
                      <w:u w:val="none" w:color="auto"/>
                      <w:vertAlign w:val="baseline"/>
                      <w:lang w:val="en-US" w:eastAsia="zh-CN"/>
                    </w:rPr>
                  </w:pPr>
                  <w:r>
                    <w:rPr>
                      <w:rFonts w:hint="default" w:ascii="Times New Roman" w:hAnsi="Times New Roman" w:cs="Times New Roman"/>
                      <w:b/>
                      <w:bCs/>
                      <w:color w:val="auto"/>
                      <w:highlight w:val="none"/>
                      <w:u w:val="none" w:color="auto"/>
                      <w:vertAlign w:val="baseline"/>
                      <w:lang w:val="en-US" w:eastAsia="zh-CN"/>
                    </w:rPr>
                    <w:t>产品名称</w:t>
                  </w:r>
                </w:p>
              </w:tc>
              <w:tc>
                <w:tcPr>
                  <w:tcW w:w="1106" w:type="pct"/>
                  <w:tcBorders>
                    <w:tl2br w:val="nil"/>
                    <w:tr2bl w:val="nil"/>
                  </w:tcBorders>
                  <w:noWrap w:val="0"/>
                  <w:vAlign w:val="center"/>
                </w:tcPr>
                <w:p w14:paraId="65385F76">
                  <w:pPr>
                    <w:spacing w:line="240" w:lineRule="auto"/>
                    <w:jc w:val="center"/>
                    <w:rPr>
                      <w:rFonts w:hint="default" w:ascii="Times New Roman" w:hAnsi="Times New Roman" w:cs="Times New Roman"/>
                      <w:b/>
                      <w:bCs/>
                      <w:color w:val="auto"/>
                      <w:highlight w:val="none"/>
                      <w:u w:val="none" w:color="auto"/>
                      <w:vertAlign w:val="baseline"/>
                      <w:lang w:val="en-US" w:eastAsia="zh-CN"/>
                    </w:rPr>
                  </w:pPr>
                  <w:r>
                    <w:rPr>
                      <w:rFonts w:hint="eastAsia" w:cs="Times New Roman"/>
                      <w:b/>
                      <w:bCs/>
                      <w:color w:val="auto"/>
                      <w:highlight w:val="none"/>
                      <w:u w:val="none" w:color="auto"/>
                      <w:vertAlign w:val="baseline"/>
                      <w:lang w:val="en-US" w:eastAsia="zh-CN"/>
                    </w:rPr>
                    <w:t>规格</w:t>
                  </w:r>
                </w:p>
              </w:tc>
              <w:tc>
                <w:tcPr>
                  <w:tcW w:w="1301" w:type="pct"/>
                  <w:tcBorders>
                    <w:tl2br w:val="nil"/>
                    <w:tr2bl w:val="nil"/>
                  </w:tcBorders>
                  <w:noWrap w:val="0"/>
                  <w:vAlign w:val="center"/>
                </w:tcPr>
                <w:p w14:paraId="0F2EB154">
                  <w:pPr>
                    <w:spacing w:line="240" w:lineRule="auto"/>
                    <w:jc w:val="center"/>
                    <w:rPr>
                      <w:rFonts w:hint="default" w:ascii="Times New Roman" w:hAnsi="Times New Roman" w:cs="Times New Roman"/>
                      <w:b/>
                      <w:bCs/>
                      <w:color w:val="auto"/>
                      <w:highlight w:val="none"/>
                      <w:u w:val="none" w:color="auto"/>
                      <w:vertAlign w:val="baseline"/>
                      <w:lang w:val="en-US" w:eastAsia="zh-CN"/>
                    </w:rPr>
                  </w:pPr>
                  <w:r>
                    <w:rPr>
                      <w:rFonts w:hint="default" w:ascii="Times New Roman" w:hAnsi="Times New Roman" w:cs="Times New Roman"/>
                      <w:b/>
                      <w:bCs/>
                      <w:color w:val="auto"/>
                      <w:highlight w:val="none"/>
                      <w:u w:val="none" w:color="auto"/>
                      <w:vertAlign w:val="baseline"/>
                      <w:lang w:val="en-US" w:eastAsia="zh-CN"/>
                    </w:rPr>
                    <w:t>年</w:t>
                  </w:r>
                  <w:r>
                    <w:rPr>
                      <w:rFonts w:hint="eastAsia" w:cs="Times New Roman"/>
                      <w:b/>
                      <w:bCs/>
                      <w:color w:val="auto"/>
                      <w:highlight w:val="none"/>
                      <w:u w:val="none" w:color="auto"/>
                      <w:vertAlign w:val="baseline"/>
                      <w:lang w:val="en-US" w:eastAsia="zh-CN"/>
                    </w:rPr>
                    <w:t>报废</w:t>
                  </w:r>
                  <w:r>
                    <w:rPr>
                      <w:rFonts w:hint="default" w:ascii="Times New Roman" w:hAnsi="Times New Roman" w:cs="Times New Roman"/>
                      <w:b/>
                      <w:bCs/>
                      <w:color w:val="auto"/>
                      <w:highlight w:val="none"/>
                      <w:u w:val="none" w:color="auto"/>
                      <w:vertAlign w:val="baseline"/>
                      <w:lang w:val="en-US" w:eastAsia="zh-CN"/>
                    </w:rPr>
                    <w:t>量</w:t>
                  </w:r>
                </w:p>
              </w:tc>
              <w:tc>
                <w:tcPr>
                  <w:tcW w:w="1301" w:type="pct"/>
                  <w:tcBorders>
                    <w:tl2br w:val="nil"/>
                    <w:tr2bl w:val="nil"/>
                  </w:tcBorders>
                  <w:noWrap w:val="0"/>
                  <w:vAlign w:val="center"/>
                </w:tcPr>
                <w:p w14:paraId="38A7658C">
                  <w:pPr>
                    <w:spacing w:line="240" w:lineRule="auto"/>
                    <w:jc w:val="center"/>
                    <w:rPr>
                      <w:rFonts w:hint="default" w:ascii="Times New Roman" w:hAnsi="Times New Roman" w:cs="Times New Roman"/>
                      <w:b/>
                      <w:bCs/>
                      <w:color w:val="auto"/>
                      <w:highlight w:val="none"/>
                      <w:u w:val="none" w:color="auto"/>
                      <w:vertAlign w:val="baseline"/>
                      <w:lang w:val="en-US" w:eastAsia="zh-CN"/>
                    </w:rPr>
                  </w:pPr>
                  <w:r>
                    <w:rPr>
                      <w:rFonts w:hint="eastAsia" w:cs="Times New Roman"/>
                      <w:b/>
                      <w:bCs/>
                      <w:color w:val="auto"/>
                      <w:highlight w:val="none"/>
                      <w:u w:val="none" w:color="auto"/>
                      <w:vertAlign w:val="baseline"/>
                      <w:lang w:val="en-US" w:eastAsia="zh-CN"/>
                    </w:rPr>
                    <w:t>最大存储量</w:t>
                  </w:r>
                </w:p>
              </w:tc>
            </w:tr>
            <w:tr w14:paraId="0C1AD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90" w:type="pct"/>
                  <w:tcBorders>
                    <w:tl2br w:val="nil"/>
                    <w:tr2bl w:val="nil"/>
                  </w:tcBorders>
                  <w:noWrap w:val="0"/>
                  <w:vAlign w:val="center"/>
                </w:tcPr>
                <w:p w14:paraId="0B9E6075">
                  <w:pPr>
                    <w:spacing w:line="240" w:lineRule="auto"/>
                    <w:jc w:val="center"/>
                    <w:rPr>
                      <w:rFonts w:hint="default" w:ascii="Times New Roman" w:hAnsi="Times New Roman"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液化石油气钢瓶</w:t>
                  </w:r>
                </w:p>
              </w:tc>
              <w:tc>
                <w:tcPr>
                  <w:tcW w:w="1106" w:type="pct"/>
                  <w:tcBorders>
                    <w:tl2br w:val="nil"/>
                    <w:tr2bl w:val="nil"/>
                  </w:tcBorders>
                  <w:noWrap w:val="0"/>
                  <w:vAlign w:val="center"/>
                </w:tcPr>
                <w:p w14:paraId="533C2AC5">
                  <w:pPr>
                    <w:spacing w:line="240" w:lineRule="auto"/>
                    <w:jc w:val="center"/>
                    <w:rPr>
                      <w:rFonts w:hint="default"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16.5公斤</w:t>
                  </w:r>
                  <w:r>
                    <w:rPr>
                      <w:rFonts w:hint="eastAsia"/>
                      <w:highlight w:val="none"/>
                      <w:u w:val="none" w:color="auto"/>
                      <w:lang w:val="en-US" w:eastAsia="zh-CN"/>
                    </w:rPr>
                    <w:t>/只</w:t>
                  </w:r>
                </w:p>
              </w:tc>
              <w:tc>
                <w:tcPr>
                  <w:tcW w:w="1301" w:type="pct"/>
                  <w:tcBorders>
                    <w:tl2br w:val="nil"/>
                    <w:tr2bl w:val="nil"/>
                  </w:tcBorders>
                  <w:noWrap w:val="0"/>
                  <w:vAlign w:val="center"/>
                </w:tcPr>
                <w:p w14:paraId="56415A26">
                  <w:pPr>
                    <w:spacing w:line="240" w:lineRule="auto"/>
                    <w:jc w:val="center"/>
                    <w:rPr>
                      <w:rFonts w:hint="default" w:ascii="Times New Roman" w:hAnsi="Times New Roman"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12万只</w:t>
                  </w:r>
                </w:p>
              </w:tc>
              <w:tc>
                <w:tcPr>
                  <w:tcW w:w="1301" w:type="pct"/>
                  <w:tcBorders>
                    <w:tl2br w:val="nil"/>
                    <w:tr2bl w:val="nil"/>
                  </w:tcBorders>
                  <w:noWrap w:val="0"/>
                  <w:vAlign w:val="center"/>
                </w:tcPr>
                <w:p w14:paraId="0DF7F96A">
                  <w:pPr>
                    <w:spacing w:line="240" w:lineRule="auto"/>
                    <w:jc w:val="center"/>
                    <w:rPr>
                      <w:rFonts w:hint="default"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1515只</w:t>
                  </w:r>
                </w:p>
              </w:tc>
            </w:tr>
          </w:tbl>
          <w:p w14:paraId="4602E965">
            <w:pPr>
              <w:pStyle w:val="43"/>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b/>
                <w:bCs/>
                <w:color w:val="auto"/>
                <w:kern w:val="2"/>
                <w:sz w:val="24"/>
                <w:szCs w:val="24"/>
                <w:highlight w:val="none"/>
                <w:u w:val="none" w:color="auto"/>
                <w:lang w:val="en-US" w:eastAsia="zh-CN" w:bidi="ar-SA"/>
              </w:rPr>
              <w:t>4</w:t>
            </w:r>
            <w:r>
              <w:rPr>
                <w:rFonts w:hint="default" w:ascii="Times New Roman" w:hAnsi="Times New Roman" w:eastAsia="宋体" w:cs="Times New Roman"/>
                <w:b/>
                <w:bCs/>
                <w:color w:val="auto"/>
                <w:kern w:val="2"/>
                <w:sz w:val="24"/>
                <w:szCs w:val="24"/>
                <w:highlight w:val="none"/>
                <w:u w:val="none" w:color="auto"/>
                <w:lang w:val="en-US" w:eastAsia="zh-CN" w:bidi="ar-SA"/>
              </w:rPr>
              <w:t>、主要生</w:t>
            </w:r>
            <w:r>
              <w:rPr>
                <w:rFonts w:hint="default" w:ascii="Times New Roman" w:hAnsi="Times New Roman" w:cs="Times New Roman"/>
                <w:color w:val="auto"/>
                <w:highlight w:val="none"/>
                <w:u w:val="none" w:color="auto"/>
                <w:lang w:val="en-US" w:eastAsia="zh-CN"/>
              </w:rPr>
              <w:t>产设备</w:t>
            </w:r>
          </w:p>
          <w:p w14:paraId="203A371F">
            <w:pPr>
              <w:pStyle w:val="25"/>
              <w:bidi w:val="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本项目主要生产设备见表</w:t>
            </w:r>
            <w:r>
              <w:rPr>
                <w:rFonts w:hint="default"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w:t>
            </w:r>
            <w:r>
              <w:rPr>
                <w:rFonts w:hint="eastAsia"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w:t>
            </w:r>
          </w:p>
          <w:p w14:paraId="0E7BE5D1">
            <w:pPr>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表2-</w:t>
            </w:r>
            <w:r>
              <w:rPr>
                <w:rFonts w:hint="eastAsia" w:cs="Times New Roman"/>
                <w:b/>
                <w:bCs/>
                <w:color w:val="auto"/>
                <w:sz w:val="21"/>
                <w:szCs w:val="21"/>
                <w:highlight w:val="none"/>
                <w:u w:val="none" w:color="auto"/>
                <w:lang w:val="en-US" w:eastAsia="zh-CN"/>
              </w:rPr>
              <w:t xml:space="preserve">3   </w:t>
            </w:r>
            <w:r>
              <w:rPr>
                <w:rFonts w:hint="default" w:ascii="Times New Roman" w:hAnsi="Times New Roman" w:cs="Times New Roman"/>
                <w:b/>
                <w:bCs/>
                <w:color w:val="auto"/>
                <w:sz w:val="21"/>
                <w:szCs w:val="21"/>
                <w:highlight w:val="none"/>
                <w:u w:val="none" w:color="auto"/>
                <w:lang w:val="en-US" w:eastAsia="zh-CN"/>
              </w:rPr>
              <w:t>项目主要设备一览表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0"/>
              <w:gridCol w:w="1781"/>
              <w:gridCol w:w="922"/>
              <w:gridCol w:w="1086"/>
              <w:gridCol w:w="1745"/>
              <w:gridCol w:w="1713"/>
            </w:tblGrid>
            <w:tr w14:paraId="36AF2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65" w:type="pct"/>
                  <w:tcBorders>
                    <w:tl2br w:val="nil"/>
                    <w:tr2bl w:val="nil"/>
                  </w:tcBorders>
                  <w:noWrap w:val="0"/>
                  <w:tcMar>
                    <w:top w:w="15" w:type="dxa"/>
                    <w:left w:w="15" w:type="dxa"/>
                    <w:right w:w="15" w:type="dxa"/>
                  </w:tcMar>
                  <w:vAlign w:val="center"/>
                </w:tcPr>
                <w:p w14:paraId="363FE66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lang w:val="en-US" w:eastAsia="zh-CN"/>
                    </w:rPr>
                    <w:t>序号</w:t>
                  </w:r>
                </w:p>
              </w:tc>
              <w:tc>
                <w:tcPr>
                  <w:tcW w:w="1138" w:type="pct"/>
                  <w:tcBorders>
                    <w:tl2br w:val="nil"/>
                    <w:tr2bl w:val="nil"/>
                  </w:tcBorders>
                  <w:noWrap w:val="0"/>
                  <w:tcMar>
                    <w:top w:w="15" w:type="dxa"/>
                    <w:left w:w="15" w:type="dxa"/>
                    <w:right w:w="15" w:type="dxa"/>
                  </w:tcMar>
                  <w:vAlign w:val="center"/>
                </w:tcPr>
                <w:p w14:paraId="3E4A4E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设备名称</w:t>
                  </w:r>
                </w:p>
              </w:tc>
              <w:tc>
                <w:tcPr>
                  <w:tcW w:w="589" w:type="pct"/>
                  <w:tcBorders>
                    <w:tl2br w:val="nil"/>
                    <w:tr2bl w:val="nil"/>
                  </w:tcBorders>
                  <w:noWrap w:val="0"/>
                  <w:tcMar>
                    <w:top w:w="15" w:type="dxa"/>
                    <w:left w:w="15" w:type="dxa"/>
                    <w:right w:w="15" w:type="dxa"/>
                  </w:tcMar>
                  <w:vAlign w:val="center"/>
                </w:tcPr>
                <w:p w14:paraId="2402DCC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lang w:val="en-US" w:eastAsia="zh-CN"/>
                    </w:rPr>
                    <w:t>数量</w:t>
                  </w:r>
                </w:p>
              </w:tc>
              <w:tc>
                <w:tcPr>
                  <w:tcW w:w="694" w:type="pct"/>
                  <w:tcBorders>
                    <w:tl2br w:val="nil"/>
                    <w:tr2bl w:val="nil"/>
                  </w:tcBorders>
                  <w:noWrap w:val="0"/>
                  <w:tcMar>
                    <w:top w:w="15" w:type="dxa"/>
                    <w:left w:w="15" w:type="dxa"/>
                    <w:right w:w="15" w:type="dxa"/>
                  </w:tcMar>
                  <w:vAlign w:val="center"/>
                </w:tcPr>
                <w:p w14:paraId="6A9770C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lang w:val="en-US" w:eastAsia="zh-CN"/>
                    </w:rPr>
                    <w:t>单位</w:t>
                  </w:r>
                </w:p>
              </w:tc>
              <w:tc>
                <w:tcPr>
                  <w:tcW w:w="1115" w:type="pct"/>
                  <w:tcBorders>
                    <w:tl2br w:val="nil"/>
                    <w:tr2bl w:val="nil"/>
                  </w:tcBorders>
                  <w:noWrap w:val="0"/>
                  <w:tcMar>
                    <w:top w:w="15" w:type="dxa"/>
                    <w:left w:w="15" w:type="dxa"/>
                    <w:right w:w="15" w:type="dxa"/>
                  </w:tcMar>
                  <w:vAlign w:val="center"/>
                </w:tcPr>
                <w:p w14:paraId="4E4778C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规格</w:t>
                  </w:r>
                </w:p>
              </w:tc>
              <w:tc>
                <w:tcPr>
                  <w:tcW w:w="1095" w:type="pct"/>
                  <w:tcBorders>
                    <w:tl2br w:val="nil"/>
                    <w:tr2bl w:val="nil"/>
                  </w:tcBorders>
                  <w:noWrap w:val="0"/>
                  <w:tcMar>
                    <w:top w:w="15" w:type="dxa"/>
                    <w:left w:w="15" w:type="dxa"/>
                    <w:right w:w="15" w:type="dxa"/>
                  </w:tcMar>
                  <w:vAlign w:val="center"/>
                </w:tcPr>
                <w:p w14:paraId="46532C5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bCs w:val="0"/>
                      <w:color w:val="auto"/>
                      <w:sz w:val="21"/>
                      <w:szCs w:val="21"/>
                      <w:highlight w:val="none"/>
                      <w:u w:val="none" w:color="auto"/>
                      <w:lang w:val="en-US" w:eastAsia="zh-CN"/>
                    </w:rPr>
                  </w:pPr>
                  <w:r>
                    <w:rPr>
                      <w:rFonts w:hint="eastAsia" w:cs="Times New Roman"/>
                      <w:b/>
                      <w:bCs w:val="0"/>
                      <w:color w:val="auto"/>
                      <w:sz w:val="21"/>
                      <w:szCs w:val="21"/>
                      <w:highlight w:val="none"/>
                      <w:u w:val="none" w:color="auto"/>
                      <w:lang w:val="en-US" w:eastAsia="zh-CN"/>
                    </w:rPr>
                    <w:t>对应工艺</w:t>
                  </w:r>
                </w:p>
              </w:tc>
            </w:tr>
            <w:tr w14:paraId="65405F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5" w:type="pct"/>
                  <w:tcBorders>
                    <w:tl2br w:val="nil"/>
                    <w:tr2bl w:val="nil"/>
                  </w:tcBorders>
                  <w:noWrap w:val="0"/>
                  <w:tcMar>
                    <w:top w:w="15" w:type="dxa"/>
                    <w:left w:w="15" w:type="dxa"/>
                    <w:right w:w="15" w:type="dxa"/>
                  </w:tcMar>
                  <w:vAlign w:val="center"/>
                </w:tcPr>
                <w:p w14:paraId="28F9FD5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1</w:t>
                  </w:r>
                </w:p>
              </w:tc>
              <w:tc>
                <w:tcPr>
                  <w:tcW w:w="1138" w:type="pct"/>
                  <w:tcBorders>
                    <w:tl2br w:val="nil"/>
                    <w:tr2bl w:val="nil"/>
                  </w:tcBorders>
                  <w:noWrap w:val="0"/>
                  <w:tcMar>
                    <w:top w:w="15" w:type="dxa"/>
                    <w:left w:w="15" w:type="dxa"/>
                    <w:right w:w="15" w:type="dxa"/>
                  </w:tcMar>
                  <w:vAlign w:val="center"/>
                </w:tcPr>
                <w:p w14:paraId="10EF581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抽残机</w:t>
                  </w:r>
                </w:p>
              </w:tc>
              <w:tc>
                <w:tcPr>
                  <w:tcW w:w="589" w:type="pct"/>
                  <w:tcBorders>
                    <w:tl2br w:val="nil"/>
                    <w:tr2bl w:val="nil"/>
                  </w:tcBorders>
                  <w:noWrap w:val="0"/>
                  <w:tcMar>
                    <w:top w:w="15" w:type="dxa"/>
                    <w:left w:w="15" w:type="dxa"/>
                    <w:right w:w="15" w:type="dxa"/>
                  </w:tcMar>
                  <w:vAlign w:val="center"/>
                </w:tcPr>
                <w:p w14:paraId="151523D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sz w:val="21"/>
                      <w:szCs w:val="21"/>
                      <w:highlight w:val="none"/>
                      <w:u w:val="none" w:color="auto"/>
                      <w:lang w:eastAsia="zh-CN"/>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1CB0117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4687A4B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pacing w:val="0"/>
                      <w:sz w:val="21"/>
                      <w:szCs w:val="21"/>
                      <w:highlight w:val="none"/>
                      <w:u w:val="none" w:color="auto"/>
                    </w:rPr>
                    <w:t>CYC-50</w:t>
                  </w:r>
                </w:p>
              </w:tc>
              <w:tc>
                <w:tcPr>
                  <w:tcW w:w="1095" w:type="pct"/>
                  <w:tcBorders>
                    <w:tl2br w:val="nil"/>
                    <w:tr2bl w:val="nil"/>
                  </w:tcBorders>
                  <w:noWrap w:val="0"/>
                  <w:tcMar>
                    <w:top w:w="15" w:type="dxa"/>
                    <w:left w:w="15" w:type="dxa"/>
                    <w:right w:w="15" w:type="dxa"/>
                  </w:tcMar>
                  <w:vAlign w:val="center"/>
                </w:tcPr>
                <w:p w14:paraId="4E2E99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抽残液</w:t>
                  </w:r>
                </w:p>
              </w:tc>
            </w:tr>
            <w:tr w14:paraId="47E58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2" w:hRule="atLeast"/>
                <w:jc w:val="center"/>
              </w:trPr>
              <w:tc>
                <w:tcPr>
                  <w:tcW w:w="365" w:type="pct"/>
                  <w:tcBorders>
                    <w:tl2br w:val="nil"/>
                    <w:tr2bl w:val="nil"/>
                  </w:tcBorders>
                  <w:noWrap w:val="0"/>
                  <w:tcMar>
                    <w:top w:w="15" w:type="dxa"/>
                    <w:left w:w="15" w:type="dxa"/>
                    <w:right w:w="15" w:type="dxa"/>
                  </w:tcMar>
                  <w:vAlign w:val="center"/>
                </w:tcPr>
                <w:p w14:paraId="52779BA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2</w:t>
                  </w:r>
                </w:p>
              </w:tc>
              <w:tc>
                <w:tcPr>
                  <w:tcW w:w="1138" w:type="pct"/>
                  <w:tcBorders>
                    <w:tl2br w:val="nil"/>
                    <w:tr2bl w:val="nil"/>
                  </w:tcBorders>
                  <w:noWrap w:val="0"/>
                  <w:tcMar>
                    <w:top w:w="15" w:type="dxa"/>
                    <w:left w:w="15" w:type="dxa"/>
                    <w:right w:w="15" w:type="dxa"/>
                  </w:tcMar>
                  <w:vAlign w:val="center"/>
                </w:tcPr>
                <w:p w14:paraId="78244A6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卸阀机</w:t>
                  </w:r>
                </w:p>
              </w:tc>
              <w:tc>
                <w:tcPr>
                  <w:tcW w:w="589" w:type="pct"/>
                  <w:tcBorders>
                    <w:tl2br w:val="nil"/>
                    <w:tr2bl w:val="nil"/>
                  </w:tcBorders>
                  <w:noWrap w:val="0"/>
                  <w:tcMar>
                    <w:top w:w="15" w:type="dxa"/>
                    <w:left w:w="15" w:type="dxa"/>
                    <w:right w:w="15" w:type="dxa"/>
                  </w:tcMar>
                  <w:vAlign w:val="center"/>
                </w:tcPr>
                <w:p w14:paraId="18925ED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60934F1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20FD3C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w:t>
                  </w:r>
                </w:p>
              </w:tc>
              <w:tc>
                <w:tcPr>
                  <w:tcW w:w="1095" w:type="pct"/>
                  <w:tcBorders>
                    <w:tl2br w:val="nil"/>
                    <w:tr2bl w:val="nil"/>
                  </w:tcBorders>
                  <w:noWrap w:val="0"/>
                  <w:tcMar>
                    <w:top w:w="15" w:type="dxa"/>
                    <w:left w:w="15" w:type="dxa"/>
                    <w:right w:w="15" w:type="dxa"/>
                  </w:tcMar>
                  <w:vAlign w:val="center"/>
                </w:tcPr>
                <w:p w14:paraId="12AEEEC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拆卸瓶阀</w:t>
                  </w:r>
                </w:p>
              </w:tc>
            </w:tr>
            <w:tr w14:paraId="212D1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5" w:type="pct"/>
                  <w:tcBorders>
                    <w:tl2br w:val="nil"/>
                    <w:tr2bl w:val="nil"/>
                  </w:tcBorders>
                  <w:noWrap w:val="0"/>
                  <w:tcMar>
                    <w:top w:w="15" w:type="dxa"/>
                    <w:left w:w="15" w:type="dxa"/>
                    <w:right w:w="15" w:type="dxa"/>
                  </w:tcMar>
                  <w:vAlign w:val="center"/>
                </w:tcPr>
                <w:p w14:paraId="77912C4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3</w:t>
                  </w:r>
                </w:p>
              </w:tc>
              <w:tc>
                <w:tcPr>
                  <w:tcW w:w="1138" w:type="pct"/>
                  <w:tcBorders>
                    <w:tl2br w:val="nil"/>
                    <w:tr2bl w:val="nil"/>
                  </w:tcBorders>
                  <w:noWrap w:val="0"/>
                  <w:tcMar>
                    <w:top w:w="15" w:type="dxa"/>
                    <w:left w:w="15" w:type="dxa"/>
                    <w:right w:w="15" w:type="dxa"/>
                  </w:tcMar>
                  <w:vAlign w:val="center"/>
                </w:tcPr>
                <w:p w14:paraId="2DB40C0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焚烧炉</w:t>
                  </w:r>
                </w:p>
              </w:tc>
              <w:tc>
                <w:tcPr>
                  <w:tcW w:w="589" w:type="pct"/>
                  <w:tcBorders>
                    <w:tl2br w:val="nil"/>
                    <w:tr2bl w:val="nil"/>
                  </w:tcBorders>
                  <w:noWrap w:val="0"/>
                  <w:tcMar>
                    <w:top w:w="15" w:type="dxa"/>
                    <w:left w:w="15" w:type="dxa"/>
                    <w:right w:w="15" w:type="dxa"/>
                  </w:tcMar>
                  <w:vAlign w:val="center"/>
                </w:tcPr>
                <w:p w14:paraId="54F9D3D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eastAsia" w:cs="Times New Roman"/>
                      <w:bCs/>
                      <w:color w:val="auto"/>
                      <w:sz w:val="21"/>
                      <w:szCs w:val="21"/>
                      <w:highlight w:val="none"/>
                      <w:u w:val="none" w:color="auto"/>
                      <w:lang w:val="en-US" w:eastAsia="zh-CN"/>
                    </w:rPr>
                    <w:t>2</w:t>
                  </w:r>
                </w:p>
              </w:tc>
              <w:tc>
                <w:tcPr>
                  <w:tcW w:w="694" w:type="pct"/>
                  <w:tcBorders>
                    <w:tl2br w:val="nil"/>
                    <w:tr2bl w:val="nil"/>
                  </w:tcBorders>
                  <w:noWrap w:val="0"/>
                  <w:tcMar>
                    <w:top w:w="15" w:type="dxa"/>
                    <w:left w:w="15" w:type="dxa"/>
                    <w:right w:w="15" w:type="dxa"/>
                  </w:tcMar>
                  <w:vAlign w:val="center"/>
                </w:tcPr>
                <w:p w14:paraId="74797D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4B39FE6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color w:val="auto"/>
                      <w:spacing w:val="0"/>
                      <w:sz w:val="21"/>
                      <w:szCs w:val="21"/>
                      <w:highlight w:val="none"/>
                      <w:u w:val="none" w:color="auto"/>
                    </w:rPr>
                    <w:t>GFL-B</w:t>
                  </w:r>
                </w:p>
              </w:tc>
              <w:tc>
                <w:tcPr>
                  <w:tcW w:w="1095" w:type="pct"/>
                  <w:tcBorders>
                    <w:tl2br w:val="nil"/>
                    <w:tr2bl w:val="nil"/>
                  </w:tcBorders>
                  <w:noWrap w:val="0"/>
                  <w:tcMar>
                    <w:top w:w="15" w:type="dxa"/>
                    <w:left w:w="15" w:type="dxa"/>
                    <w:right w:w="15" w:type="dxa"/>
                  </w:tcMar>
                  <w:vAlign w:val="center"/>
                </w:tcPr>
                <w:p w14:paraId="7426F11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焚烧</w:t>
                  </w:r>
                </w:p>
              </w:tc>
            </w:tr>
            <w:tr w14:paraId="477621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5" w:type="pct"/>
                  <w:tcBorders>
                    <w:tl2br w:val="nil"/>
                    <w:tr2bl w:val="nil"/>
                  </w:tcBorders>
                  <w:noWrap w:val="0"/>
                  <w:tcMar>
                    <w:top w:w="15" w:type="dxa"/>
                    <w:left w:w="15" w:type="dxa"/>
                    <w:right w:w="15" w:type="dxa"/>
                  </w:tcMar>
                  <w:vAlign w:val="center"/>
                </w:tcPr>
                <w:p w14:paraId="67F5A1B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4</w:t>
                  </w:r>
                </w:p>
              </w:tc>
              <w:tc>
                <w:tcPr>
                  <w:tcW w:w="1138" w:type="pct"/>
                  <w:tcBorders>
                    <w:tl2br w:val="nil"/>
                    <w:tr2bl w:val="nil"/>
                  </w:tcBorders>
                  <w:noWrap w:val="0"/>
                  <w:tcMar>
                    <w:top w:w="15" w:type="dxa"/>
                    <w:left w:w="15" w:type="dxa"/>
                    <w:right w:w="15" w:type="dxa"/>
                  </w:tcMar>
                  <w:vAlign w:val="center"/>
                </w:tcPr>
                <w:p w14:paraId="0491822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液压一体化裁剪机</w:t>
                  </w:r>
                </w:p>
              </w:tc>
              <w:tc>
                <w:tcPr>
                  <w:tcW w:w="589" w:type="pct"/>
                  <w:tcBorders>
                    <w:tl2br w:val="nil"/>
                    <w:tr2bl w:val="nil"/>
                  </w:tcBorders>
                  <w:noWrap w:val="0"/>
                  <w:tcMar>
                    <w:top w:w="15" w:type="dxa"/>
                    <w:left w:w="15" w:type="dxa"/>
                    <w:right w:w="15" w:type="dxa"/>
                  </w:tcMar>
                  <w:vAlign w:val="center"/>
                </w:tcPr>
                <w:p w14:paraId="5EAF6DA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3422646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618B3D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w:t>
                  </w:r>
                </w:p>
              </w:tc>
              <w:tc>
                <w:tcPr>
                  <w:tcW w:w="1095" w:type="pct"/>
                  <w:tcBorders>
                    <w:tl2br w:val="nil"/>
                    <w:tr2bl w:val="nil"/>
                  </w:tcBorders>
                  <w:noWrap w:val="0"/>
                  <w:tcMar>
                    <w:top w:w="15" w:type="dxa"/>
                    <w:left w:w="15" w:type="dxa"/>
                    <w:right w:w="15" w:type="dxa"/>
                  </w:tcMar>
                  <w:vAlign w:val="center"/>
                </w:tcPr>
                <w:p w14:paraId="15372CE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压扁</w:t>
                  </w:r>
                </w:p>
              </w:tc>
            </w:tr>
            <w:tr w14:paraId="6B0DC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5" w:type="pct"/>
                  <w:tcBorders>
                    <w:tl2br w:val="nil"/>
                    <w:tr2bl w:val="nil"/>
                  </w:tcBorders>
                  <w:noWrap w:val="0"/>
                  <w:tcMar>
                    <w:top w:w="15" w:type="dxa"/>
                    <w:left w:w="15" w:type="dxa"/>
                    <w:right w:w="15" w:type="dxa"/>
                  </w:tcMar>
                  <w:vAlign w:val="center"/>
                </w:tcPr>
                <w:p w14:paraId="10D858D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5</w:t>
                  </w:r>
                </w:p>
              </w:tc>
              <w:tc>
                <w:tcPr>
                  <w:tcW w:w="1138" w:type="pct"/>
                  <w:tcBorders>
                    <w:tl2br w:val="nil"/>
                    <w:tr2bl w:val="nil"/>
                  </w:tcBorders>
                  <w:noWrap w:val="0"/>
                  <w:tcMar>
                    <w:top w:w="15" w:type="dxa"/>
                    <w:left w:w="15" w:type="dxa"/>
                    <w:right w:w="15" w:type="dxa"/>
                  </w:tcMar>
                  <w:vAlign w:val="center"/>
                </w:tcPr>
                <w:p w14:paraId="2E6E0B4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水膜除尘装置</w:t>
                  </w:r>
                </w:p>
              </w:tc>
              <w:tc>
                <w:tcPr>
                  <w:tcW w:w="589" w:type="pct"/>
                  <w:tcBorders>
                    <w:tl2br w:val="nil"/>
                    <w:tr2bl w:val="nil"/>
                  </w:tcBorders>
                  <w:noWrap w:val="0"/>
                  <w:tcMar>
                    <w:top w:w="15" w:type="dxa"/>
                    <w:left w:w="15" w:type="dxa"/>
                    <w:right w:w="15" w:type="dxa"/>
                  </w:tcMar>
                  <w:vAlign w:val="center"/>
                </w:tcPr>
                <w:p w14:paraId="68C581B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35F2197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1FA612B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w:t>
                  </w:r>
                </w:p>
              </w:tc>
              <w:tc>
                <w:tcPr>
                  <w:tcW w:w="1095" w:type="pct"/>
                  <w:tcBorders>
                    <w:tl2br w:val="nil"/>
                    <w:tr2bl w:val="nil"/>
                  </w:tcBorders>
                  <w:noWrap w:val="0"/>
                  <w:tcMar>
                    <w:top w:w="15" w:type="dxa"/>
                    <w:left w:w="15" w:type="dxa"/>
                    <w:right w:w="15" w:type="dxa"/>
                  </w:tcMar>
                  <w:vAlign w:val="center"/>
                </w:tcPr>
                <w:p w14:paraId="1D22594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除尘</w:t>
                  </w:r>
                </w:p>
              </w:tc>
            </w:tr>
            <w:tr w14:paraId="28ECF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65" w:type="pct"/>
                  <w:tcBorders>
                    <w:tl2br w:val="nil"/>
                    <w:tr2bl w:val="nil"/>
                  </w:tcBorders>
                  <w:noWrap w:val="0"/>
                  <w:tcMar>
                    <w:top w:w="15" w:type="dxa"/>
                    <w:left w:w="15" w:type="dxa"/>
                    <w:right w:w="15" w:type="dxa"/>
                  </w:tcMar>
                  <w:vAlign w:val="center"/>
                </w:tcPr>
                <w:p w14:paraId="1768CBB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6</w:t>
                  </w:r>
                </w:p>
              </w:tc>
              <w:tc>
                <w:tcPr>
                  <w:tcW w:w="1138" w:type="pct"/>
                  <w:tcBorders>
                    <w:tl2br w:val="nil"/>
                    <w:tr2bl w:val="nil"/>
                  </w:tcBorders>
                  <w:noWrap w:val="0"/>
                  <w:tcMar>
                    <w:top w:w="15" w:type="dxa"/>
                    <w:left w:w="15" w:type="dxa"/>
                    <w:right w:w="15" w:type="dxa"/>
                  </w:tcMar>
                  <w:vAlign w:val="center"/>
                </w:tcPr>
                <w:p w14:paraId="7C6845B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液化气钢瓶残液回收装置</w:t>
                  </w:r>
                </w:p>
              </w:tc>
              <w:tc>
                <w:tcPr>
                  <w:tcW w:w="589" w:type="pct"/>
                  <w:tcBorders>
                    <w:tl2br w:val="nil"/>
                    <w:tr2bl w:val="nil"/>
                  </w:tcBorders>
                  <w:noWrap w:val="0"/>
                  <w:tcMar>
                    <w:top w:w="15" w:type="dxa"/>
                    <w:left w:w="15" w:type="dxa"/>
                    <w:right w:w="15" w:type="dxa"/>
                  </w:tcMar>
                  <w:vAlign w:val="center"/>
                </w:tcPr>
                <w:p w14:paraId="4294D5B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19D401D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台</w:t>
                  </w:r>
                </w:p>
              </w:tc>
              <w:tc>
                <w:tcPr>
                  <w:tcW w:w="1115" w:type="pct"/>
                  <w:tcBorders>
                    <w:tl2br w:val="nil"/>
                    <w:tr2bl w:val="nil"/>
                  </w:tcBorders>
                  <w:noWrap w:val="0"/>
                  <w:tcMar>
                    <w:top w:w="15" w:type="dxa"/>
                    <w:left w:w="15" w:type="dxa"/>
                    <w:right w:w="15" w:type="dxa"/>
                  </w:tcMar>
                  <w:vAlign w:val="center"/>
                </w:tcPr>
                <w:p w14:paraId="6DFA543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w:t>
                  </w:r>
                </w:p>
              </w:tc>
              <w:tc>
                <w:tcPr>
                  <w:tcW w:w="1095" w:type="pct"/>
                  <w:tcBorders>
                    <w:tl2br w:val="nil"/>
                    <w:tr2bl w:val="nil"/>
                  </w:tcBorders>
                  <w:noWrap w:val="0"/>
                  <w:tcMar>
                    <w:top w:w="15" w:type="dxa"/>
                    <w:left w:w="15" w:type="dxa"/>
                    <w:right w:w="15" w:type="dxa"/>
                  </w:tcMar>
                  <w:vAlign w:val="center"/>
                </w:tcPr>
                <w:p w14:paraId="20FAF35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抽残液</w:t>
                  </w:r>
                </w:p>
              </w:tc>
            </w:tr>
            <w:tr w14:paraId="29E99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5" w:type="pct"/>
                  <w:tcBorders>
                    <w:tl2br w:val="nil"/>
                    <w:tr2bl w:val="nil"/>
                  </w:tcBorders>
                  <w:noWrap w:val="0"/>
                  <w:tcMar>
                    <w:top w:w="15" w:type="dxa"/>
                    <w:left w:w="15" w:type="dxa"/>
                    <w:right w:w="15" w:type="dxa"/>
                  </w:tcMar>
                  <w:vAlign w:val="center"/>
                </w:tcPr>
                <w:p w14:paraId="79E975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7</w:t>
                  </w:r>
                </w:p>
              </w:tc>
              <w:tc>
                <w:tcPr>
                  <w:tcW w:w="1138" w:type="pct"/>
                  <w:tcBorders>
                    <w:tl2br w:val="nil"/>
                    <w:tr2bl w:val="nil"/>
                  </w:tcBorders>
                  <w:noWrap w:val="0"/>
                  <w:tcMar>
                    <w:top w:w="15" w:type="dxa"/>
                    <w:left w:w="15" w:type="dxa"/>
                    <w:right w:w="15" w:type="dxa"/>
                  </w:tcMar>
                  <w:vAlign w:val="center"/>
                </w:tcPr>
                <w:p w14:paraId="76C6EA9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循环水池</w:t>
                  </w:r>
                </w:p>
              </w:tc>
              <w:tc>
                <w:tcPr>
                  <w:tcW w:w="589" w:type="pct"/>
                  <w:tcBorders>
                    <w:tl2br w:val="nil"/>
                    <w:tr2bl w:val="nil"/>
                  </w:tcBorders>
                  <w:noWrap w:val="0"/>
                  <w:tcMar>
                    <w:top w:w="15" w:type="dxa"/>
                    <w:left w:w="15" w:type="dxa"/>
                    <w:right w:w="15" w:type="dxa"/>
                  </w:tcMar>
                  <w:vAlign w:val="center"/>
                </w:tcPr>
                <w:p w14:paraId="68900A4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1</w:t>
                  </w:r>
                </w:p>
              </w:tc>
              <w:tc>
                <w:tcPr>
                  <w:tcW w:w="694" w:type="pct"/>
                  <w:tcBorders>
                    <w:tl2br w:val="nil"/>
                    <w:tr2bl w:val="nil"/>
                  </w:tcBorders>
                  <w:noWrap w:val="0"/>
                  <w:tcMar>
                    <w:top w:w="15" w:type="dxa"/>
                    <w:left w:w="15" w:type="dxa"/>
                    <w:right w:w="15" w:type="dxa"/>
                  </w:tcMar>
                  <w:vAlign w:val="center"/>
                </w:tcPr>
                <w:p w14:paraId="67419A1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个</w:t>
                  </w:r>
                </w:p>
              </w:tc>
              <w:tc>
                <w:tcPr>
                  <w:tcW w:w="1115" w:type="pct"/>
                  <w:tcBorders>
                    <w:tl2br w:val="nil"/>
                    <w:tr2bl w:val="nil"/>
                  </w:tcBorders>
                  <w:noWrap w:val="0"/>
                  <w:tcMar>
                    <w:top w:w="15" w:type="dxa"/>
                    <w:left w:w="15" w:type="dxa"/>
                    <w:right w:w="15" w:type="dxa"/>
                  </w:tcMar>
                  <w:vAlign w:val="center"/>
                </w:tcPr>
                <w:p w14:paraId="263A73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32.4</w:t>
                  </w:r>
                  <w:r>
                    <w:rPr>
                      <w:rFonts w:hint="eastAsia" w:cs="Times New Roman"/>
                      <w:bCs/>
                      <w:color w:val="auto"/>
                      <w:sz w:val="21"/>
                      <w:szCs w:val="21"/>
                      <w:highlight w:val="none"/>
                      <w:u w:val="none" w:color="auto"/>
                      <w:lang w:val="en-US" w:eastAsia="zh-CN"/>
                    </w:rPr>
                    <w:t>m</w:t>
                  </w:r>
                  <w:r>
                    <w:rPr>
                      <w:rFonts w:hint="eastAsia" w:cs="Times New Roman"/>
                      <w:bCs/>
                      <w:color w:val="auto"/>
                      <w:sz w:val="21"/>
                      <w:szCs w:val="21"/>
                      <w:highlight w:val="none"/>
                      <w:u w:val="none" w:color="auto"/>
                      <w:vertAlign w:val="superscript"/>
                      <w:lang w:val="en-US" w:eastAsia="zh-CN"/>
                    </w:rPr>
                    <w:t>3</w:t>
                  </w:r>
                </w:p>
              </w:tc>
              <w:tc>
                <w:tcPr>
                  <w:tcW w:w="1095" w:type="pct"/>
                  <w:tcBorders>
                    <w:tl2br w:val="nil"/>
                    <w:tr2bl w:val="nil"/>
                  </w:tcBorders>
                  <w:noWrap w:val="0"/>
                  <w:tcMar>
                    <w:top w:w="15" w:type="dxa"/>
                    <w:left w:w="15" w:type="dxa"/>
                    <w:right w:w="15" w:type="dxa"/>
                  </w:tcMar>
                  <w:vAlign w:val="center"/>
                </w:tcPr>
                <w:p w14:paraId="10C2C64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bCs/>
                      <w:color w:val="auto"/>
                      <w:sz w:val="21"/>
                      <w:szCs w:val="21"/>
                      <w:highlight w:val="none"/>
                      <w:u w:val="none" w:color="auto"/>
                      <w:lang w:val="en-US" w:eastAsia="zh-CN"/>
                    </w:rPr>
                  </w:pPr>
                </w:p>
              </w:tc>
            </w:tr>
          </w:tbl>
          <w:p w14:paraId="4E060BEA">
            <w:pPr>
              <w:pStyle w:val="25"/>
              <w:bidi w:val="0"/>
              <w:rPr>
                <w:rFonts w:hint="eastAsia"/>
                <w:highlight w:val="none"/>
                <w:u w:val="none" w:color="auto"/>
                <w:lang w:val="en-US" w:eastAsia="zh-CN"/>
              </w:rPr>
            </w:pPr>
            <w:r>
              <w:rPr>
                <w:rFonts w:hint="eastAsia"/>
                <w:highlight w:val="none"/>
                <w:u w:val="none" w:color="auto"/>
                <w:lang w:val="en-US" w:eastAsia="zh-CN"/>
              </w:rPr>
              <w:t>根据《限期淘汰产生严重污染环境的工业固体废物的落后生产工艺设备名录》（2021年第25号工业和信息化部令），采用的生产工艺、主要生产设备均不属于现行产业政策中淘汰类设备、工艺和产品有关内容，项目设备符合产业政策。</w:t>
            </w:r>
          </w:p>
          <w:p w14:paraId="0AFB8B19">
            <w:pPr>
              <w:pStyle w:val="25"/>
              <w:bidi w:val="0"/>
              <w:ind w:left="0" w:leftChars="0" w:firstLine="0" w:firstLineChars="0"/>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5、项目原辅材料</w:t>
            </w:r>
            <w:r>
              <w:rPr>
                <w:rFonts w:hint="eastAsia" w:cs="Times New Roman"/>
                <w:b/>
                <w:bCs/>
                <w:color w:val="auto"/>
                <w:highlight w:val="none"/>
                <w:u w:val="none" w:color="auto"/>
                <w:lang w:val="en-US" w:eastAsia="zh-CN"/>
              </w:rPr>
              <w:t>及能源</w:t>
            </w:r>
            <w:r>
              <w:rPr>
                <w:rFonts w:hint="default" w:ascii="Times New Roman" w:hAnsi="Times New Roman" w:cs="Times New Roman"/>
                <w:b/>
                <w:bCs/>
                <w:color w:val="auto"/>
                <w:highlight w:val="none"/>
                <w:u w:val="none" w:color="auto"/>
                <w:lang w:val="en-US" w:eastAsia="zh-CN"/>
              </w:rPr>
              <w:t>消耗情况</w:t>
            </w:r>
          </w:p>
          <w:p w14:paraId="52462F99">
            <w:pPr>
              <w:pStyle w:val="25"/>
              <w:bidi w:val="0"/>
              <w:rPr>
                <w:rFonts w:hint="default"/>
                <w:color w:val="auto"/>
                <w:highlight w:val="none"/>
                <w:u w:val="none" w:color="auto"/>
                <w:lang w:eastAsia="zh-CN"/>
              </w:rPr>
            </w:pPr>
            <w:r>
              <w:rPr>
                <w:rFonts w:hint="default"/>
                <w:color w:val="auto"/>
                <w:highlight w:val="none"/>
                <w:u w:val="none" w:color="auto"/>
              </w:rPr>
              <w:t>按照本项目的生产规模，本项目</w:t>
            </w:r>
            <w:r>
              <w:rPr>
                <w:rFonts w:hint="eastAsia"/>
                <w:color w:val="auto"/>
                <w:highlight w:val="none"/>
                <w:u w:val="none" w:color="auto"/>
                <w:lang w:val="en-US" w:eastAsia="zh-CN"/>
              </w:rPr>
              <w:t>主要原辅材料用量详见表2-4</w:t>
            </w:r>
            <w:r>
              <w:rPr>
                <w:rFonts w:hint="default"/>
                <w:color w:val="auto"/>
                <w:highlight w:val="none"/>
                <w:u w:val="none" w:color="auto"/>
                <w:lang w:eastAsia="zh-CN"/>
              </w:rPr>
              <w:t>。</w:t>
            </w:r>
          </w:p>
          <w:p w14:paraId="058E220F">
            <w:pPr>
              <w:bidi w:val="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表2-</w:t>
            </w:r>
            <w:r>
              <w:rPr>
                <w:rFonts w:hint="eastAsia" w:cs="Times New Roman"/>
                <w:b/>
                <w:bCs/>
                <w:color w:val="auto"/>
                <w:highlight w:val="none"/>
                <w:u w:val="none" w:color="auto"/>
                <w:lang w:val="en-US" w:eastAsia="zh-CN"/>
              </w:rPr>
              <w:t xml:space="preserve">4   </w:t>
            </w:r>
            <w:r>
              <w:rPr>
                <w:rFonts w:hint="default" w:ascii="Times New Roman" w:hAnsi="Times New Roman" w:cs="Times New Roman"/>
                <w:b/>
                <w:bCs/>
                <w:color w:val="auto"/>
                <w:highlight w:val="none"/>
                <w:u w:val="none" w:color="auto"/>
                <w:lang w:val="en-US" w:eastAsia="zh-CN"/>
              </w:rPr>
              <w:t>项目</w:t>
            </w:r>
            <w:r>
              <w:rPr>
                <w:rFonts w:hint="default" w:ascii="Times New Roman" w:hAnsi="Times New Roman" w:cs="Times New Roman"/>
                <w:b/>
                <w:bCs/>
                <w:color w:val="auto"/>
                <w:highlight w:val="none"/>
                <w:u w:val="none" w:color="auto"/>
              </w:rPr>
              <w:t>原辅材料</w:t>
            </w:r>
            <w:r>
              <w:rPr>
                <w:rFonts w:hint="default" w:ascii="Times New Roman" w:hAnsi="Times New Roman" w:cs="Times New Roman"/>
                <w:b/>
                <w:bCs/>
                <w:color w:val="auto"/>
                <w:highlight w:val="none"/>
                <w:u w:val="none" w:color="auto"/>
                <w:lang w:val="en-US" w:eastAsia="zh-CN"/>
              </w:rPr>
              <w:t>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2"/>
              <w:gridCol w:w="2064"/>
              <w:gridCol w:w="1907"/>
              <w:gridCol w:w="2034"/>
            </w:tblGrid>
            <w:tr w14:paraId="5F5FE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9" w:type="pct"/>
                  <w:tcBorders>
                    <w:tl2br w:val="nil"/>
                    <w:tr2bl w:val="nil"/>
                  </w:tcBorders>
                  <w:noWrap w:val="0"/>
                  <w:vAlign w:val="center"/>
                </w:tcPr>
                <w:p w14:paraId="10516CA4">
                  <w:pPr>
                    <w:bidi w:val="0"/>
                    <w:jc w:val="center"/>
                    <w:rPr>
                      <w:rFonts w:hint="eastAsia" w:ascii="Times New Roman" w:hAnsi="Times New Roman" w:eastAsia="宋体" w:cs="Times New Roman"/>
                      <w:b/>
                      <w:bCs/>
                      <w:color w:val="auto"/>
                      <w:highlight w:val="none"/>
                      <w:u w:val="none" w:color="auto"/>
                      <w:lang w:eastAsia="zh-CN"/>
                    </w:rPr>
                  </w:pPr>
                  <w:r>
                    <w:rPr>
                      <w:rFonts w:hint="eastAsia" w:cs="Times New Roman"/>
                      <w:b/>
                      <w:bCs/>
                      <w:color w:val="auto"/>
                      <w:highlight w:val="none"/>
                      <w:u w:val="none" w:color="auto"/>
                      <w:lang w:val="en-US" w:eastAsia="zh-CN"/>
                    </w:rPr>
                    <w:t>原材料</w:t>
                  </w:r>
                </w:p>
              </w:tc>
              <w:tc>
                <w:tcPr>
                  <w:tcW w:w="1320" w:type="pct"/>
                  <w:tcBorders>
                    <w:tl2br w:val="nil"/>
                    <w:tr2bl w:val="nil"/>
                  </w:tcBorders>
                  <w:noWrap w:val="0"/>
                  <w:vAlign w:val="center"/>
                </w:tcPr>
                <w:p w14:paraId="3175BD70">
                  <w:pPr>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年用量</w:t>
                  </w:r>
                </w:p>
              </w:tc>
              <w:tc>
                <w:tcPr>
                  <w:tcW w:w="1220" w:type="pct"/>
                  <w:tcBorders>
                    <w:tl2br w:val="nil"/>
                    <w:tr2bl w:val="nil"/>
                  </w:tcBorders>
                  <w:noWrap w:val="0"/>
                  <w:vAlign w:val="center"/>
                </w:tcPr>
                <w:p w14:paraId="5A5C23C6">
                  <w:pPr>
                    <w:bidi w:val="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rPr>
                    <w:t>储存</w:t>
                  </w:r>
                  <w:r>
                    <w:rPr>
                      <w:rFonts w:hint="default" w:ascii="Times New Roman" w:hAnsi="Times New Roman" w:cs="Times New Roman"/>
                      <w:b/>
                      <w:bCs/>
                      <w:color w:val="auto"/>
                      <w:highlight w:val="none"/>
                      <w:u w:val="none" w:color="auto"/>
                      <w:lang w:val="en-US" w:eastAsia="zh-CN"/>
                    </w:rPr>
                    <w:t>位置</w:t>
                  </w:r>
                </w:p>
              </w:tc>
              <w:tc>
                <w:tcPr>
                  <w:tcW w:w="1299" w:type="pct"/>
                  <w:tcBorders>
                    <w:tl2br w:val="nil"/>
                    <w:tr2bl w:val="nil"/>
                  </w:tcBorders>
                  <w:noWrap w:val="0"/>
                  <w:vAlign w:val="center"/>
                </w:tcPr>
                <w:p w14:paraId="7245E7B6">
                  <w:pPr>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最大</w:t>
                  </w:r>
                  <w:r>
                    <w:rPr>
                      <w:rFonts w:hint="default" w:ascii="Times New Roman" w:hAnsi="Times New Roman" w:cs="Times New Roman"/>
                      <w:b/>
                      <w:bCs/>
                      <w:color w:val="auto"/>
                      <w:highlight w:val="none"/>
                      <w:u w:val="none" w:color="auto"/>
                    </w:rPr>
                    <w:t>储存量</w:t>
                  </w:r>
                </w:p>
              </w:tc>
            </w:tr>
            <w:tr w14:paraId="6BA18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9" w:type="pct"/>
                  <w:tcBorders>
                    <w:tl2br w:val="nil"/>
                    <w:tr2bl w:val="nil"/>
                  </w:tcBorders>
                  <w:noWrap w:val="0"/>
                  <w:vAlign w:val="center"/>
                </w:tcPr>
                <w:p w14:paraId="21151148">
                  <w:pPr>
                    <w:bidi w:val="0"/>
                    <w:jc w:val="center"/>
                    <w:rPr>
                      <w:rFonts w:hint="eastAsia" w:ascii="Times New Roman" w:hAnsi="Times New Roman" w:eastAsia="宋体" w:cs="Times New Roman"/>
                      <w:color w:val="auto"/>
                      <w:highlight w:val="none"/>
                      <w:u w:val="none" w:color="auto"/>
                      <w:lang w:eastAsia="zh-CN"/>
                    </w:rPr>
                  </w:pPr>
                  <w:r>
                    <w:rPr>
                      <w:rFonts w:hint="eastAsia"/>
                      <w:color w:val="auto"/>
                      <w:highlight w:val="none"/>
                      <w:u w:val="none" w:color="auto"/>
                      <w:vertAlign w:val="baseline"/>
                      <w:lang w:val="en-US" w:eastAsia="zh-CN"/>
                    </w:rPr>
                    <w:t>液化石油气钢瓶</w:t>
                  </w:r>
                </w:p>
              </w:tc>
              <w:tc>
                <w:tcPr>
                  <w:tcW w:w="1320" w:type="pct"/>
                  <w:tcBorders>
                    <w:tl2br w:val="nil"/>
                    <w:tr2bl w:val="nil"/>
                  </w:tcBorders>
                  <w:noWrap w:val="0"/>
                  <w:vAlign w:val="center"/>
                </w:tcPr>
                <w:p w14:paraId="10A97C65">
                  <w:pPr>
                    <w:bidi w:val="0"/>
                    <w:jc w:val="center"/>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vertAlign w:val="baseline"/>
                      <w:lang w:val="en-US" w:eastAsia="zh-CN"/>
                    </w:rPr>
                    <w:t>12万</w:t>
                  </w:r>
                  <w:r>
                    <w:rPr>
                      <w:rFonts w:hint="eastAsia" w:cs="Times New Roman"/>
                      <w:color w:val="auto"/>
                      <w:highlight w:val="none"/>
                      <w:u w:val="none" w:color="auto"/>
                      <w:lang w:val="en-US" w:eastAsia="zh-CN"/>
                    </w:rPr>
                    <w:t>只</w:t>
                  </w:r>
                </w:p>
              </w:tc>
              <w:tc>
                <w:tcPr>
                  <w:tcW w:w="1220" w:type="pct"/>
                  <w:tcBorders>
                    <w:tl2br w:val="nil"/>
                    <w:tr2bl w:val="nil"/>
                  </w:tcBorders>
                  <w:noWrap w:val="0"/>
                  <w:vAlign w:val="center"/>
                </w:tcPr>
                <w:p w14:paraId="49204549">
                  <w:pPr>
                    <w:pStyle w:val="30"/>
                    <w:bidi w:val="0"/>
                    <w:jc w:val="center"/>
                    <w:rPr>
                      <w:rFonts w:hint="default"/>
                      <w:highlight w:val="none"/>
                      <w:u w:val="none" w:color="auto"/>
                      <w:lang w:val="en-US" w:eastAsia="zh-CN"/>
                    </w:rPr>
                  </w:pPr>
                  <w:r>
                    <w:rPr>
                      <w:rFonts w:hint="eastAsia"/>
                      <w:highlight w:val="none"/>
                      <w:u w:val="none" w:color="auto"/>
                      <w:lang w:val="en-US" w:eastAsia="zh-CN"/>
                    </w:rPr>
                    <w:t>原材料堆场</w:t>
                  </w:r>
                </w:p>
              </w:tc>
              <w:tc>
                <w:tcPr>
                  <w:tcW w:w="1299" w:type="pct"/>
                  <w:tcBorders>
                    <w:tl2br w:val="nil"/>
                    <w:tr2bl w:val="nil"/>
                  </w:tcBorders>
                  <w:noWrap w:val="0"/>
                  <w:vAlign w:val="center"/>
                </w:tcPr>
                <w:p w14:paraId="0B1B26EB">
                  <w:pPr>
                    <w:bidi w:val="0"/>
                    <w:jc w:val="center"/>
                    <w:rPr>
                      <w:rFonts w:hint="default"/>
                      <w:highlight w:val="none"/>
                      <w:u w:val="none" w:color="auto"/>
                      <w:lang w:val="en-US" w:eastAsia="zh-CN"/>
                    </w:rPr>
                  </w:pPr>
                  <w:r>
                    <w:rPr>
                      <w:rFonts w:hint="eastAsia" w:ascii="Times New Roman" w:hAnsi="Times New Roman" w:eastAsia="宋体" w:cs="Times New Roman"/>
                      <w:color w:val="auto"/>
                      <w:highlight w:val="none"/>
                      <w:u w:val="none" w:color="auto"/>
                      <w:vertAlign w:val="baseline"/>
                      <w:lang w:val="en-US" w:eastAsia="zh-CN"/>
                    </w:rPr>
                    <w:t>3000</w:t>
                  </w:r>
                  <w:r>
                    <w:rPr>
                      <w:rFonts w:hint="eastAsia" w:cs="Times New Roman"/>
                      <w:color w:val="auto"/>
                      <w:highlight w:val="none"/>
                      <w:u w:val="none" w:color="auto"/>
                      <w:vertAlign w:val="baseline"/>
                      <w:lang w:val="en-US" w:eastAsia="zh-CN"/>
                    </w:rPr>
                    <w:t>只</w:t>
                  </w:r>
                </w:p>
              </w:tc>
            </w:tr>
            <w:tr w14:paraId="76B30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4"/>
                  <w:tcBorders>
                    <w:tl2br w:val="nil"/>
                    <w:tr2bl w:val="nil"/>
                  </w:tcBorders>
                  <w:noWrap w:val="0"/>
                  <w:vAlign w:val="center"/>
                </w:tcPr>
                <w:p w14:paraId="5988CC8F">
                  <w:pPr>
                    <w:pStyle w:val="30"/>
                    <w:bidi w:val="0"/>
                    <w:rPr>
                      <w:rFonts w:hint="default" w:cs="Times New Roman"/>
                      <w:color w:val="auto"/>
                      <w:highlight w:val="none"/>
                      <w:u w:val="none" w:color="auto"/>
                      <w:lang w:val="en-US" w:eastAsia="zh-CN"/>
                    </w:rPr>
                  </w:pPr>
                  <w:r>
                    <w:rPr>
                      <w:rFonts w:hint="eastAsia"/>
                      <w:highlight w:val="none"/>
                      <w:u w:val="none" w:color="auto"/>
                      <w:lang w:val="en-US" w:eastAsia="zh-CN"/>
                    </w:rPr>
                    <w:t>注：</w:t>
                  </w:r>
                  <w:r>
                    <w:rPr>
                      <w:highlight w:val="none"/>
                      <w:u w:val="none" w:color="auto"/>
                    </w:rPr>
                    <w:t>1只液化石油气钢瓶（16.5公斤规格）</w:t>
                  </w:r>
                  <w:r>
                    <w:rPr>
                      <w:rFonts w:hint="eastAsia"/>
                      <w:highlight w:val="none"/>
                      <w:u w:val="none" w:color="auto"/>
                      <w:lang w:eastAsia="zh-CN"/>
                    </w:rPr>
                    <w:t>；</w:t>
                  </w:r>
                  <w:r>
                    <w:rPr>
                      <w:rFonts w:hint="eastAsia"/>
                      <w:highlight w:val="none"/>
                      <w:u w:val="none" w:color="auto"/>
                      <w:lang w:val="en-US" w:eastAsia="zh-CN"/>
                    </w:rPr>
                    <w:t>液化石油气钢瓶从总厂运送而来。</w:t>
                  </w:r>
                </w:p>
              </w:tc>
            </w:tr>
          </w:tbl>
          <w:p w14:paraId="0B68066F">
            <w:pPr>
              <w:pStyle w:val="25"/>
              <w:bidi w:val="0"/>
              <w:rPr>
                <w:rFonts w:hint="default"/>
                <w:color w:val="auto"/>
                <w:highlight w:val="none"/>
                <w:u w:val="none" w:color="auto"/>
              </w:rPr>
            </w:pPr>
            <w:r>
              <w:rPr>
                <w:rStyle w:val="35"/>
                <w:color w:val="auto"/>
                <w:highlight w:val="none"/>
                <w:u w:val="none" w:color="auto"/>
                <w:lang w:val="en-US" w:eastAsia="zh-CN"/>
              </w:rPr>
              <w:t>本</w:t>
            </w:r>
            <w:r>
              <w:rPr>
                <w:rStyle w:val="35"/>
                <w:rFonts w:hint="eastAsia"/>
                <w:color w:val="auto"/>
                <w:highlight w:val="none"/>
                <w:u w:val="none" w:color="auto"/>
                <w:lang w:val="en-US" w:eastAsia="zh-CN"/>
              </w:rPr>
              <w:t>项目</w:t>
            </w:r>
            <w:r>
              <w:rPr>
                <w:rFonts w:hint="eastAsia"/>
                <w:color w:val="auto"/>
                <w:highlight w:val="none"/>
                <w:u w:val="none" w:color="auto"/>
                <w:lang w:val="en-US" w:eastAsia="zh-CN"/>
              </w:rPr>
              <w:t>能耗情况</w:t>
            </w:r>
            <w:r>
              <w:rPr>
                <w:rFonts w:hint="default"/>
                <w:color w:val="auto"/>
                <w:highlight w:val="none"/>
                <w:u w:val="none" w:color="auto"/>
              </w:rPr>
              <w:t>见</w:t>
            </w:r>
            <w:r>
              <w:rPr>
                <w:rFonts w:hint="default"/>
                <w:color w:val="auto"/>
                <w:highlight w:val="none"/>
                <w:u w:val="none" w:color="auto"/>
                <w:lang w:val="en-US" w:eastAsia="zh-CN"/>
              </w:rPr>
              <w:t>表2-</w:t>
            </w:r>
            <w:r>
              <w:rPr>
                <w:rFonts w:hint="eastAsia"/>
                <w:color w:val="auto"/>
                <w:highlight w:val="none"/>
                <w:u w:val="none" w:color="auto"/>
                <w:lang w:val="en-US" w:eastAsia="zh-CN"/>
              </w:rPr>
              <w:t>5。</w:t>
            </w:r>
          </w:p>
          <w:p w14:paraId="09653A47">
            <w:pPr>
              <w:pStyle w:val="3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w:t>
            </w:r>
            <w:r>
              <w:rPr>
                <w:rFonts w:hint="default" w:ascii="Times New Roman" w:hAnsi="Times New Roman" w:cs="Times New Roman"/>
                <w:b/>
                <w:bCs/>
                <w:color w:val="auto"/>
                <w:highlight w:val="none"/>
                <w:u w:val="none" w:color="auto"/>
                <w:lang w:val="en-US" w:eastAsia="zh-CN"/>
              </w:rPr>
              <w:t>2</w:t>
            </w:r>
            <w:r>
              <w:rPr>
                <w:rFonts w:hint="default" w:ascii="Times New Roman" w:hAnsi="Times New Roman" w:cs="Times New Roman"/>
                <w:b/>
                <w:bCs/>
                <w:color w:val="auto"/>
                <w:highlight w:val="none"/>
                <w:u w:val="none" w:color="auto"/>
              </w:rPr>
              <w:t>-</w:t>
            </w:r>
            <w:r>
              <w:rPr>
                <w:rFonts w:hint="eastAsia" w:cs="Times New Roman"/>
                <w:b/>
                <w:bCs/>
                <w:color w:val="auto"/>
                <w:highlight w:val="none"/>
                <w:u w:val="none" w:color="auto"/>
                <w:lang w:val="en-US" w:eastAsia="zh-CN"/>
              </w:rPr>
              <w:t xml:space="preserve">5   </w:t>
            </w:r>
            <w:r>
              <w:rPr>
                <w:rFonts w:hint="default" w:ascii="Times New Roman" w:hAnsi="Times New Roman" w:cs="Times New Roman"/>
                <w:b/>
                <w:bCs/>
                <w:color w:val="auto"/>
                <w:highlight w:val="none"/>
                <w:u w:val="none" w:color="auto"/>
              </w:rPr>
              <w:t>能源消耗情况</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2"/>
              <w:gridCol w:w="1379"/>
              <w:gridCol w:w="1010"/>
              <w:gridCol w:w="999"/>
              <w:gridCol w:w="3727"/>
            </w:tblGrid>
            <w:tr w14:paraId="257CC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449" w:type="pct"/>
                  <w:noWrap w:val="0"/>
                  <w:vAlign w:val="center"/>
                </w:tcPr>
                <w:p w14:paraId="705BCC38">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序号</w:t>
                  </w:r>
                </w:p>
              </w:tc>
              <w:tc>
                <w:tcPr>
                  <w:tcW w:w="882" w:type="pct"/>
                  <w:noWrap w:val="0"/>
                  <w:vAlign w:val="center"/>
                </w:tcPr>
                <w:p w14:paraId="565F1F89">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名称</w:t>
                  </w:r>
                </w:p>
              </w:tc>
              <w:tc>
                <w:tcPr>
                  <w:tcW w:w="646" w:type="pct"/>
                  <w:noWrap w:val="0"/>
                  <w:vAlign w:val="center"/>
                </w:tcPr>
                <w:p w14:paraId="16D71E82">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年</w:t>
                  </w:r>
                  <w:r>
                    <w:rPr>
                      <w:rFonts w:hint="default" w:ascii="Times New Roman" w:hAnsi="Times New Roman" w:eastAsia="宋体" w:cs="Times New Roman"/>
                      <w:b/>
                      <w:bCs/>
                      <w:color w:val="auto"/>
                      <w:highlight w:val="none"/>
                      <w:u w:val="none" w:color="auto"/>
                    </w:rPr>
                    <w:t>定额</w:t>
                  </w:r>
                </w:p>
              </w:tc>
              <w:tc>
                <w:tcPr>
                  <w:tcW w:w="639" w:type="pct"/>
                  <w:noWrap w:val="0"/>
                  <w:vAlign w:val="center"/>
                </w:tcPr>
                <w:p w14:paraId="74E780D1">
                  <w:pPr>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rPr>
                    <w:t>单位</w:t>
                  </w:r>
                </w:p>
              </w:tc>
              <w:tc>
                <w:tcPr>
                  <w:tcW w:w="2383" w:type="pct"/>
                  <w:noWrap w:val="0"/>
                  <w:vAlign w:val="center"/>
                </w:tcPr>
                <w:p w14:paraId="5F8332D8">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来源</w:t>
                  </w:r>
                </w:p>
              </w:tc>
            </w:tr>
            <w:tr w14:paraId="6DAD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9" w:type="pct"/>
                  <w:noWrap w:val="0"/>
                  <w:vAlign w:val="center"/>
                </w:tcPr>
                <w:p w14:paraId="7F5C6517">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1</w:t>
                  </w:r>
                </w:p>
              </w:tc>
              <w:tc>
                <w:tcPr>
                  <w:tcW w:w="882" w:type="pct"/>
                  <w:noWrap w:val="0"/>
                  <w:vAlign w:val="center"/>
                </w:tcPr>
                <w:p w14:paraId="539049A1">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电</w:t>
                  </w:r>
                </w:p>
              </w:tc>
              <w:tc>
                <w:tcPr>
                  <w:tcW w:w="646" w:type="pct"/>
                  <w:noWrap w:val="0"/>
                  <w:vAlign w:val="center"/>
                </w:tcPr>
                <w:p w14:paraId="6998EFCA">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10</w:t>
                  </w:r>
                </w:p>
              </w:tc>
              <w:tc>
                <w:tcPr>
                  <w:tcW w:w="639" w:type="pct"/>
                  <w:noWrap w:val="0"/>
                  <w:vAlign w:val="center"/>
                </w:tcPr>
                <w:p w14:paraId="53C1DA81">
                  <w:pPr>
                    <w:jc w:val="center"/>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万度</w:t>
                  </w:r>
                </w:p>
              </w:tc>
              <w:tc>
                <w:tcPr>
                  <w:tcW w:w="2383" w:type="pct"/>
                  <w:noWrap w:val="0"/>
                  <w:vAlign w:val="center"/>
                </w:tcPr>
                <w:p w14:paraId="0A3DC8A0">
                  <w:pPr>
                    <w:jc w:val="center"/>
                    <w:rPr>
                      <w:rFonts w:hint="default" w:ascii="Times New Roman" w:hAnsi="Times New Roman" w:eastAsia="宋体" w:cs="Times New Roman"/>
                      <w:b w:val="0"/>
                      <w:bCs w:val="0"/>
                      <w:color w:val="auto"/>
                      <w:highlight w:val="none"/>
                      <w:u w:val="none" w:color="auto"/>
                    </w:rPr>
                  </w:pP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p>
              </w:tc>
            </w:tr>
            <w:tr w14:paraId="580C0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49" w:type="pct"/>
                  <w:noWrap w:val="0"/>
                  <w:vAlign w:val="center"/>
                </w:tcPr>
                <w:p w14:paraId="7D972827">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2</w:t>
                  </w:r>
                </w:p>
              </w:tc>
              <w:tc>
                <w:tcPr>
                  <w:tcW w:w="882" w:type="pct"/>
                  <w:noWrap w:val="0"/>
                  <w:vAlign w:val="center"/>
                </w:tcPr>
                <w:p w14:paraId="0A5DBEB8">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水</w:t>
                  </w:r>
                </w:p>
              </w:tc>
              <w:tc>
                <w:tcPr>
                  <w:tcW w:w="646" w:type="pct"/>
                  <w:noWrap w:val="0"/>
                  <w:vAlign w:val="center"/>
                </w:tcPr>
                <w:p w14:paraId="573C2240">
                  <w:pPr>
                    <w:pStyle w:val="27"/>
                    <w:bidi w:val="0"/>
                    <w:rPr>
                      <w:rFonts w:hint="default" w:ascii="Times New Roman" w:hAnsi="Times New Roman" w:eastAsia="宋体" w:cs="Times New Roman"/>
                      <w:b w:val="0"/>
                      <w:bCs w:val="0"/>
                      <w:color w:val="auto"/>
                      <w:highlight w:val="none"/>
                      <w:u w:val="none" w:color="auto"/>
                      <w:lang w:val="en-US" w:eastAsia="zh-CN"/>
                    </w:rPr>
                  </w:pPr>
                  <w:r>
                    <w:rPr>
                      <w:rFonts w:hint="eastAsia" w:eastAsia="宋体"/>
                      <w:highlight w:val="none"/>
                      <w:u w:val="none" w:color="auto"/>
                      <w:lang w:val="en-US" w:eastAsia="zh-CN"/>
                    </w:rPr>
                    <w:t>152</w:t>
                  </w:r>
                </w:p>
              </w:tc>
              <w:tc>
                <w:tcPr>
                  <w:tcW w:w="639" w:type="pct"/>
                  <w:noWrap w:val="0"/>
                  <w:vAlign w:val="center"/>
                </w:tcPr>
                <w:p w14:paraId="1EA1CCFE">
                  <w:pPr>
                    <w:jc w:val="center"/>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m</w:t>
                  </w:r>
                  <w:r>
                    <w:rPr>
                      <w:rFonts w:hint="default" w:ascii="Times New Roman" w:hAnsi="Times New Roman" w:eastAsia="宋体" w:cs="Times New Roman"/>
                      <w:b w:val="0"/>
                      <w:bCs w:val="0"/>
                      <w:color w:val="auto"/>
                      <w:highlight w:val="none"/>
                      <w:u w:val="none" w:color="auto"/>
                      <w:vertAlign w:val="superscript"/>
                      <w:lang w:val="en-US" w:eastAsia="zh-CN"/>
                    </w:rPr>
                    <w:t>3</w:t>
                  </w:r>
                  <w:r>
                    <w:rPr>
                      <w:rFonts w:hint="default" w:ascii="Times New Roman" w:hAnsi="Times New Roman" w:eastAsia="宋体" w:cs="Times New Roman"/>
                      <w:b w:val="0"/>
                      <w:bCs w:val="0"/>
                      <w:color w:val="auto"/>
                      <w:highlight w:val="none"/>
                      <w:u w:val="none" w:color="auto"/>
                      <w:lang w:val="en-US" w:eastAsia="zh-CN"/>
                    </w:rPr>
                    <w:t>/a</w:t>
                  </w:r>
                </w:p>
              </w:tc>
              <w:tc>
                <w:tcPr>
                  <w:tcW w:w="2383" w:type="pct"/>
                  <w:noWrap w:val="0"/>
                  <w:vAlign w:val="center"/>
                </w:tcPr>
                <w:p w14:paraId="4820151B">
                  <w:pPr>
                    <w:jc w:val="center"/>
                    <w:rPr>
                      <w:rFonts w:hint="eastAsia" w:ascii="Times New Roman" w:hAnsi="Times New Roman" w:eastAsia="宋体" w:cs="Times New Roman"/>
                      <w:b w:val="0"/>
                      <w:bCs w:val="0"/>
                      <w:color w:val="auto"/>
                      <w:highlight w:val="none"/>
                      <w:u w:val="none" w:color="auto"/>
                      <w:lang w:eastAsia="zh-CN"/>
                    </w:rPr>
                  </w:pPr>
                  <w:r>
                    <w:rPr>
                      <w:rFonts w:hint="eastAsia" w:cs="Times New Roman"/>
                      <w:color w:val="auto"/>
                      <w:highlight w:val="none"/>
                      <w:u w:val="none" w:color="auto"/>
                      <w:lang w:val="en-US" w:eastAsia="zh-CN"/>
                    </w:rPr>
                    <w:t>市政供水</w:t>
                  </w:r>
                </w:p>
              </w:tc>
            </w:tr>
            <w:tr w14:paraId="52689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9" w:type="pct"/>
                  <w:noWrap w:val="0"/>
                  <w:vAlign w:val="center"/>
                </w:tcPr>
                <w:p w14:paraId="50D9ECC5">
                  <w:pPr>
                    <w:jc w:val="center"/>
                    <w:rPr>
                      <w:rFonts w:hint="eastAsia"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3</w:t>
                  </w:r>
                </w:p>
              </w:tc>
              <w:tc>
                <w:tcPr>
                  <w:tcW w:w="882" w:type="pct"/>
                  <w:noWrap w:val="0"/>
                  <w:vAlign w:val="center"/>
                </w:tcPr>
                <w:p w14:paraId="0FF94946">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生物质燃料</w:t>
                  </w:r>
                </w:p>
              </w:tc>
              <w:tc>
                <w:tcPr>
                  <w:tcW w:w="646" w:type="pct"/>
                  <w:noWrap w:val="0"/>
                  <w:vAlign w:val="center"/>
                </w:tcPr>
                <w:p w14:paraId="64BA9D7D">
                  <w:pPr>
                    <w:pStyle w:val="30"/>
                    <w:bidi w:val="0"/>
                    <w:jc w:val="center"/>
                    <w:rPr>
                      <w:rFonts w:hint="eastAsia" w:ascii="Times New Roman" w:hAnsi="Times New Roman" w:eastAsia="宋体" w:cs="Times New Roman"/>
                      <w:b w:val="0"/>
                      <w:bCs w:val="0"/>
                      <w:color w:val="auto"/>
                      <w:highlight w:val="none"/>
                      <w:u w:val="none" w:color="auto"/>
                      <w:lang w:val="en-US" w:eastAsia="zh-CN"/>
                    </w:rPr>
                  </w:pPr>
                  <w:r>
                    <w:t>193.37</w:t>
                  </w:r>
                </w:p>
              </w:tc>
              <w:tc>
                <w:tcPr>
                  <w:tcW w:w="639" w:type="pct"/>
                  <w:noWrap w:val="0"/>
                  <w:vAlign w:val="center"/>
                </w:tcPr>
                <w:p w14:paraId="44C47CB0">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t/a</w:t>
                  </w:r>
                </w:p>
              </w:tc>
              <w:tc>
                <w:tcPr>
                  <w:tcW w:w="2383" w:type="pct"/>
                  <w:noWrap w:val="0"/>
                  <w:vAlign w:val="center"/>
                </w:tcPr>
                <w:p w14:paraId="20CA1CCB">
                  <w:pPr>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外购</w:t>
                  </w:r>
                </w:p>
              </w:tc>
            </w:tr>
            <w:tr w14:paraId="05084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9" w:type="pct"/>
                  <w:noWrap w:val="0"/>
                  <w:vAlign w:val="center"/>
                </w:tcPr>
                <w:p w14:paraId="27113120">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4</w:t>
                  </w:r>
                </w:p>
              </w:tc>
              <w:tc>
                <w:tcPr>
                  <w:tcW w:w="882" w:type="pct"/>
                  <w:noWrap w:val="0"/>
                  <w:vAlign w:val="center"/>
                </w:tcPr>
                <w:p w14:paraId="4AC5498D">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液化石油气</w:t>
                  </w:r>
                </w:p>
              </w:tc>
              <w:tc>
                <w:tcPr>
                  <w:tcW w:w="646" w:type="pct"/>
                  <w:noWrap w:val="0"/>
                  <w:vAlign w:val="center"/>
                </w:tcPr>
                <w:p w14:paraId="0B5FECFD">
                  <w:pPr>
                    <w:jc w:val="center"/>
                    <w:rPr>
                      <w:rStyle w:val="52"/>
                      <w:rFonts w:hint="default"/>
                      <w:highlight w:val="none"/>
                      <w:u w:val="none" w:color="auto"/>
                    </w:rPr>
                  </w:pPr>
                  <w:r>
                    <w:rPr>
                      <w:rFonts w:hint="default"/>
                      <w:highlight w:val="none"/>
                      <w:u w:val="none" w:color="auto"/>
                    </w:rPr>
                    <w:t>80.6</w:t>
                  </w:r>
                </w:p>
              </w:tc>
              <w:tc>
                <w:tcPr>
                  <w:tcW w:w="639" w:type="pct"/>
                  <w:noWrap w:val="0"/>
                  <w:vAlign w:val="center"/>
                </w:tcPr>
                <w:p w14:paraId="3B9712D4">
                  <w:pPr>
                    <w:jc w:val="center"/>
                    <w:rPr>
                      <w:rFonts w:hint="eastAsia"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t/a</w:t>
                  </w:r>
                </w:p>
              </w:tc>
              <w:tc>
                <w:tcPr>
                  <w:tcW w:w="2383" w:type="pct"/>
                  <w:noWrap w:val="0"/>
                  <w:vAlign w:val="center"/>
                </w:tcPr>
                <w:p w14:paraId="2DA76051">
                  <w:pPr>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w:t>
                  </w:r>
                </w:p>
              </w:tc>
            </w:tr>
            <w:tr w14:paraId="75167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49" w:type="pct"/>
                  <w:noWrap w:val="0"/>
                  <w:vAlign w:val="center"/>
                </w:tcPr>
                <w:p w14:paraId="0201A088">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5</w:t>
                  </w:r>
                </w:p>
              </w:tc>
              <w:tc>
                <w:tcPr>
                  <w:tcW w:w="882" w:type="pct"/>
                  <w:noWrap w:val="0"/>
                  <w:vAlign w:val="center"/>
                </w:tcPr>
                <w:p w14:paraId="6E11277C">
                  <w:pPr>
                    <w:jc w:val="center"/>
                    <w:rPr>
                      <w:rFonts w:hint="eastAsia"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机油</w:t>
                  </w:r>
                </w:p>
              </w:tc>
              <w:tc>
                <w:tcPr>
                  <w:tcW w:w="646" w:type="pct"/>
                  <w:noWrap w:val="0"/>
                  <w:vAlign w:val="center"/>
                </w:tcPr>
                <w:p w14:paraId="7C716C55">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0.3</w:t>
                  </w:r>
                </w:p>
              </w:tc>
              <w:tc>
                <w:tcPr>
                  <w:tcW w:w="639" w:type="pct"/>
                  <w:noWrap w:val="0"/>
                  <w:vAlign w:val="center"/>
                </w:tcPr>
                <w:p w14:paraId="752EC6B3">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t/a</w:t>
                  </w:r>
                </w:p>
              </w:tc>
              <w:tc>
                <w:tcPr>
                  <w:tcW w:w="2383" w:type="pct"/>
                  <w:noWrap w:val="0"/>
                  <w:vAlign w:val="center"/>
                </w:tcPr>
                <w:p w14:paraId="3CF049E9">
                  <w:pPr>
                    <w:jc w:val="center"/>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外购</w:t>
                  </w:r>
                </w:p>
              </w:tc>
            </w:tr>
            <w:tr w14:paraId="3B68A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5"/>
                  <w:noWrap w:val="0"/>
                  <w:vAlign w:val="center"/>
                </w:tcPr>
                <w:p w14:paraId="74C5749A">
                  <w:pPr>
                    <w:pStyle w:val="27"/>
                    <w:keepNext w:val="0"/>
                    <w:keepLines w:val="0"/>
                    <w:pageBreakBefore w:val="0"/>
                    <w:widowControl w:val="0"/>
                    <w:kinsoku/>
                    <w:wordWrap w:val="0"/>
                    <w:overflowPunct/>
                    <w:topLinePunct/>
                    <w:autoSpaceDE/>
                    <w:autoSpaceDN/>
                    <w:bidi w:val="0"/>
                    <w:adjustRightInd/>
                    <w:snapToGrid/>
                    <w:jc w:val="left"/>
                    <w:textAlignment w:val="auto"/>
                    <w:rPr>
                      <w:rFonts w:hint="default" w:cs="Times New Roman"/>
                      <w:color w:val="auto"/>
                      <w:highlight w:val="none"/>
                      <w:u w:val="none" w:color="auto"/>
                      <w:lang w:val="en-US" w:eastAsia="zh-CN"/>
                    </w:rPr>
                  </w:pPr>
                  <w:r>
                    <w:rPr>
                      <w:rFonts w:hint="eastAsia"/>
                      <w:highlight w:val="none"/>
                      <w:u w:val="none" w:color="auto"/>
                      <w:lang w:val="en-US" w:eastAsia="zh-CN"/>
                    </w:rPr>
                    <w:t>注：</w:t>
                  </w:r>
                  <w:r>
                    <w:rPr>
                      <w:highlight w:val="none"/>
                      <w:u w:val="none" w:color="auto"/>
                    </w:rPr>
                    <w:t>本项目</w:t>
                  </w:r>
                  <w:r>
                    <w:rPr>
                      <w:rFonts w:hint="eastAsia"/>
                      <w:highlight w:val="none"/>
                      <w:u w:val="none" w:color="auto"/>
                      <w:lang w:val="en-US" w:eastAsia="zh-CN"/>
                    </w:rPr>
                    <w:t>2台</w:t>
                  </w:r>
                  <w:r>
                    <w:rPr>
                      <w:highlight w:val="none"/>
                      <w:u w:val="none" w:color="auto"/>
                    </w:rPr>
                    <w:t>焚烧炉发热量为</w:t>
                  </w:r>
                  <w:r>
                    <w:rPr>
                      <w:rFonts w:hint="default"/>
                      <w:highlight w:val="none"/>
                      <w:u w:val="none" w:color="auto"/>
                    </w:rPr>
                    <w:t>30万大卡/小时。焚烧炉每日运行时间约为8h，即项目生产线需热值为240万kcal/d，约1004万kJ/d。查阅《环境保护计算手册》，液化石油气（气态）的低位热值为21000～24000kcal/m</w:t>
                  </w:r>
                  <w:r>
                    <w:rPr>
                      <w:rFonts w:hint="eastAsia" w:eastAsia="宋体"/>
                      <w:highlight w:val="none"/>
                      <w:u w:val="none" w:color="auto"/>
                      <w:vertAlign w:val="superscript"/>
                      <w:lang w:val="en-US" w:eastAsia="zh-CN"/>
                    </w:rPr>
                    <w:t>3</w:t>
                  </w:r>
                  <w:r>
                    <w:rPr>
                      <w:rFonts w:hint="default"/>
                      <w:highlight w:val="none"/>
                      <w:u w:val="none" w:color="auto"/>
                    </w:rPr>
                    <w:t>，折合为约87903～100460kJ/m³，则项目生产线需消耗的液化石油气的量约为100.0～114.3m³/d（30000～34286m³/a），折合70.6～80.6t/a。</w:t>
                  </w:r>
                </w:p>
              </w:tc>
            </w:tr>
          </w:tbl>
          <w:p w14:paraId="5DF092E8">
            <w:pPr>
              <w:pStyle w:val="25"/>
              <w:numPr>
                <w:ilvl w:val="0"/>
                <w:numId w:val="0"/>
              </w:numPr>
              <w:bidi w:val="0"/>
              <w:ind w:leftChars="0"/>
              <w:rPr>
                <w:rFonts w:hint="eastAsia" w:cs="Times New Roman"/>
                <w:b/>
                <w:bCs/>
                <w:color w:val="auto"/>
                <w:highlight w:val="none"/>
                <w:u w:val="none" w:color="auto"/>
                <w:lang w:val="en-US" w:eastAsia="zh-CN"/>
              </w:rPr>
            </w:pPr>
            <w:r>
              <w:rPr>
                <w:rFonts w:hint="eastAsia" w:cs="Times New Roman"/>
                <w:b/>
                <w:bCs/>
                <w:color w:val="auto"/>
                <w:highlight w:val="none"/>
                <w:u w:val="none" w:color="auto"/>
                <w:lang w:val="en-US" w:eastAsia="zh-CN"/>
              </w:rPr>
              <w:t>残液理化性质：</w:t>
            </w:r>
          </w:p>
          <w:p w14:paraId="12D3EFF6">
            <w:pPr>
              <w:pStyle w:val="30"/>
              <w:bidi w:val="0"/>
              <w:jc w:val="center"/>
              <w:rPr>
                <w:rFonts w:hint="default"/>
                <w:b/>
                <w:bCs/>
                <w:highlight w:val="none"/>
                <w:u w:val="none" w:color="auto"/>
                <w:lang w:val="en-US" w:eastAsia="zh-CN"/>
              </w:rPr>
            </w:pPr>
            <w:r>
              <w:rPr>
                <w:rFonts w:hint="default"/>
                <w:b/>
                <w:bCs/>
                <w:highlight w:val="none"/>
                <w:u w:val="none" w:color="auto"/>
              </w:rPr>
              <w:t>表</w:t>
            </w:r>
            <w:r>
              <w:rPr>
                <w:rFonts w:hint="default"/>
                <w:b/>
                <w:bCs/>
                <w:highlight w:val="none"/>
                <w:u w:val="none" w:color="auto"/>
                <w:lang w:val="en-US" w:eastAsia="zh-CN"/>
              </w:rPr>
              <w:t>2</w:t>
            </w:r>
            <w:r>
              <w:rPr>
                <w:rFonts w:hint="default"/>
                <w:b/>
                <w:bCs/>
                <w:highlight w:val="none"/>
                <w:u w:val="none" w:color="auto"/>
              </w:rPr>
              <w:t>-</w:t>
            </w:r>
            <w:r>
              <w:rPr>
                <w:rFonts w:hint="eastAsia"/>
                <w:b/>
                <w:bCs/>
                <w:highlight w:val="none"/>
                <w:u w:val="none" w:color="auto"/>
                <w:lang w:val="en-US" w:eastAsia="zh-CN"/>
              </w:rPr>
              <w:t>6   残液理化性质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6452"/>
            </w:tblGrid>
            <w:tr w14:paraId="49785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5" w:type="pct"/>
                  <w:tcBorders>
                    <w:tl2br w:val="nil"/>
                    <w:tr2bl w:val="nil"/>
                  </w:tcBorders>
                  <w:vAlign w:val="center"/>
                </w:tcPr>
                <w:p w14:paraId="1A3BE907">
                  <w:pPr>
                    <w:pStyle w:val="27"/>
                    <w:bidi w:val="0"/>
                    <w:rPr>
                      <w:rFonts w:hint="default"/>
                      <w:b/>
                      <w:bCs/>
                      <w:highlight w:val="none"/>
                      <w:u w:val="none" w:color="auto"/>
                      <w:lang w:val="en-US" w:eastAsia="zh-CN"/>
                    </w:rPr>
                  </w:pPr>
                  <w:r>
                    <w:rPr>
                      <w:rFonts w:hint="eastAsia"/>
                      <w:b/>
                      <w:bCs/>
                      <w:highlight w:val="none"/>
                      <w:u w:val="none" w:color="auto"/>
                      <w:lang w:val="en-US" w:eastAsia="zh-CN"/>
                    </w:rPr>
                    <w:t>化学品名称</w:t>
                  </w:r>
                </w:p>
              </w:tc>
              <w:tc>
                <w:tcPr>
                  <w:tcW w:w="4124" w:type="pct"/>
                  <w:tcBorders>
                    <w:tl2br w:val="nil"/>
                    <w:tr2bl w:val="nil"/>
                  </w:tcBorders>
                  <w:vAlign w:val="center"/>
                </w:tcPr>
                <w:p w14:paraId="4ECA1378">
                  <w:pPr>
                    <w:pStyle w:val="27"/>
                    <w:bidi w:val="0"/>
                    <w:rPr>
                      <w:rFonts w:hint="default"/>
                      <w:highlight w:val="none"/>
                      <w:u w:val="none" w:color="auto"/>
                      <w:lang w:val="en-US" w:eastAsia="zh-CN"/>
                    </w:rPr>
                  </w:pPr>
                  <w:r>
                    <w:rPr>
                      <w:rFonts w:hint="eastAsia"/>
                      <w:highlight w:val="none"/>
                      <w:u w:val="none" w:color="auto"/>
                      <w:lang w:val="en-US" w:eastAsia="zh-CN"/>
                    </w:rPr>
                    <w:t>液化石油气残液</w:t>
                  </w:r>
                </w:p>
              </w:tc>
            </w:tr>
            <w:tr w14:paraId="11F90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tcBorders>
                    <w:tl2br w:val="nil"/>
                    <w:tr2bl w:val="nil"/>
                  </w:tcBorders>
                  <w:vAlign w:val="center"/>
                </w:tcPr>
                <w:p w14:paraId="1A7B7059">
                  <w:pPr>
                    <w:pStyle w:val="27"/>
                    <w:bidi w:val="0"/>
                    <w:rPr>
                      <w:rFonts w:hint="default"/>
                      <w:b/>
                      <w:bCs/>
                      <w:highlight w:val="none"/>
                      <w:u w:val="none" w:color="auto"/>
                      <w:lang w:val="en-US" w:eastAsia="zh-CN"/>
                    </w:rPr>
                  </w:pPr>
                  <w:r>
                    <w:rPr>
                      <w:rFonts w:hint="eastAsia"/>
                      <w:b/>
                      <w:bCs/>
                      <w:highlight w:val="none"/>
                      <w:u w:val="none" w:color="auto"/>
                      <w:lang w:val="en-US" w:eastAsia="zh-CN"/>
                    </w:rPr>
                    <w:t>主要成分</w:t>
                  </w:r>
                </w:p>
              </w:tc>
              <w:tc>
                <w:tcPr>
                  <w:tcW w:w="4124" w:type="pct"/>
                  <w:tcBorders>
                    <w:tl2br w:val="nil"/>
                    <w:tr2bl w:val="nil"/>
                  </w:tcBorders>
                  <w:vAlign w:val="center"/>
                </w:tcPr>
                <w:p w14:paraId="00A1BC3F">
                  <w:pPr>
                    <w:pStyle w:val="27"/>
                    <w:bidi w:val="0"/>
                    <w:rPr>
                      <w:rFonts w:hint="eastAsia"/>
                      <w:highlight w:val="none"/>
                      <w:u w:val="none" w:color="auto"/>
                      <w:lang w:val="en-US" w:eastAsia="zh-CN"/>
                    </w:rPr>
                  </w:pPr>
                  <w:r>
                    <w:rPr>
                      <w:highlight w:val="none"/>
                      <w:u w:val="none" w:color="auto"/>
                    </w:rPr>
                    <w:t>戊烯和比戊烷重的烃类物质</w:t>
                  </w:r>
                </w:p>
              </w:tc>
            </w:tr>
            <w:tr w14:paraId="0EFBD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tcBorders>
                    <w:tl2br w:val="nil"/>
                    <w:tr2bl w:val="nil"/>
                  </w:tcBorders>
                  <w:vAlign w:val="center"/>
                </w:tcPr>
                <w:p w14:paraId="098068DD">
                  <w:pPr>
                    <w:pStyle w:val="27"/>
                    <w:bidi w:val="0"/>
                    <w:rPr>
                      <w:rFonts w:hint="eastAsia"/>
                      <w:b/>
                      <w:bCs/>
                      <w:highlight w:val="none"/>
                      <w:u w:val="none" w:color="auto"/>
                      <w:lang w:val="en-US" w:eastAsia="zh-CN"/>
                    </w:rPr>
                  </w:pPr>
                  <w:r>
                    <w:rPr>
                      <w:rFonts w:hint="eastAsia"/>
                      <w:b/>
                      <w:bCs/>
                      <w:highlight w:val="none"/>
                      <w:u w:val="none" w:color="auto"/>
                      <w:lang w:val="en-US" w:eastAsia="zh-CN"/>
                    </w:rPr>
                    <w:t>物</w:t>
                  </w:r>
                  <w:r>
                    <w:rPr>
                      <w:b/>
                      <w:bCs/>
                      <w:highlight w:val="none"/>
                      <w:u w:val="none" w:color="auto"/>
                    </w:rPr>
                    <w:t>理性质</w:t>
                  </w:r>
                </w:p>
              </w:tc>
              <w:tc>
                <w:tcPr>
                  <w:tcW w:w="4124" w:type="pct"/>
                  <w:tcBorders>
                    <w:tl2br w:val="nil"/>
                    <w:tr2bl w:val="nil"/>
                  </w:tcBorders>
                  <w:vAlign w:val="center"/>
                </w:tcPr>
                <w:p w14:paraId="5AA5A730">
                  <w:pPr>
                    <w:pStyle w:val="27"/>
                    <w:bidi w:val="0"/>
                    <w:rPr>
                      <w:rFonts w:hint="eastAsia"/>
                      <w:highlight w:val="none"/>
                      <w:u w:val="none" w:color="auto"/>
                      <w:lang w:val="en-US" w:eastAsia="zh-CN"/>
                    </w:rPr>
                  </w:pPr>
                  <w:r>
                    <w:rPr>
                      <w:highlight w:val="none"/>
                      <w:u w:val="none" w:color="auto"/>
                    </w:rPr>
                    <w:t>无色气体或油状液体，有特殊臭味，其蒸汽比空气重，易扩散</w:t>
                  </w:r>
                </w:p>
              </w:tc>
            </w:tr>
            <w:tr w14:paraId="3119C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5" w:type="pct"/>
                  <w:tcBorders>
                    <w:tl2br w:val="nil"/>
                    <w:tr2bl w:val="nil"/>
                  </w:tcBorders>
                  <w:vAlign w:val="center"/>
                </w:tcPr>
                <w:p w14:paraId="6BED092B">
                  <w:pPr>
                    <w:pStyle w:val="27"/>
                    <w:bidi w:val="0"/>
                    <w:rPr>
                      <w:rFonts w:hint="default"/>
                      <w:b/>
                      <w:bCs/>
                      <w:highlight w:val="none"/>
                      <w:u w:val="none" w:color="auto"/>
                      <w:lang w:val="en-US" w:eastAsia="zh-CN"/>
                    </w:rPr>
                  </w:pPr>
                  <w:r>
                    <w:rPr>
                      <w:rFonts w:hint="eastAsia"/>
                      <w:b/>
                      <w:bCs/>
                      <w:highlight w:val="none"/>
                      <w:u w:val="none" w:color="auto"/>
                      <w:lang w:val="en-US" w:eastAsia="zh-CN"/>
                    </w:rPr>
                    <w:t>化学特性</w:t>
                  </w:r>
                </w:p>
              </w:tc>
              <w:tc>
                <w:tcPr>
                  <w:tcW w:w="4124" w:type="pct"/>
                  <w:tcBorders>
                    <w:tl2br w:val="nil"/>
                    <w:tr2bl w:val="nil"/>
                  </w:tcBorders>
                  <w:vAlign w:val="center"/>
                </w:tcPr>
                <w:p w14:paraId="461D02DA">
                  <w:pPr>
                    <w:pStyle w:val="27"/>
                    <w:bidi w:val="0"/>
                    <w:rPr>
                      <w:rFonts w:hint="eastAsia"/>
                      <w:highlight w:val="none"/>
                      <w:u w:val="none" w:color="auto"/>
                      <w:lang w:val="en-US" w:eastAsia="zh-CN"/>
                    </w:rPr>
                  </w:pPr>
                  <w:r>
                    <w:rPr>
                      <w:highlight w:val="none"/>
                      <w:u w:val="none" w:color="auto"/>
                    </w:rPr>
                    <w:t>含有少量硫化物和水分，有毒易燃</w:t>
                  </w:r>
                </w:p>
              </w:tc>
            </w:tr>
            <w:tr w14:paraId="7FDD8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pct"/>
                  <w:tcBorders>
                    <w:tl2br w:val="nil"/>
                    <w:tr2bl w:val="nil"/>
                  </w:tcBorders>
                  <w:vAlign w:val="center"/>
                </w:tcPr>
                <w:p w14:paraId="3C1AE34F">
                  <w:pPr>
                    <w:pStyle w:val="27"/>
                    <w:bidi w:val="0"/>
                    <w:rPr>
                      <w:rFonts w:hint="eastAsia"/>
                      <w:b/>
                      <w:bCs/>
                      <w:highlight w:val="none"/>
                      <w:u w:val="none" w:color="auto"/>
                      <w:lang w:val="en-US" w:eastAsia="zh-CN"/>
                    </w:rPr>
                  </w:pPr>
                  <w:r>
                    <w:rPr>
                      <w:b/>
                      <w:bCs/>
                      <w:highlight w:val="none"/>
                      <w:u w:val="none" w:color="auto"/>
                    </w:rPr>
                    <w:t>危险性概述</w:t>
                  </w:r>
                </w:p>
              </w:tc>
              <w:tc>
                <w:tcPr>
                  <w:tcW w:w="4124" w:type="pct"/>
                  <w:tcBorders>
                    <w:tl2br w:val="nil"/>
                    <w:tr2bl w:val="nil"/>
                  </w:tcBorders>
                  <w:vAlign w:val="center"/>
                </w:tcPr>
                <w:p w14:paraId="3FE877C1">
                  <w:pPr>
                    <w:pStyle w:val="27"/>
                    <w:bidi w:val="0"/>
                    <w:rPr>
                      <w:rFonts w:hint="eastAsia"/>
                      <w:highlight w:val="none"/>
                      <w:u w:val="none" w:color="auto"/>
                      <w:lang w:val="en-US" w:eastAsia="zh-CN"/>
                    </w:rPr>
                  </w:pPr>
                  <w:r>
                    <w:rPr>
                      <w:highlight w:val="none"/>
                      <w:u w:val="none" w:color="auto"/>
                    </w:rPr>
                    <w:t>与空气混合能形成燦炸性混合物，语明火、高温极易燃烧燦炸。与氟、氯等能发生剧烈的化学</w:t>
                  </w:r>
                  <w:r>
                    <w:rPr>
                      <w:rFonts w:hint="eastAsia"/>
                      <w:highlight w:val="none"/>
                      <w:u w:val="none" w:color="auto"/>
                      <w:lang w:val="en-US" w:eastAsia="zh-CN"/>
                    </w:rPr>
                    <w:t>反应</w:t>
                  </w:r>
                </w:p>
              </w:tc>
            </w:tr>
            <w:tr w14:paraId="3EEF4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5" w:type="pct"/>
                  <w:tcBorders>
                    <w:tl2br w:val="nil"/>
                    <w:tr2bl w:val="nil"/>
                  </w:tcBorders>
                  <w:vAlign w:val="center"/>
                </w:tcPr>
                <w:p w14:paraId="7D5DE957">
                  <w:pPr>
                    <w:pStyle w:val="27"/>
                    <w:bidi w:val="0"/>
                    <w:rPr>
                      <w:b/>
                      <w:bCs/>
                      <w:highlight w:val="none"/>
                      <w:u w:val="none" w:color="auto"/>
                    </w:rPr>
                  </w:pPr>
                  <w:r>
                    <w:rPr>
                      <w:b/>
                      <w:bCs/>
                      <w:highlight w:val="none"/>
                      <w:u w:val="none" w:color="auto"/>
                    </w:rPr>
                    <w:t>毒性资料</w:t>
                  </w:r>
                </w:p>
              </w:tc>
              <w:tc>
                <w:tcPr>
                  <w:tcW w:w="4124" w:type="pct"/>
                  <w:tcBorders>
                    <w:tl2br w:val="nil"/>
                    <w:tr2bl w:val="nil"/>
                  </w:tcBorders>
                  <w:vAlign w:val="center"/>
                </w:tcPr>
                <w:p w14:paraId="42AE727F">
                  <w:pPr>
                    <w:pStyle w:val="27"/>
                    <w:bidi w:val="0"/>
                    <w:rPr>
                      <w:rFonts w:hint="eastAsia"/>
                      <w:highlight w:val="none"/>
                      <w:u w:val="none" w:color="auto"/>
                      <w:lang w:val="en-US" w:eastAsia="zh-CN"/>
                    </w:rPr>
                  </w:pPr>
                  <w:r>
                    <w:rPr>
                      <w:highlight w:val="none"/>
                      <w:u w:val="none" w:color="auto"/>
                    </w:rPr>
                    <w:t>有麻醉作用，急性中毒表现为头晕、头痛、兴奋或嗜睡、恶心呕吐、脉缓等，重症者可突然倒下，尿失禁，意识丧失，甚至呼吸停止。可致皮肤冻伤。慢性影响表现为长期接触低浓度者出现头痛、头晕、睡眠不佳、易疲劳、情绪不稳定以及植物神经功能紊乱等。</w:t>
                  </w:r>
                </w:p>
              </w:tc>
            </w:tr>
          </w:tbl>
          <w:p w14:paraId="0C522E53">
            <w:pPr>
              <w:pStyle w:val="25"/>
              <w:numPr>
                <w:ilvl w:val="0"/>
                <w:numId w:val="0"/>
              </w:numPr>
              <w:bidi w:val="0"/>
              <w:ind w:leftChars="0"/>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6、</w:t>
            </w:r>
            <w:r>
              <w:rPr>
                <w:rFonts w:hint="default" w:ascii="Times New Roman" w:hAnsi="Times New Roman" w:cs="Times New Roman"/>
                <w:b/>
                <w:bCs/>
                <w:color w:val="auto"/>
                <w:highlight w:val="none"/>
                <w:u w:val="none" w:color="auto"/>
                <w:lang w:val="en-US" w:eastAsia="zh-CN"/>
              </w:rPr>
              <w:t>项目</w:t>
            </w:r>
            <w:r>
              <w:rPr>
                <w:rFonts w:hint="default" w:ascii="Times New Roman" w:hAnsi="Times New Roman" w:cs="Times New Roman"/>
                <w:b/>
                <w:bCs/>
                <w:color w:val="auto"/>
                <w:highlight w:val="none"/>
                <w:u w:val="none" w:color="auto"/>
              </w:rPr>
              <w:t>平面布置</w:t>
            </w:r>
          </w:p>
          <w:p w14:paraId="6F3C7812">
            <w:pPr>
              <w:pStyle w:val="25"/>
              <w:bidi w:val="0"/>
              <w:rPr>
                <w:rFonts w:hint="default"/>
                <w:color w:val="auto"/>
                <w:highlight w:val="none"/>
                <w:u w:val="none" w:color="auto"/>
                <w:lang w:val="en-US" w:eastAsia="zh-CN"/>
              </w:rPr>
            </w:pPr>
            <w:r>
              <w:rPr>
                <w:color w:val="auto"/>
                <w:highlight w:val="none"/>
                <w:u w:val="none" w:color="auto"/>
              </w:rPr>
              <w:t>本项目</w:t>
            </w:r>
            <w:r>
              <w:rPr>
                <w:rFonts w:hint="eastAsia"/>
                <w:color w:val="auto"/>
                <w:highlight w:val="none"/>
                <w:u w:val="none" w:color="auto"/>
                <w:lang w:val="en-US" w:eastAsia="zh-CN"/>
              </w:rPr>
              <w:t>位于</w:t>
            </w:r>
            <w:r>
              <w:rPr>
                <w:rFonts w:hint="eastAsia" w:ascii="Times New Roman" w:hAnsi="Times New Roman" w:eastAsia="宋体" w:cs="Times New Roman"/>
                <w:color w:val="auto"/>
                <w:kern w:val="2"/>
                <w:sz w:val="24"/>
                <w:szCs w:val="24"/>
                <w:highlight w:val="none"/>
                <w:u w:val="none" w:color="auto"/>
                <w:lang w:val="en-US" w:eastAsia="zh-CN" w:bidi="ar-SA"/>
              </w:rPr>
              <w:t>湖南省岳阳市岳阳县</w:t>
            </w:r>
            <w:r>
              <w:rPr>
                <w:rFonts w:hint="eastAsia" w:cs="Times New Roman"/>
                <w:color w:val="auto"/>
                <w:kern w:val="2"/>
                <w:sz w:val="24"/>
                <w:szCs w:val="24"/>
                <w:highlight w:val="none"/>
                <w:u w:val="none" w:color="auto"/>
                <w:lang w:val="en-US" w:eastAsia="zh-CN" w:bidi="ar-SA"/>
              </w:rPr>
              <w:t>新墙镇</w:t>
            </w:r>
            <w:r>
              <w:rPr>
                <w:color w:val="auto"/>
                <w:highlight w:val="none"/>
                <w:u w:val="none" w:color="auto"/>
              </w:rPr>
              <w:t>。</w:t>
            </w:r>
            <w:r>
              <w:rPr>
                <w:rFonts w:hint="eastAsia"/>
                <w:color w:val="auto"/>
                <w:highlight w:val="none"/>
                <w:u w:val="none" w:color="auto"/>
                <w:lang w:val="en-US" w:eastAsia="zh-CN"/>
              </w:rPr>
              <w:t>生产区域呈长方形集中布局，确保生产流程高效顺畅。从西北侧运来的液化石油气钢瓶，先由运输车辆将液化石油气钢瓶运送至原辅材料堆场，</w:t>
            </w:r>
            <w:r>
              <w:rPr>
                <w:rFonts w:ascii="Segoe UI" w:hAnsi="Segoe UI" w:eastAsia="Segoe UI" w:cs="Segoe UI"/>
                <w:i w:val="0"/>
                <w:iCs w:val="0"/>
                <w:caps w:val="0"/>
                <w:color w:val="0F1115"/>
                <w:spacing w:val="0"/>
                <w:sz w:val="24"/>
                <w:szCs w:val="24"/>
                <w:highlight w:val="none"/>
                <w:u w:val="none" w:color="auto"/>
                <w:shd w:val="clear" w:fill="FFFFFF"/>
              </w:rPr>
              <w:t>随后按工序流转至相应处理区域，保障生产流程连续高效、物流组织顺畅</w:t>
            </w:r>
            <w:r>
              <w:rPr>
                <w:rFonts w:hint="eastAsia"/>
                <w:color w:val="auto"/>
                <w:highlight w:val="none"/>
                <w:u w:val="none" w:color="auto"/>
                <w:lang w:val="en-US" w:eastAsia="zh-CN"/>
              </w:rPr>
              <w:t>。</w:t>
            </w:r>
          </w:p>
          <w:p w14:paraId="617A4938">
            <w:pPr>
              <w:pStyle w:val="25"/>
              <w:bidi w:val="0"/>
              <w:rPr>
                <w:rFonts w:hint="default"/>
                <w:highlight w:val="none"/>
                <w:u w:val="none" w:color="auto"/>
              </w:rPr>
            </w:pPr>
            <w:r>
              <w:rPr>
                <w:highlight w:val="none"/>
                <w:u w:val="none" w:color="auto"/>
              </w:rPr>
              <w:t>厂区总体布置紧凑合理，功能区划清晰，配套辅助设施完善，充分满足生产运营需求。在布局设计中，既注重生产与办公区域的便利性，也严格落实各项环保措施：废气处理设施设于主导风向的侧风向，最大限度降低对厂区及周边环境的影响；并于厂区北侧规范设置危险废物暂存间（</w:t>
            </w:r>
            <w:r>
              <w:rPr>
                <w:rFonts w:hint="eastAsia"/>
                <w:highlight w:val="none"/>
                <w:u w:val="none" w:color="auto"/>
                <w:lang w:val="en-US" w:eastAsia="zh-CN"/>
              </w:rPr>
              <w:t>5</w:t>
            </w:r>
            <w:r>
              <w:rPr>
                <w:highlight w:val="none"/>
                <w:u w:val="none" w:color="auto"/>
              </w:rPr>
              <w:t>m²），确保各类固体废物安全暂存、合法处置。</w:t>
            </w:r>
          </w:p>
          <w:p w14:paraId="4B7BF542">
            <w:pPr>
              <w:pStyle w:val="25"/>
              <w:bidi w:val="0"/>
              <w:rPr>
                <w:rFonts w:hint="default"/>
                <w:color w:val="auto"/>
                <w:highlight w:val="none"/>
                <w:u w:val="none" w:color="auto"/>
              </w:rPr>
            </w:pPr>
            <w:r>
              <w:rPr>
                <w:rFonts w:hint="eastAsia"/>
                <w:highlight w:val="none"/>
                <w:u w:val="none" w:color="auto"/>
                <w:lang w:val="en-US" w:eastAsia="zh-CN"/>
              </w:rPr>
              <w:t>综上</w:t>
            </w:r>
            <w:r>
              <w:rPr>
                <w:rFonts w:hint="default"/>
                <w:color w:val="auto"/>
                <w:highlight w:val="none"/>
                <w:u w:val="none" w:color="auto"/>
              </w:rPr>
              <w:t>，从方便生产、安全管理、保护环境角度考虑，本项目平面布局合理（详见附图</w:t>
            </w:r>
            <w:r>
              <w:rPr>
                <w:rFonts w:hint="eastAsia"/>
                <w:color w:val="auto"/>
                <w:highlight w:val="none"/>
                <w:u w:val="none" w:color="auto"/>
                <w:lang w:val="en-US" w:eastAsia="zh-CN"/>
              </w:rPr>
              <w:t>2</w:t>
            </w:r>
            <w:r>
              <w:rPr>
                <w:rFonts w:hint="default"/>
                <w:color w:val="auto"/>
                <w:highlight w:val="none"/>
                <w:u w:val="none" w:color="auto"/>
              </w:rPr>
              <w:t>）。</w:t>
            </w:r>
          </w:p>
          <w:p w14:paraId="01D9A762">
            <w:pPr>
              <w:pStyle w:val="42"/>
              <w:spacing w:before="42" w:line="359" w:lineRule="auto"/>
              <w:ind w:right="102"/>
              <w:jc w:val="both"/>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lang w:val="en-US" w:eastAsia="zh-CN"/>
              </w:rPr>
              <w:t>7</w:t>
            </w:r>
            <w:r>
              <w:rPr>
                <w:rFonts w:hint="default" w:ascii="Times New Roman" w:hAnsi="Times New Roman" w:cs="Times New Roman"/>
                <w:b/>
                <w:color w:val="auto"/>
                <w:sz w:val="24"/>
                <w:highlight w:val="none"/>
                <w:u w:val="none" w:color="auto"/>
              </w:rPr>
              <w:t>、劳动定员与工作制度</w:t>
            </w:r>
          </w:p>
          <w:p w14:paraId="1570C68C">
            <w:pPr>
              <w:pStyle w:val="25"/>
              <w:bidi w:val="0"/>
              <w:rPr>
                <w:rFonts w:hint="default" w:ascii="Times New Roman" w:hAnsi="Times New Roman" w:cs="Times New Roman"/>
                <w:bCs/>
                <w:color w:val="auto"/>
                <w:highlight w:val="none"/>
                <w:u w:val="none" w:color="auto"/>
              </w:rPr>
            </w:pPr>
            <w:r>
              <w:rPr>
                <w:rFonts w:hint="default"/>
                <w:highlight w:val="none"/>
                <w:u w:val="none" w:color="auto"/>
                <w:lang w:val="zh-CN"/>
              </w:rPr>
              <w:t>劳动定员：本项目劳动定员</w:t>
            </w:r>
            <w:r>
              <w:rPr>
                <w:rFonts w:hint="eastAsia"/>
                <w:highlight w:val="none"/>
                <w:u w:val="none" w:color="auto"/>
                <w:lang w:val="en-US" w:eastAsia="zh-CN"/>
              </w:rPr>
              <w:t>5</w:t>
            </w:r>
            <w:r>
              <w:rPr>
                <w:rFonts w:hint="default"/>
                <w:highlight w:val="none"/>
                <w:u w:val="none" w:color="auto"/>
                <w:lang w:val="zh-CN"/>
              </w:rPr>
              <w:t>人，年工作日</w:t>
            </w:r>
            <w:r>
              <w:rPr>
                <w:rFonts w:hint="eastAsia"/>
                <w:highlight w:val="none"/>
                <w:u w:val="none" w:color="auto"/>
                <w:lang w:val="en-US" w:eastAsia="zh-CN"/>
              </w:rPr>
              <w:t>30</w:t>
            </w:r>
            <w:r>
              <w:rPr>
                <w:rFonts w:hint="default"/>
                <w:highlight w:val="none"/>
                <w:u w:val="none" w:color="auto"/>
                <w:lang w:val="en-US" w:eastAsia="zh-CN"/>
              </w:rPr>
              <w:t>0</w:t>
            </w:r>
            <w:r>
              <w:rPr>
                <w:rFonts w:hint="default"/>
                <w:highlight w:val="none"/>
                <w:u w:val="none" w:color="auto"/>
                <w:lang w:val="zh-CN"/>
              </w:rPr>
              <w:t>天，</w:t>
            </w:r>
            <w:r>
              <w:rPr>
                <w:rFonts w:hint="eastAsia"/>
                <w:highlight w:val="none"/>
                <w:u w:val="none" w:color="auto"/>
                <w:lang w:val="en-US" w:eastAsia="zh-CN"/>
              </w:rPr>
              <w:t>一</w:t>
            </w:r>
            <w:r>
              <w:rPr>
                <w:rFonts w:hint="default"/>
                <w:highlight w:val="none"/>
                <w:u w:val="none" w:color="auto"/>
                <w:lang w:val="zh-CN"/>
              </w:rPr>
              <w:t>班制，每班工作</w:t>
            </w:r>
            <w:r>
              <w:rPr>
                <w:rFonts w:hint="eastAsia"/>
                <w:highlight w:val="none"/>
                <w:u w:val="none" w:color="auto"/>
                <w:lang w:val="en-US" w:eastAsia="zh-CN"/>
              </w:rPr>
              <w:t>8</w:t>
            </w:r>
            <w:r>
              <w:rPr>
                <w:rFonts w:hint="default"/>
                <w:highlight w:val="none"/>
                <w:u w:val="none" w:color="auto"/>
                <w:lang w:val="zh-CN"/>
              </w:rPr>
              <w:t>小时</w:t>
            </w:r>
            <w:r>
              <w:rPr>
                <w:rFonts w:hint="default"/>
                <w:highlight w:val="none"/>
                <w:u w:val="none" w:color="auto"/>
              </w:rPr>
              <w:t>，</w:t>
            </w:r>
            <w:r>
              <w:rPr>
                <w:rFonts w:hint="default"/>
                <w:highlight w:val="none"/>
                <w:u w:val="none" w:color="auto"/>
                <w:lang w:val="en-US" w:eastAsia="zh-CN"/>
              </w:rPr>
              <w:t>不包食宿</w:t>
            </w:r>
            <w:r>
              <w:rPr>
                <w:rFonts w:hint="default"/>
                <w:highlight w:val="none"/>
                <w:u w:val="none" w:color="auto"/>
              </w:rPr>
              <w:t>。</w:t>
            </w:r>
          </w:p>
          <w:p w14:paraId="729D7089">
            <w:pPr>
              <w:adjustRightInd w:val="0"/>
              <w:snapToGrid w:val="0"/>
              <w:spacing w:line="360" w:lineRule="auto"/>
              <w:jc w:val="left"/>
              <w:rPr>
                <w:rFonts w:hint="default" w:ascii="Times New Roman" w:hAnsi="Times New Roman" w:cs="Times New Roman"/>
                <w:color w:val="auto"/>
                <w:sz w:val="24"/>
                <w:highlight w:val="none"/>
                <w:u w:val="none" w:color="auto"/>
                <w:lang w:val="en-US" w:eastAsia="zh-CN"/>
              </w:rPr>
            </w:pPr>
            <w:r>
              <w:rPr>
                <w:rFonts w:hint="default" w:ascii="Times New Roman" w:hAnsi="Times New Roman" w:cs="Times New Roman"/>
                <w:b/>
                <w:color w:val="auto"/>
                <w:sz w:val="24"/>
                <w:highlight w:val="none"/>
                <w:u w:val="none" w:color="auto"/>
                <w:lang w:val="en-US" w:eastAsia="zh-CN"/>
              </w:rPr>
              <w:t>8</w:t>
            </w:r>
            <w:r>
              <w:rPr>
                <w:rFonts w:hint="default" w:ascii="Times New Roman" w:hAnsi="Times New Roman" w:cs="Times New Roman"/>
                <w:b/>
                <w:color w:val="auto"/>
                <w:sz w:val="24"/>
                <w:highlight w:val="none"/>
                <w:u w:val="none" w:color="auto"/>
              </w:rPr>
              <w:t>、公用工程</w:t>
            </w:r>
          </w:p>
          <w:p w14:paraId="3058927D">
            <w:pPr>
              <w:pStyle w:val="25"/>
              <w:bidi w:val="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（1）给</w:t>
            </w:r>
            <w:r>
              <w:rPr>
                <w:rFonts w:hint="eastAsia" w:cs="Times New Roman"/>
                <w:color w:val="auto"/>
                <w:highlight w:val="none"/>
                <w:u w:val="none" w:color="auto"/>
                <w:lang w:val="en-US" w:eastAsia="zh-CN"/>
              </w:rPr>
              <w:t>排</w:t>
            </w:r>
            <w:r>
              <w:rPr>
                <w:rFonts w:hint="default" w:ascii="Times New Roman" w:hAnsi="Times New Roman" w:cs="Times New Roman"/>
                <w:color w:val="auto"/>
                <w:highlight w:val="none"/>
                <w:u w:val="none" w:color="auto"/>
              </w:rPr>
              <w:t>水</w:t>
            </w:r>
          </w:p>
          <w:p w14:paraId="6E930C24">
            <w:pPr>
              <w:pStyle w:val="25"/>
              <w:bidi w:val="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本项目用水依托现有供水管网，由岳阳县自来水管网管网提供。</w:t>
            </w:r>
          </w:p>
          <w:p w14:paraId="6DEA58D0">
            <w:pPr>
              <w:pStyle w:val="25"/>
              <w:bidi w:val="0"/>
              <w:rPr>
                <w:rFonts w:hint="default" w:ascii="Times New Roman" w:hAnsi="Times New Roman"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rPr>
              <w:t>①生活用水：本项目劳动定</w:t>
            </w:r>
            <w:r>
              <w:rPr>
                <w:rFonts w:hint="default" w:ascii="Times New Roman" w:hAnsi="Times New Roman" w:cs="Times New Roman"/>
                <w:color w:val="auto"/>
                <w:sz w:val="24"/>
                <w:highlight w:val="none"/>
                <w:u w:val="none" w:color="auto"/>
              </w:rPr>
              <w:t>员</w:t>
            </w:r>
            <w:r>
              <w:rPr>
                <w:rFonts w:hint="eastAsia" w:cs="Times New Roman"/>
                <w:color w:val="auto"/>
                <w:sz w:val="24"/>
                <w:highlight w:val="none"/>
                <w:u w:val="none" w:color="auto"/>
                <w:lang w:val="en-US" w:eastAsia="zh-CN"/>
              </w:rPr>
              <w:t>5</w:t>
            </w:r>
            <w:r>
              <w:rPr>
                <w:rFonts w:hint="default" w:ascii="Times New Roman" w:hAnsi="Times New Roman" w:cs="Times New Roman"/>
                <w:color w:val="auto"/>
                <w:sz w:val="24"/>
                <w:highlight w:val="none"/>
                <w:u w:val="none" w:color="auto"/>
                <w:lang w:val="en-US" w:eastAsia="zh-CN"/>
              </w:rPr>
              <w:t>人</w:t>
            </w:r>
            <w:r>
              <w:rPr>
                <w:rFonts w:hint="default" w:ascii="Times New Roman" w:hAnsi="Times New Roman" w:cs="Times New Roman"/>
                <w:color w:val="auto"/>
                <w:sz w:val="24"/>
                <w:highlight w:val="none"/>
                <w:u w:val="none" w:color="auto"/>
              </w:rPr>
              <w:t>，年工作</w:t>
            </w:r>
            <w:r>
              <w:rPr>
                <w:rFonts w:hint="eastAsia" w:cs="Times New Roman"/>
                <w:color w:val="auto"/>
                <w:sz w:val="24"/>
                <w:highlight w:val="none"/>
                <w:u w:val="none" w:color="auto"/>
                <w:lang w:val="en-US" w:eastAsia="zh-CN"/>
              </w:rPr>
              <w:t>30</w:t>
            </w:r>
            <w:r>
              <w:rPr>
                <w:rFonts w:hint="default" w:ascii="Times New Roman" w:hAnsi="Times New Roman" w:cs="Times New Roman"/>
                <w:color w:val="auto"/>
                <w:sz w:val="24"/>
                <w:highlight w:val="none"/>
                <w:u w:val="none" w:color="auto"/>
                <w:lang w:val="en-US" w:eastAsia="zh-CN"/>
              </w:rPr>
              <w:t>0天，</w:t>
            </w:r>
            <w:r>
              <w:rPr>
                <w:rFonts w:hint="default" w:ascii="Times New Roman" w:hAnsi="Times New Roman" w:cs="Times New Roman"/>
                <w:color w:val="auto"/>
                <w:sz w:val="24"/>
                <w:highlight w:val="none"/>
                <w:u w:val="none" w:color="auto"/>
              </w:rPr>
              <w:t>厂区</w:t>
            </w:r>
            <w:r>
              <w:rPr>
                <w:rFonts w:hint="default" w:ascii="Times New Roman" w:hAnsi="Times New Roman" w:cs="Times New Roman"/>
                <w:color w:val="auto"/>
                <w:sz w:val="24"/>
                <w:highlight w:val="none"/>
                <w:u w:val="none" w:color="auto"/>
                <w:lang w:val="en-US" w:eastAsia="zh-CN"/>
              </w:rPr>
              <w:t>不</w:t>
            </w:r>
            <w:r>
              <w:rPr>
                <w:rFonts w:hint="default" w:ascii="Times New Roman" w:hAnsi="Times New Roman" w:cs="Times New Roman"/>
                <w:color w:val="auto"/>
                <w:sz w:val="24"/>
                <w:highlight w:val="none"/>
                <w:u w:val="none" w:color="auto"/>
              </w:rPr>
              <w:t>提供食宿</w:t>
            </w:r>
            <w:r>
              <w:rPr>
                <w:rFonts w:hint="default" w:ascii="Times New Roman" w:hAnsi="Times New Roman" w:cs="Times New Roman"/>
                <w:color w:val="auto"/>
                <w:sz w:val="24"/>
                <w:highlight w:val="none"/>
                <w:u w:val="none" w:color="auto"/>
                <w:lang w:eastAsia="zh-CN"/>
              </w:rPr>
              <w:t>。按照《湖南省用水定额》（DB43/T388.3-2025）中的指标计算，用水量按</w:t>
            </w:r>
            <w:r>
              <w:rPr>
                <w:rFonts w:hint="eastAsia" w:cs="Times New Roman"/>
                <w:color w:val="auto"/>
                <w:sz w:val="24"/>
                <w:highlight w:val="none"/>
                <w:u w:val="none" w:color="auto"/>
                <w:lang w:val="en-US" w:eastAsia="zh-CN"/>
              </w:rPr>
              <w:t>38m</w:t>
            </w:r>
            <w:r>
              <w:rPr>
                <w:rFonts w:hint="eastAsia" w:cs="Times New Roman"/>
                <w:color w:val="auto"/>
                <w:sz w:val="24"/>
                <w:highlight w:val="none"/>
                <w:u w:val="none" w:color="auto"/>
                <w:vertAlign w:val="superscript"/>
                <w:lang w:val="en-US" w:eastAsia="zh-CN"/>
              </w:rPr>
              <w:t>3</w:t>
            </w:r>
            <w:r>
              <w:rPr>
                <w:rFonts w:hint="eastAsia" w:cs="Times New Roman"/>
                <w:color w:val="auto"/>
                <w:sz w:val="24"/>
                <w:highlight w:val="none"/>
                <w:u w:val="none" w:color="auto"/>
                <w:lang w:val="en-US" w:eastAsia="zh-CN"/>
              </w:rPr>
              <w:t>/a·人</w:t>
            </w:r>
            <w:r>
              <w:rPr>
                <w:rFonts w:hint="default" w:ascii="Times New Roman" w:hAnsi="Times New Roman" w:cs="Times New Roman"/>
                <w:color w:val="auto"/>
                <w:sz w:val="24"/>
                <w:highlight w:val="none"/>
                <w:u w:val="none" w:color="auto"/>
                <w:lang w:eastAsia="zh-CN"/>
              </w:rPr>
              <w:t>计，则本项目生活用水量为</w:t>
            </w:r>
            <w:r>
              <w:rPr>
                <w:rStyle w:val="35"/>
                <w:highlight w:val="none"/>
                <w:u w:val="none" w:color="auto"/>
              </w:rPr>
              <w:t>0.63</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/d</w:t>
            </w:r>
            <w:r>
              <w:rPr>
                <w:rStyle w:val="35"/>
                <w:rFonts w:hint="default"/>
                <w:highlight w:val="none"/>
                <w:u w:val="none" w:color="auto"/>
                <w:lang w:eastAsia="zh-CN"/>
              </w:rPr>
              <w:t>（</w:t>
            </w:r>
            <w:r>
              <w:rPr>
                <w:rStyle w:val="35"/>
                <w:highlight w:val="none"/>
                <w:u w:val="none" w:color="auto"/>
              </w:rPr>
              <w:t>190</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/a）。排放量以用水量的80%计，则生活污水排放量为</w:t>
            </w:r>
            <w:r>
              <w:rPr>
                <w:rStyle w:val="35"/>
                <w:highlight w:val="none"/>
                <w:u w:val="none" w:color="auto"/>
              </w:rPr>
              <w:t>0.51</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/d（</w:t>
            </w:r>
            <w:r>
              <w:rPr>
                <w:rStyle w:val="35"/>
                <w:highlight w:val="none"/>
                <w:u w:val="none" w:color="auto"/>
              </w:rPr>
              <w:t>152</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/a）。</w:t>
            </w:r>
          </w:p>
          <w:p w14:paraId="549CBFDE">
            <w:pPr>
              <w:pStyle w:val="25"/>
              <w:bidi w:val="0"/>
              <w:rPr>
                <w:rStyle w:val="35"/>
                <w:rFonts w:hint="default"/>
                <w:highlight w:val="none"/>
                <w:u w:val="none" w:color="auto"/>
              </w:rPr>
            </w:pPr>
            <w:r>
              <w:rPr>
                <w:rFonts w:hint="eastAsia"/>
                <w:highlight w:val="none"/>
                <w:u w:val="none" w:color="auto"/>
                <w:lang w:val="en-US" w:eastAsia="zh-CN"/>
              </w:rPr>
              <w:t>②水膜除尘用水：</w:t>
            </w:r>
            <w:r>
              <w:rPr>
                <w:highlight w:val="none"/>
                <w:u w:val="none" w:color="auto"/>
              </w:rPr>
              <w:t>本项目配置1套水膜除尘装置，并配套建设1座</w:t>
            </w:r>
            <w:r>
              <w:rPr>
                <w:rFonts w:hint="default"/>
                <w:highlight w:val="none"/>
                <w:u w:val="none" w:color="auto"/>
              </w:rPr>
              <w:t>循环水池</w:t>
            </w:r>
            <w:r>
              <w:rPr>
                <w:rFonts w:hint="eastAsia"/>
                <w:highlight w:val="none"/>
                <w:u w:val="none" w:color="auto"/>
                <w:lang w:eastAsia="zh-CN"/>
              </w:rPr>
              <w:t>，</w:t>
            </w:r>
            <w:r>
              <w:rPr>
                <w:rStyle w:val="35"/>
                <w:highlight w:val="none"/>
                <w:u w:val="none" w:color="auto"/>
              </w:rPr>
              <w:t>水池设计尺寸为4.5m×4.8m×1.7m，考虑池体运行超高0.2m，核定有效水深1.5m，有效容积为4.5m×4.8m×1.5m=32.4m</w:t>
            </w:r>
            <w:r>
              <w:rPr>
                <w:rStyle w:val="35"/>
                <w:rFonts w:hint="eastAsia"/>
                <w:highlight w:val="none"/>
                <w:u w:val="none" w:color="auto"/>
                <w:vertAlign w:val="superscript"/>
                <w:lang w:val="en-US" w:eastAsia="zh-CN"/>
              </w:rPr>
              <w:t>3</w:t>
            </w:r>
            <w:r>
              <w:rPr>
                <w:rStyle w:val="35"/>
                <w:rFonts w:hint="default"/>
                <w:highlight w:val="none"/>
                <w:u w:val="none" w:color="auto"/>
              </w:rPr>
              <w:t>。</w:t>
            </w:r>
            <w:r>
              <w:rPr>
                <w:rFonts w:ascii="Segoe UI" w:hAnsi="Segoe UI" w:eastAsia="Segoe UI" w:cs="Segoe UI"/>
                <w:i w:val="0"/>
                <w:iCs w:val="0"/>
                <w:caps w:val="0"/>
                <w:spacing w:val="0"/>
                <w:sz w:val="24"/>
                <w:szCs w:val="24"/>
                <w:highlight w:val="none"/>
                <w:u w:val="none" w:color="auto"/>
                <w:shd w:val="clear" w:fill="FFFFFF"/>
              </w:rPr>
              <w:t>根据业主提供的设计参数</w:t>
            </w:r>
            <w:r>
              <w:rPr>
                <w:rStyle w:val="35"/>
                <w:rFonts w:hint="eastAsia"/>
                <w:highlight w:val="none"/>
                <w:u w:val="none" w:color="auto"/>
                <w:lang w:val="en-US" w:eastAsia="zh-CN"/>
              </w:rPr>
              <w:t>，</w:t>
            </w:r>
            <w:r>
              <w:rPr>
                <w:rStyle w:val="35"/>
                <w:highlight w:val="none"/>
                <w:u w:val="none" w:color="auto"/>
              </w:rPr>
              <w:t>循环水量为</w:t>
            </w:r>
            <w:r>
              <w:rPr>
                <w:rStyle w:val="35"/>
                <w:rFonts w:hint="default"/>
                <w:highlight w:val="none"/>
                <w:u w:val="none" w:color="auto"/>
              </w:rPr>
              <w:t>8.0m</w:t>
            </w:r>
            <w:r>
              <w:rPr>
                <w:rStyle w:val="35"/>
                <w:rFonts w:hint="eastAsia"/>
                <w:highlight w:val="none"/>
                <w:u w:val="none" w:color="auto"/>
                <w:vertAlign w:val="superscript"/>
                <w:lang w:val="en-US" w:eastAsia="zh-CN"/>
              </w:rPr>
              <w:t>3</w:t>
            </w:r>
            <w:r>
              <w:rPr>
                <w:rStyle w:val="35"/>
                <w:rFonts w:hint="default"/>
                <w:highlight w:val="none"/>
                <w:u w:val="none" w:color="auto"/>
              </w:rPr>
              <w:t>/h</w:t>
            </w:r>
            <w:r>
              <w:rPr>
                <w:rStyle w:val="35"/>
                <w:rFonts w:hint="eastAsia"/>
                <w:highlight w:val="none"/>
                <w:u w:val="none" w:color="auto"/>
                <w:lang w:eastAsia="zh-CN"/>
              </w:rPr>
              <w:t>；</w:t>
            </w:r>
            <w:r>
              <w:rPr>
                <w:rStyle w:val="35"/>
                <w:highlight w:val="none"/>
                <w:u w:val="none" w:color="auto"/>
              </w:rPr>
              <w:t>烟气经水膜除尘后温度大幅降低，携带部分水分蒸发。参考《除尘工程设计手册》（2021版）取值，蒸发损耗率按循环水量的</w:t>
            </w:r>
            <w:r>
              <w:rPr>
                <w:rStyle w:val="35"/>
                <w:rFonts w:hint="default"/>
                <w:highlight w:val="none"/>
                <w:u w:val="none" w:color="auto"/>
              </w:rPr>
              <w:t>1.5%</w:t>
            </w:r>
            <w:r>
              <w:rPr>
                <w:rStyle w:val="35"/>
                <w:rFonts w:hint="eastAsia"/>
                <w:highlight w:val="none"/>
                <w:u w:val="none" w:color="auto"/>
                <w:lang w:val="en-US" w:eastAsia="zh-CN"/>
              </w:rPr>
              <w:t>计</w:t>
            </w:r>
            <w:r>
              <w:rPr>
                <w:rStyle w:val="35"/>
                <w:rFonts w:hint="default"/>
                <w:highlight w:val="none"/>
                <w:u w:val="none" w:color="auto"/>
              </w:rPr>
              <w:t>算，</w:t>
            </w:r>
            <w:r>
              <w:rPr>
                <w:rStyle w:val="35"/>
                <w:highlight w:val="none"/>
                <w:u w:val="none" w:color="auto"/>
              </w:rPr>
              <w:t>日循环水量核算：8.0m³/h×8h/d=64m³/d；日蒸发水量核算：64m³/d×1.5%=0.96m³/d</w:t>
            </w:r>
            <w:r>
              <w:rPr>
                <w:rStyle w:val="35"/>
                <w:rFonts w:hint="default"/>
                <w:highlight w:val="none"/>
                <w:u w:val="none" w:color="auto"/>
              </w:rPr>
              <w:t>。</w:t>
            </w:r>
            <w:r>
              <w:rPr>
                <w:rFonts w:hint="default"/>
                <w:highlight w:val="none"/>
                <w:u w:val="none" w:color="auto"/>
              </w:rPr>
              <w:t>除尘废水经收集后全部进入该循环水池，在池内完成充分的沉淀净化，上清液全部回用于除尘工序，形成闭路循环，无生产废水外排，仅需定期补充运行过程中的损耗水量</w:t>
            </w:r>
            <w:r>
              <w:rPr>
                <w:rFonts w:hint="eastAsia"/>
                <w:highlight w:val="none"/>
                <w:u w:val="none" w:color="auto"/>
                <w:lang w:eastAsia="zh-CN"/>
              </w:rPr>
              <w:t>；</w:t>
            </w:r>
            <w:r>
              <w:rPr>
                <w:rStyle w:val="35"/>
                <w:highlight w:val="none"/>
                <w:u w:val="none" w:color="auto"/>
              </w:rPr>
              <w:t>水膜除尘捕集的粉尘（以颗粒物总产生量1.</w:t>
            </w:r>
            <w:r>
              <w:rPr>
                <w:rStyle w:val="35"/>
                <w:rFonts w:hint="eastAsia"/>
                <w:highlight w:val="none"/>
                <w:u w:val="none" w:color="auto"/>
                <w:lang w:val="en-US" w:eastAsia="zh-CN"/>
              </w:rPr>
              <w:t>903</w:t>
            </w:r>
            <w:r>
              <w:rPr>
                <w:rStyle w:val="35"/>
                <w:highlight w:val="none"/>
                <w:u w:val="none" w:color="auto"/>
              </w:rPr>
              <w:t>t/a计</w:t>
            </w:r>
            <w:r>
              <w:rPr>
                <w:rStyle w:val="35"/>
                <w:highlight w:val="none"/>
                <w:u w:val="none" w:color="auto"/>
                <w:lang w:eastAsia="zh-CN"/>
              </w:rPr>
              <w:t>，</w:t>
            </w:r>
            <w:r>
              <w:rPr>
                <w:rStyle w:val="35"/>
                <w:highlight w:val="none"/>
                <w:u w:val="none" w:color="auto"/>
              </w:rPr>
              <w:t>年运行300天，日捕集量6.3433kg/d）形成湿渣，其含水率按50%计，则每日随湿渣带走的水量约为0.0063</w:t>
            </w:r>
            <w:r>
              <w:rPr>
                <w:rStyle w:val="35"/>
                <w:rFonts w:hint="default"/>
                <w:highlight w:val="none"/>
                <w:u w:val="none" w:color="auto"/>
              </w:rPr>
              <w:t>m</w:t>
            </w:r>
            <w:r>
              <w:rPr>
                <w:rStyle w:val="35"/>
                <w:rFonts w:hint="eastAsia"/>
                <w:highlight w:val="none"/>
                <w:u w:val="none" w:color="auto"/>
                <w:vertAlign w:val="superscript"/>
                <w:lang w:val="en-US" w:eastAsia="zh-CN"/>
              </w:rPr>
              <w:t>3</w:t>
            </w:r>
            <w:r>
              <w:rPr>
                <w:rStyle w:val="35"/>
                <w:rFonts w:hint="default"/>
                <w:highlight w:val="none"/>
                <w:u w:val="none" w:color="auto"/>
              </w:rPr>
              <w:t>/d</w:t>
            </w:r>
            <w:r>
              <w:rPr>
                <w:rStyle w:val="35"/>
                <w:rFonts w:hint="eastAsia"/>
                <w:highlight w:val="none"/>
                <w:u w:val="none" w:color="auto"/>
                <w:lang w:eastAsia="zh-CN"/>
              </w:rPr>
              <w:t>；</w:t>
            </w:r>
            <w:r>
              <w:rPr>
                <w:rStyle w:val="35"/>
                <w:highlight w:val="none"/>
                <w:u w:val="none" w:color="auto"/>
              </w:rPr>
              <w:t>系统管路及池体表面蒸发等难以计量的损失，综合按循环水量的</w:t>
            </w:r>
            <w:r>
              <w:rPr>
                <w:rStyle w:val="35"/>
                <w:rFonts w:hint="default"/>
                <w:highlight w:val="none"/>
                <w:u w:val="none" w:color="auto"/>
              </w:rPr>
              <w:t>0.5%估算，约为：</w:t>
            </w:r>
            <w:r>
              <w:rPr>
                <w:rStyle w:val="35"/>
                <w:rFonts w:hint="eastAsia"/>
                <w:highlight w:val="none"/>
                <w:u w:val="none" w:color="auto"/>
                <w:lang w:val="en-US" w:eastAsia="zh-CN"/>
              </w:rPr>
              <w:t>64m</w:t>
            </w:r>
            <w:r>
              <w:rPr>
                <w:rStyle w:val="35"/>
                <w:rFonts w:hint="eastAsia"/>
                <w:highlight w:val="none"/>
                <w:u w:val="none" w:color="auto"/>
                <w:vertAlign w:val="superscript"/>
                <w:lang w:val="en-US" w:eastAsia="zh-CN"/>
              </w:rPr>
              <w:t>3</w:t>
            </w:r>
            <w:r>
              <w:rPr>
                <w:rStyle w:val="35"/>
                <w:rFonts w:hint="default"/>
                <w:highlight w:val="none"/>
                <w:u w:val="none" w:color="auto"/>
              </w:rPr>
              <w:t>/d×0.5%=</w:t>
            </w:r>
            <w:r>
              <w:rPr>
                <w:rStyle w:val="35"/>
                <w:rFonts w:hint="eastAsia"/>
                <w:highlight w:val="none"/>
                <w:u w:val="none" w:color="auto"/>
                <w:lang w:val="en-US" w:eastAsia="zh-CN"/>
              </w:rPr>
              <w:t>0.32</w:t>
            </w:r>
            <w:r>
              <w:rPr>
                <w:rStyle w:val="35"/>
                <w:rFonts w:hint="default"/>
                <w:highlight w:val="none"/>
                <w:u w:val="none" w:color="auto"/>
              </w:rPr>
              <w:t>m</w:t>
            </w:r>
            <w:r>
              <w:rPr>
                <w:rStyle w:val="35"/>
                <w:rFonts w:hint="eastAsia"/>
                <w:highlight w:val="none"/>
                <w:u w:val="none" w:color="auto"/>
                <w:vertAlign w:val="superscript"/>
                <w:lang w:val="en-US" w:eastAsia="zh-CN"/>
              </w:rPr>
              <w:t>3</w:t>
            </w:r>
            <w:r>
              <w:rPr>
                <w:rStyle w:val="35"/>
                <w:rFonts w:hint="default"/>
                <w:highlight w:val="none"/>
                <w:u w:val="none" w:color="auto"/>
              </w:rPr>
              <w:t>/d。</w:t>
            </w:r>
          </w:p>
          <w:p w14:paraId="578674F3">
            <w:pPr>
              <w:pStyle w:val="25"/>
              <w:bidi w:val="0"/>
              <w:rPr>
                <w:rFonts w:hint="eastAsia"/>
                <w:highlight w:val="none"/>
                <w:u w:val="none" w:color="auto"/>
                <w:lang w:eastAsia="zh-CN"/>
              </w:rPr>
            </w:pPr>
            <w:r>
              <w:rPr>
                <w:highlight w:val="none"/>
                <w:u w:val="none" w:color="auto"/>
              </w:rPr>
              <w:t>综上，系统日常总补充水量约为</w:t>
            </w:r>
            <w:r>
              <w:rPr>
                <w:rFonts w:hint="eastAsia"/>
                <w:highlight w:val="none"/>
                <w:u w:val="none" w:color="auto"/>
                <w:lang w:val="en-US" w:eastAsia="zh-CN"/>
              </w:rPr>
              <w:t>1.2863</w:t>
            </w:r>
            <w:r>
              <w:rPr>
                <w:rFonts w:hint="default"/>
                <w:highlight w:val="none"/>
                <w:u w:val="none" w:color="auto"/>
              </w:rPr>
              <w:t>m</w:t>
            </w:r>
            <w:r>
              <w:rPr>
                <w:rFonts w:hint="eastAsia"/>
                <w:highlight w:val="none"/>
                <w:u w:val="none" w:color="auto"/>
                <w:vertAlign w:val="superscript"/>
                <w:lang w:val="en-US" w:eastAsia="zh-CN"/>
              </w:rPr>
              <w:t>3</w:t>
            </w:r>
            <w:r>
              <w:rPr>
                <w:rFonts w:hint="default"/>
                <w:highlight w:val="none"/>
                <w:u w:val="none" w:color="auto"/>
              </w:rPr>
              <w:t>/d。</w:t>
            </w:r>
          </w:p>
          <w:p w14:paraId="6F40ADD1">
            <w:pPr>
              <w:pStyle w:val="25"/>
              <w:bidi w:val="0"/>
              <w:ind w:left="0" w:leftChars="0" w:firstLine="0" w:firstLineChars="0"/>
              <w:rPr>
                <w:rFonts w:hint="eastAsia" w:eastAsia="宋体"/>
                <w:highlight w:val="none"/>
                <w:u w:val="none" w:color="auto"/>
                <w:lang w:eastAsia="zh-CN"/>
              </w:rPr>
            </w:pPr>
            <w:r>
              <w:rPr>
                <w:rFonts w:hint="eastAsia" w:eastAsia="宋体"/>
                <w:highlight w:val="none"/>
                <w:u w:val="none" w:color="auto"/>
                <w:lang w:eastAsia="zh-CN"/>
              </w:rPr>
              <w:drawing>
                <wp:inline distT="0" distB="0" distL="114300" distR="114300">
                  <wp:extent cx="4972685" cy="2959100"/>
                  <wp:effectExtent l="0" t="0" r="0" b="0"/>
                  <wp:docPr id="4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B019B1-382A-4266-B25C-5B523AA43C14-1" descr="wps"/>
                          <pic:cNvPicPr>
                            <a:picLocks noChangeAspect="1"/>
                          </pic:cNvPicPr>
                        </pic:nvPicPr>
                        <pic:blipFill>
                          <a:blip r:embed="rId7"/>
                          <a:stretch>
                            <a:fillRect/>
                          </a:stretch>
                        </pic:blipFill>
                        <pic:spPr>
                          <a:xfrm>
                            <a:off x="0" y="0"/>
                            <a:ext cx="4972685" cy="2959100"/>
                          </a:xfrm>
                          <a:prstGeom prst="rect">
                            <a:avLst/>
                          </a:prstGeom>
                        </pic:spPr>
                      </pic:pic>
                    </a:graphicData>
                  </a:graphic>
                </wp:inline>
              </w:drawing>
            </w:r>
          </w:p>
          <w:p w14:paraId="04BFDC59">
            <w:pPr>
              <w:pStyle w:val="30"/>
              <w:bidi w:val="0"/>
              <w:jc w:val="center"/>
              <w:rPr>
                <w:rFonts w:hint="default"/>
                <w:b/>
                <w:bCs/>
                <w:highlight w:val="none"/>
                <w:u w:val="none" w:color="auto"/>
                <w:lang w:val="en-US" w:eastAsia="zh-CN"/>
              </w:rPr>
            </w:pPr>
            <w:r>
              <w:rPr>
                <w:rFonts w:hint="eastAsia"/>
                <w:b/>
                <w:bCs/>
                <w:highlight w:val="none"/>
                <w:u w:val="none" w:color="auto"/>
                <w:lang w:val="en-US" w:eastAsia="zh-CN"/>
              </w:rPr>
              <w:t>图2-1   水平衡图（m</w:t>
            </w:r>
            <w:r>
              <w:rPr>
                <w:rFonts w:hint="eastAsia"/>
                <w:b/>
                <w:bCs/>
                <w:highlight w:val="none"/>
                <w:u w:val="none" w:color="auto"/>
                <w:vertAlign w:val="superscript"/>
                <w:lang w:val="en-US" w:eastAsia="zh-CN"/>
              </w:rPr>
              <w:t>3</w:t>
            </w:r>
            <w:r>
              <w:rPr>
                <w:rFonts w:hint="eastAsia"/>
                <w:b/>
                <w:bCs/>
                <w:highlight w:val="none"/>
                <w:u w:val="none" w:color="auto"/>
                <w:lang w:val="en-US" w:eastAsia="zh-CN"/>
              </w:rPr>
              <w:t>/d）</w:t>
            </w:r>
          </w:p>
          <w:p w14:paraId="3F712A22">
            <w:pPr>
              <w:pStyle w:val="25"/>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lang w:val="en-US" w:eastAsia="zh-CN"/>
              </w:rPr>
              <w:t>）供电</w:t>
            </w:r>
          </w:p>
          <w:p w14:paraId="5E64A25D">
            <w:pPr>
              <w:pStyle w:val="25"/>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本项目供电由</w:t>
            </w: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r>
              <w:rPr>
                <w:rFonts w:hint="default" w:ascii="Times New Roman" w:hAnsi="Times New Roman" w:cs="Times New Roman"/>
                <w:color w:val="auto"/>
                <w:highlight w:val="none"/>
                <w:u w:val="none" w:color="auto"/>
                <w:lang w:val="en-US" w:eastAsia="zh-CN"/>
              </w:rPr>
              <w:t>提供，可满足本项目用电需求。</w:t>
            </w:r>
          </w:p>
        </w:tc>
      </w:tr>
      <w:tr w14:paraId="49860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1" w:hRule="atLeast"/>
          <w:jc w:val="center"/>
        </w:trPr>
        <w:tc>
          <w:tcPr>
            <w:tcW w:w="266" w:type="pct"/>
            <w:tcBorders>
              <w:tl2br w:val="nil"/>
              <w:tr2bl w:val="nil"/>
            </w:tcBorders>
            <w:noWrap w:val="0"/>
            <w:vAlign w:val="center"/>
          </w:tcPr>
          <w:p w14:paraId="44EC3137">
            <w:pPr>
              <w:pStyle w:val="16"/>
              <w:adjustRightInd w:val="0"/>
              <w:snapToGrid w:val="0"/>
              <w:spacing w:before="0" w:beforeAutospacing="0" w:after="0" w:afterAutospacing="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工艺流程和产排污环节</w:t>
            </w:r>
          </w:p>
        </w:tc>
        <w:tc>
          <w:tcPr>
            <w:tcW w:w="4733" w:type="pct"/>
            <w:tcBorders>
              <w:tl2br w:val="nil"/>
              <w:tr2bl w:val="nil"/>
            </w:tcBorders>
            <w:noWrap w:val="0"/>
            <w:vAlign w:val="top"/>
          </w:tcPr>
          <w:p w14:paraId="6CD1BC15">
            <w:pPr>
              <w:pStyle w:val="25"/>
              <w:bidi w:val="0"/>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一、施工期工艺流程及产排污环节</w:t>
            </w:r>
          </w:p>
          <w:p w14:paraId="17864F30">
            <w:pPr>
              <w:pStyle w:val="25"/>
              <w:bidi w:val="0"/>
              <w:rPr>
                <w:rFonts w:ascii="Segoe UI" w:hAnsi="Segoe UI" w:eastAsia="Segoe UI" w:cs="Segoe UI"/>
                <w:i w:val="0"/>
                <w:iCs w:val="0"/>
                <w:caps w:val="0"/>
                <w:color w:val="0F1115"/>
                <w:spacing w:val="0"/>
                <w:sz w:val="24"/>
                <w:szCs w:val="24"/>
                <w:highlight w:val="none"/>
                <w:u w:val="none" w:color="auto"/>
                <w:shd w:val="clear" w:fill="FFFFFF"/>
              </w:rPr>
            </w:pPr>
            <w:r>
              <w:rPr>
                <w:rFonts w:hint="eastAsia"/>
                <w:color w:val="auto"/>
                <w:highlight w:val="none"/>
                <w:u w:val="none" w:color="auto"/>
              </w:rPr>
              <w:t>经现场踏勘，</w:t>
            </w:r>
            <w:r>
              <w:rPr>
                <w:rFonts w:ascii="Segoe UI" w:hAnsi="Segoe UI" w:eastAsia="Segoe UI" w:cs="Segoe UI"/>
                <w:i w:val="0"/>
                <w:iCs w:val="0"/>
                <w:caps w:val="0"/>
                <w:color w:val="0F1115"/>
                <w:spacing w:val="0"/>
                <w:sz w:val="24"/>
                <w:szCs w:val="24"/>
                <w:highlight w:val="none"/>
                <w:u w:val="none" w:color="auto"/>
                <w:shd w:val="clear" w:fill="FFFFFF"/>
              </w:rPr>
              <w:t>本项目租赁已建</w:t>
            </w:r>
            <w:r>
              <w:rPr>
                <w:rFonts w:hint="eastAsia" w:ascii="Segoe UI" w:hAnsi="Segoe UI" w:eastAsia="宋体" w:cs="Segoe UI"/>
                <w:i w:val="0"/>
                <w:iCs w:val="0"/>
                <w:caps w:val="0"/>
                <w:color w:val="0F1115"/>
                <w:spacing w:val="0"/>
                <w:sz w:val="24"/>
                <w:szCs w:val="24"/>
                <w:highlight w:val="none"/>
                <w:u w:val="none" w:color="auto"/>
                <w:shd w:val="clear" w:fill="FFFFFF"/>
                <w:lang w:val="en-US" w:eastAsia="zh-CN"/>
              </w:rPr>
              <w:t>厂房</w:t>
            </w:r>
            <w:r>
              <w:rPr>
                <w:rFonts w:ascii="Times New Roman" w:hAnsi="Times New Roman" w:eastAsia="宋体" w:cs="Times New Roman"/>
                <w:color w:val="auto"/>
                <w:kern w:val="0"/>
                <w:sz w:val="24"/>
                <w:szCs w:val="24"/>
                <w:highlight w:val="none"/>
                <w:u w:val="none" w:color="auto"/>
                <w:lang w:bidi="ar-SA"/>
              </w:rPr>
              <w:t>，</w:t>
            </w:r>
            <w:r>
              <w:rPr>
                <w:rFonts w:ascii="Segoe UI" w:hAnsi="Segoe UI" w:eastAsia="Segoe UI" w:cs="Segoe UI"/>
                <w:i w:val="0"/>
                <w:iCs w:val="0"/>
                <w:caps w:val="0"/>
                <w:spacing w:val="0"/>
                <w:sz w:val="24"/>
                <w:szCs w:val="24"/>
                <w:highlight w:val="none"/>
                <w:u w:val="none" w:color="auto"/>
                <w:shd w:val="clear" w:fill="FFFFFF"/>
              </w:rPr>
              <w:t>项目前期已完成厂房内部装修、生产设备及配套环保设施的安装工作，尚未依法办理环境影响评价相关手续。</w:t>
            </w:r>
          </w:p>
          <w:p w14:paraId="1CC2E492">
            <w:pPr>
              <w:pStyle w:val="25"/>
              <w:bidi w:val="0"/>
              <w:rPr>
                <w:rFonts w:hint="eastAsia"/>
                <w:color w:val="auto"/>
                <w:highlight w:val="none"/>
                <w:u w:val="none" w:color="auto"/>
                <w:lang w:eastAsia="zh-CN"/>
              </w:rPr>
            </w:pPr>
            <w:r>
              <w:rPr>
                <w:rFonts w:ascii="Segoe UI" w:hAnsi="Segoe UI" w:eastAsia="Segoe UI" w:cs="Segoe UI"/>
                <w:i w:val="0"/>
                <w:iCs w:val="0"/>
                <w:caps w:val="0"/>
                <w:spacing w:val="0"/>
                <w:sz w:val="24"/>
                <w:szCs w:val="24"/>
                <w:highlight w:val="none"/>
                <w:u w:val="none" w:color="auto"/>
                <w:shd w:val="clear" w:fill="FFFFFF"/>
              </w:rPr>
              <w:t>本项目施工阶段无土方开挖、地基浇筑等土建工程，施工内容仅涉及现有厂房内部装饰装修、设备就位安装及调试，施工周期短、作业范围局限于厂房内部，且不涉及大规模机械作业。</w:t>
            </w:r>
            <w:r>
              <w:rPr>
                <w:rFonts w:ascii="Times New Roman" w:hAnsi="Times New Roman" w:eastAsia="宋体" w:cs="Times New Roman"/>
                <w:color w:val="auto"/>
                <w:kern w:val="0"/>
                <w:sz w:val="24"/>
                <w:szCs w:val="24"/>
                <w:highlight w:val="none"/>
                <w:u w:val="none" w:color="auto"/>
                <w:lang w:bidi="ar-SA"/>
              </w:rPr>
              <w:t>因此，本次评估不再对其进行详细分析。</w:t>
            </w:r>
          </w:p>
          <w:p w14:paraId="6070BC3D">
            <w:pPr>
              <w:numPr>
                <w:ilvl w:val="0"/>
                <w:numId w:val="0"/>
              </w:numPr>
              <w:spacing w:line="360" w:lineRule="auto"/>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t>二、运营期工艺流程产排污环节</w:t>
            </w:r>
          </w:p>
          <w:p w14:paraId="1F3C50D5">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highlight w:val="none"/>
                <w:u w:val="none" w:color="auto"/>
                <w:lang w:val="en-US" w:eastAsia="zh-CN"/>
              </w:rPr>
            </w:pPr>
            <w:r>
              <w:rPr>
                <w:rStyle w:val="35"/>
                <w:rFonts w:hint="eastAsia"/>
                <w:highlight w:val="none"/>
                <w:u w:val="none" w:color="auto"/>
                <w:lang w:val="en-US" w:eastAsia="zh-CN"/>
              </w:rPr>
              <w:t>本项目主要处理废旧钢瓶，</w:t>
            </w:r>
            <w:r>
              <w:rPr>
                <w:rStyle w:val="35"/>
                <w:rFonts w:hint="default"/>
                <w:highlight w:val="none"/>
                <w:u w:val="none" w:color="auto"/>
                <w:lang w:val="en-US" w:eastAsia="zh-CN"/>
              </w:rPr>
              <w:t>工艺流程图如下：</w:t>
            </w:r>
          </w:p>
          <w:p w14:paraId="02C0DE03">
            <w:pPr>
              <w:pStyle w:val="25"/>
              <w:bidi w:val="0"/>
              <w:ind w:left="0" w:leftChars="0" w:firstLine="0" w:firstLineChars="0"/>
              <w:jc w:val="center"/>
              <w:rPr>
                <w:rFonts w:hint="eastAsia" w:ascii="Times New Roman" w:hAnsi="Times New Roman" w:eastAsia="宋体" w:cs="Times New Roman"/>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drawing>
                <wp:inline distT="0" distB="0" distL="114300" distR="114300">
                  <wp:extent cx="4972685" cy="4822825"/>
                  <wp:effectExtent l="0" t="0" r="18415" b="15875"/>
                  <wp:docPr id="61" name="图片 61" descr="未命名文件(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未命名文件(123)"/>
                          <pic:cNvPicPr>
                            <a:picLocks noChangeAspect="1"/>
                          </pic:cNvPicPr>
                        </pic:nvPicPr>
                        <pic:blipFill>
                          <a:blip r:embed="rId8"/>
                          <a:stretch>
                            <a:fillRect/>
                          </a:stretch>
                        </pic:blipFill>
                        <pic:spPr>
                          <a:xfrm>
                            <a:off x="0" y="0"/>
                            <a:ext cx="4972685" cy="4822825"/>
                          </a:xfrm>
                          <a:prstGeom prst="rect">
                            <a:avLst/>
                          </a:prstGeom>
                        </pic:spPr>
                      </pic:pic>
                    </a:graphicData>
                  </a:graphic>
                </wp:inline>
              </w:drawing>
            </w:r>
          </w:p>
          <w:p w14:paraId="051F80AC">
            <w:pPr>
              <w:pStyle w:val="30"/>
              <w:bidi w:val="0"/>
              <w:jc w:val="center"/>
              <w:rPr>
                <w:rFonts w:hint="default" w:ascii="Times New Roman" w:hAnsi="Times New Roman"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lang w:val="en-US" w:eastAsia="zh-CN"/>
              </w:rPr>
              <w:t>图2-</w:t>
            </w:r>
            <w:r>
              <w:rPr>
                <w:rFonts w:hint="eastAsia" w:cs="Times New Roman"/>
                <w:b/>
                <w:bCs/>
                <w:color w:val="auto"/>
                <w:highlight w:val="none"/>
                <w:u w:val="none" w:color="auto"/>
                <w:lang w:val="en-US" w:eastAsia="zh-CN"/>
              </w:rPr>
              <w:t xml:space="preserve">2   </w:t>
            </w:r>
            <w:r>
              <w:rPr>
                <w:rFonts w:hint="default" w:ascii="Times New Roman" w:hAnsi="Times New Roman" w:cs="Times New Roman"/>
                <w:b/>
                <w:bCs/>
                <w:color w:val="auto"/>
                <w:highlight w:val="none"/>
                <w:u w:val="none" w:color="auto"/>
                <w:lang w:val="en-US" w:eastAsia="zh-CN"/>
              </w:rPr>
              <w:t>项目工艺流程</w:t>
            </w:r>
            <w:r>
              <w:rPr>
                <w:rFonts w:hint="eastAsia" w:cs="Times New Roman"/>
                <w:b/>
                <w:bCs/>
                <w:color w:val="auto"/>
                <w:highlight w:val="none"/>
                <w:u w:val="none" w:color="auto"/>
                <w:lang w:val="en-US" w:eastAsia="zh-CN"/>
              </w:rPr>
              <w:t>及产污节点</w:t>
            </w:r>
            <w:r>
              <w:rPr>
                <w:rFonts w:hint="default" w:ascii="Times New Roman" w:hAnsi="Times New Roman" w:cs="Times New Roman"/>
                <w:b/>
                <w:bCs/>
                <w:color w:val="auto"/>
                <w:highlight w:val="none"/>
                <w:u w:val="none" w:color="auto"/>
                <w:lang w:val="en-US" w:eastAsia="zh-CN"/>
              </w:rPr>
              <w:t>图</w:t>
            </w:r>
          </w:p>
          <w:p w14:paraId="4C8AF8FF">
            <w:pPr>
              <w:pStyle w:val="25"/>
              <w:bidi w:val="0"/>
              <w:rPr>
                <w:rFonts w:hint="default"/>
                <w:b/>
                <w:bCs/>
                <w:highlight w:val="none"/>
                <w:u w:val="none" w:color="auto"/>
              </w:rPr>
            </w:pPr>
            <w:r>
              <w:rPr>
                <w:rFonts w:hint="default"/>
                <w:b/>
                <w:bCs/>
                <w:highlight w:val="none"/>
                <w:u w:val="none" w:color="auto"/>
              </w:rPr>
              <w:t>工艺流程</w:t>
            </w:r>
            <w:r>
              <w:rPr>
                <w:rFonts w:hint="eastAsia"/>
                <w:b/>
                <w:bCs/>
                <w:highlight w:val="none"/>
                <w:u w:val="none" w:color="auto"/>
                <w:lang w:val="en-US" w:eastAsia="zh-CN"/>
              </w:rPr>
              <w:t>简述</w:t>
            </w:r>
            <w:r>
              <w:rPr>
                <w:rFonts w:hint="default"/>
                <w:b/>
                <w:bCs/>
                <w:highlight w:val="none"/>
                <w:u w:val="none" w:color="auto"/>
              </w:rPr>
              <w:t>：</w:t>
            </w:r>
          </w:p>
          <w:p w14:paraId="6DDAAEC8">
            <w:pPr>
              <w:pStyle w:val="25"/>
              <w:bidi w:val="0"/>
              <w:rPr>
                <w:rFonts w:hint="eastAsia"/>
                <w:highlight w:val="none"/>
                <w:u w:val="none" w:color="auto"/>
                <w:lang w:val="en-US" w:eastAsia="zh-CN"/>
              </w:rPr>
            </w:pPr>
            <w:r>
              <w:rPr>
                <w:rFonts w:hint="eastAsia"/>
                <w:highlight w:val="none"/>
                <w:u w:val="none" w:color="auto"/>
                <w:lang w:val="en-US" w:eastAsia="zh-CN"/>
              </w:rPr>
              <w:t>（1）登记送检：</w:t>
            </w:r>
            <w:r>
              <w:rPr>
                <w:highlight w:val="none"/>
                <w:u w:val="none" w:color="auto"/>
              </w:rPr>
              <w:t>报废钢瓶由专用车辆运送至厂区后，首先进行称重、登记建档，随后对钢瓶进行初步外观检查与信息核对，确认其属于合规报废范围</w:t>
            </w:r>
            <w:r>
              <w:rPr>
                <w:rFonts w:hint="eastAsia"/>
                <w:highlight w:val="none"/>
                <w:u w:val="none" w:color="auto"/>
                <w:lang w:val="en-US" w:eastAsia="zh-CN"/>
              </w:rPr>
              <w:t>；</w:t>
            </w:r>
          </w:p>
          <w:p w14:paraId="4A32AD10">
            <w:pPr>
              <w:pStyle w:val="25"/>
              <w:bidi w:val="0"/>
              <w:rPr>
                <w:rFonts w:hint="eastAsia"/>
                <w:highlight w:val="none"/>
                <w:u w:val="none" w:color="auto"/>
                <w:lang w:val="en-US" w:eastAsia="zh-CN"/>
              </w:rPr>
            </w:pPr>
            <w:r>
              <w:rPr>
                <w:rFonts w:hint="eastAsia"/>
                <w:color w:val="auto"/>
                <w:highlight w:val="none"/>
                <w:u w:val="none" w:color="auto"/>
                <w:lang w:val="en-US" w:eastAsia="zh-CN"/>
              </w:rPr>
              <w:t>（2）抽残液：</w:t>
            </w:r>
            <w:r>
              <w:rPr>
                <w:rFonts w:hint="eastAsia"/>
                <w:highlight w:val="none"/>
                <w:u w:val="none" w:color="auto"/>
                <w:lang w:val="en-US" w:eastAsia="zh-CN"/>
              </w:rPr>
              <w:t>回收的钢瓶经抽残装置抽取残气，残气收集到残气储罐，</w:t>
            </w:r>
            <w:r>
              <w:rPr>
                <w:rFonts w:ascii="Segoe UI" w:hAnsi="Segoe UI" w:eastAsia="Segoe UI" w:cs="Segoe UI"/>
                <w:i w:val="0"/>
                <w:iCs w:val="0"/>
                <w:caps w:val="0"/>
                <w:color w:val="0F1115"/>
                <w:spacing w:val="0"/>
                <w:sz w:val="24"/>
                <w:szCs w:val="24"/>
                <w:shd w:val="clear" w:fill="FFFFFF"/>
              </w:rPr>
              <w:t>抽完残液后的钢瓶（其内部残液已回收作为辅助燃料）进入后续工序</w:t>
            </w:r>
            <w:r>
              <w:rPr>
                <w:rFonts w:hint="eastAsia"/>
                <w:highlight w:val="none"/>
                <w:u w:val="none" w:color="auto"/>
                <w:lang w:val="en-US" w:eastAsia="zh-CN"/>
              </w:rPr>
              <w:t>，该工序主要污染物为废气、噪声；</w:t>
            </w:r>
          </w:p>
          <w:p w14:paraId="3F33A33D">
            <w:pPr>
              <w:pStyle w:val="25"/>
              <w:bidi w:val="0"/>
              <w:rPr>
                <w:rFonts w:hint="default"/>
                <w:highlight w:val="none"/>
                <w:u w:val="none" w:color="auto"/>
                <w:lang w:val="en-US" w:eastAsia="zh-CN"/>
              </w:rPr>
            </w:pPr>
            <w:r>
              <w:rPr>
                <w:rFonts w:hint="eastAsia"/>
                <w:highlight w:val="none"/>
                <w:u w:val="none" w:color="auto"/>
                <w:lang w:val="en-US" w:eastAsia="zh-CN"/>
              </w:rPr>
              <w:t>（3）拆卸瓶阀：</w:t>
            </w:r>
            <w:r>
              <w:rPr>
                <w:rStyle w:val="35"/>
                <w:highlight w:val="none"/>
                <w:u w:val="none" w:color="auto"/>
              </w:rPr>
              <w:t>在确认残液抽取完毕后，使用专用防爆工具将钢瓶的瓶阀进行强制性拆卸。拆下的瓶阀作为不可回用的固体废物单独收集，确保钢瓶主体进入下道工序时已无任何附加部件</w:t>
            </w:r>
            <w:r>
              <w:rPr>
                <w:rStyle w:val="35"/>
                <w:highlight w:val="none"/>
                <w:u w:val="none" w:color="auto"/>
                <w:lang w:eastAsia="zh-CN"/>
              </w:rPr>
              <w:t>，</w:t>
            </w:r>
            <w:r>
              <w:rPr>
                <w:rFonts w:hint="eastAsia"/>
                <w:highlight w:val="none"/>
                <w:u w:val="none" w:color="auto"/>
                <w:lang w:val="en-US" w:eastAsia="zh-CN"/>
              </w:rPr>
              <w:t>该工序主要污染物为废气、固废和噪声</w:t>
            </w:r>
            <w:r>
              <w:rPr>
                <w:rStyle w:val="35"/>
                <w:rFonts w:hint="eastAsia"/>
                <w:highlight w:val="none"/>
                <w:u w:val="none" w:color="auto"/>
                <w:lang w:val="en-US" w:eastAsia="zh-CN"/>
              </w:rPr>
              <w:t>；</w:t>
            </w:r>
          </w:p>
          <w:p w14:paraId="02776A37">
            <w:pPr>
              <w:pStyle w:val="25"/>
              <w:bidi w:val="0"/>
              <w:rPr>
                <w:highlight w:val="none"/>
                <w:u w:val="none" w:color="auto"/>
              </w:rPr>
            </w:pPr>
            <w:r>
              <w:rPr>
                <w:rFonts w:hint="eastAsia"/>
                <w:highlight w:val="none"/>
                <w:u w:val="none" w:color="auto"/>
                <w:lang w:val="en-US" w:eastAsia="zh-CN"/>
              </w:rPr>
              <w:t>（4）焚烧：</w:t>
            </w:r>
            <w:r>
              <w:rPr>
                <w:rFonts w:ascii="Segoe UI" w:hAnsi="Segoe UI" w:eastAsia="Segoe UI" w:cs="Segoe UI"/>
                <w:i w:val="0"/>
                <w:iCs w:val="0"/>
                <w:caps w:val="0"/>
                <w:color w:val="0F1115"/>
                <w:spacing w:val="0"/>
                <w:sz w:val="24"/>
                <w:szCs w:val="24"/>
                <w:shd w:val="clear" w:fill="FFFFFF"/>
              </w:rPr>
              <w:t>将钢瓶置于焚烧炉中，利用生物质颗粒及回收的残液作为燃料进行高温焚烧处理，以清除其内壁残留物和表面</w:t>
            </w:r>
            <w:r>
              <w:rPr>
                <w:rFonts w:hint="eastAsia" w:ascii="Segoe UI" w:hAnsi="Segoe UI" w:eastAsia="宋体" w:cs="Segoe UI"/>
                <w:i w:val="0"/>
                <w:iCs w:val="0"/>
                <w:caps w:val="0"/>
                <w:color w:val="0F1115"/>
                <w:spacing w:val="0"/>
                <w:sz w:val="24"/>
                <w:szCs w:val="24"/>
                <w:shd w:val="clear" w:fill="FFFFFF"/>
                <w:lang w:val="en-US" w:eastAsia="zh-CN"/>
              </w:rPr>
              <w:t>涂层</w:t>
            </w:r>
            <w:r>
              <w:rPr>
                <w:rFonts w:hint="default"/>
                <w:highlight w:val="none"/>
                <w:u w:val="none" w:color="auto"/>
              </w:rPr>
              <w:t>。将拆卸瓶阀后的钢瓶送入以生物质颗粒</w:t>
            </w:r>
            <w:r>
              <w:rPr>
                <w:rFonts w:hint="eastAsia"/>
                <w:highlight w:val="none"/>
                <w:u w:val="none" w:color="auto"/>
                <w:lang w:val="en-US" w:eastAsia="zh-CN"/>
              </w:rPr>
              <w:t>和抽取的残液(液化石油气)</w:t>
            </w:r>
            <w:r>
              <w:rPr>
                <w:rFonts w:hint="default"/>
                <w:highlight w:val="none"/>
                <w:u w:val="none" w:color="auto"/>
              </w:rPr>
              <w:t>为燃料的焚烧炉中。生物质颗粒在炉内燃烧产生高温</w:t>
            </w:r>
            <w:r>
              <w:rPr>
                <w:rFonts w:hint="eastAsia"/>
                <w:highlight w:val="none"/>
                <w:u w:val="none" w:color="auto"/>
                <w:lang w:eastAsia="zh-CN"/>
              </w:rPr>
              <w:t>（</w:t>
            </w:r>
            <w:r>
              <w:rPr>
                <w:rStyle w:val="35"/>
                <w:rFonts w:hint="eastAsia"/>
                <w:highlight w:val="none"/>
                <w:u w:val="none" w:color="auto"/>
                <w:lang w:val="en-US" w:eastAsia="zh-CN"/>
              </w:rPr>
              <w:t>焚烧温度400</w:t>
            </w:r>
            <w:r>
              <w:rPr>
                <w:rStyle w:val="35"/>
                <w:highlight w:val="none"/>
                <w:u w:val="none" w:color="auto"/>
              </w:rPr>
              <w:t>℃</w:t>
            </w:r>
            <w:r>
              <w:rPr>
                <w:rStyle w:val="35"/>
                <w:rFonts w:hint="eastAsia"/>
                <w:highlight w:val="none"/>
                <w:u w:val="none" w:color="auto"/>
                <w:lang w:val="en-US" w:eastAsia="zh-CN"/>
              </w:rPr>
              <w:t>至</w:t>
            </w:r>
            <w:r>
              <w:rPr>
                <w:rStyle w:val="35"/>
                <w:highlight w:val="none"/>
                <w:u w:val="none" w:color="auto"/>
              </w:rPr>
              <w:t>650℃</w:t>
            </w:r>
            <w:r>
              <w:rPr>
                <w:rStyle w:val="35"/>
                <w:rFonts w:hint="eastAsia"/>
                <w:highlight w:val="none"/>
                <w:u w:val="none" w:color="auto"/>
                <w:lang w:eastAsia="zh-CN"/>
              </w:rPr>
              <w:t>），</w:t>
            </w:r>
            <w:r>
              <w:rPr>
                <w:rFonts w:hint="default"/>
                <w:highlight w:val="none"/>
                <w:u w:val="none" w:color="auto"/>
              </w:rPr>
              <w:t>使钢瓶被均匀加热</w:t>
            </w:r>
            <w:r>
              <w:rPr>
                <w:rFonts w:hint="eastAsia"/>
                <w:highlight w:val="none"/>
                <w:u w:val="none" w:color="auto"/>
                <w:lang w:eastAsia="zh-CN"/>
              </w:rPr>
              <w:t>（</w:t>
            </w:r>
            <w:r>
              <w:rPr>
                <w:rStyle w:val="35"/>
                <w:rFonts w:hint="eastAsia"/>
                <w:highlight w:val="none"/>
                <w:u w:val="none" w:color="auto"/>
                <w:lang w:val="en-US" w:eastAsia="zh-CN"/>
              </w:rPr>
              <w:t>燃烧时间为5分钟</w:t>
            </w:r>
            <w:r>
              <w:rPr>
                <w:rFonts w:hint="eastAsia"/>
                <w:highlight w:val="none"/>
                <w:u w:val="none" w:color="auto"/>
                <w:lang w:eastAsia="zh-CN"/>
              </w:rPr>
              <w:t>）</w:t>
            </w:r>
            <w:r>
              <w:rPr>
                <w:rFonts w:hint="default"/>
                <w:highlight w:val="none"/>
                <w:u w:val="none" w:color="auto"/>
              </w:rPr>
              <w:t>。在此高温下，表面的油漆层被碳化、剥离</w:t>
            </w:r>
            <w:r>
              <w:rPr>
                <w:rFonts w:hint="eastAsia"/>
                <w:highlight w:val="none"/>
                <w:u w:val="none" w:color="auto"/>
                <w:lang w:eastAsia="zh-CN"/>
              </w:rPr>
              <w:t>，</w:t>
            </w:r>
            <w:r>
              <w:rPr>
                <w:rFonts w:hint="eastAsia"/>
                <w:highlight w:val="none"/>
                <w:u w:val="none" w:color="auto"/>
                <w:lang w:val="en-US" w:eastAsia="zh-CN"/>
              </w:rPr>
              <w:t>该工序主要污染物为废气</w:t>
            </w:r>
            <w:r>
              <w:rPr>
                <w:rFonts w:hint="default"/>
                <w:highlight w:val="none"/>
                <w:u w:val="none" w:color="auto"/>
              </w:rPr>
              <w:t>。</w:t>
            </w:r>
          </w:p>
          <w:p w14:paraId="0F8D0DC6">
            <w:pPr>
              <w:pStyle w:val="25"/>
              <w:bidi w:val="0"/>
              <w:rPr>
                <w:rFonts w:hint="default"/>
                <w:highlight w:val="none"/>
                <w:u w:val="none" w:color="auto"/>
                <w:lang w:val="en-US" w:eastAsia="zh-CN"/>
              </w:rPr>
            </w:pPr>
            <w:r>
              <w:rPr>
                <w:rFonts w:hint="eastAsia"/>
                <w:highlight w:val="none"/>
                <w:u w:val="none" w:color="auto"/>
                <w:lang w:val="en-US" w:eastAsia="zh-CN"/>
              </w:rPr>
              <w:t>（5）压扁：</w:t>
            </w:r>
            <w:r>
              <w:rPr>
                <w:rFonts w:ascii="Segoe UI" w:hAnsi="Segoe UI" w:eastAsia="Segoe UI" w:cs="Segoe UI"/>
                <w:i w:val="0"/>
                <w:iCs w:val="0"/>
                <w:caps w:val="0"/>
                <w:color w:val="0F1115"/>
                <w:spacing w:val="0"/>
                <w:sz w:val="24"/>
                <w:szCs w:val="24"/>
                <w:shd w:val="clear" w:fill="FFFFFF"/>
              </w:rPr>
              <w:t>使用液压一体化裁剪机对钢瓶进行压扁处理</w:t>
            </w:r>
            <w:r>
              <w:rPr>
                <w:rFonts w:hint="eastAsia"/>
                <w:highlight w:val="none"/>
                <w:u w:val="none" w:color="auto"/>
                <w:lang w:val="en-US" w:eastAsia="zh-CN"/>
              </w:rPr>
              <w:t>。</w:t>
            </w:r>
          </w:p>
          <w:p w14:paraId="427E2FFF">
            <w:pPr>
              <w:pStyle w:val="25"/>
              <w:bidi w:val="0"/>
              <w:rPr>
                <w:rFonts w:hint="default" w:ascii="Times New Roman" w:hAnsi="Times New Roman" w:cs="Times New Roman"/>
                <w:b/>
                <w:bCs/>
                <w:color w:val="auto"/>
                <w:highlight w:val="none"/>
                <w:u w:val="none" w:color="auto"/>
              </w:rPr>
            </w:pPr>
            <w:r>
              <w:rPr>
                <w:rFonts w:hint="default" w:ascii="Times New Roman" w:hAnsi="Times New Roman" w:cs="Times New Roman"/>
                <w:color w:val="auto"/>
                <w:highlight w:val="none"/>
                <w:u w:val="none" w:color="auto"/>
              </w:rPr>
              <w:t>根据运营期生产工艺分析，项目产污环节情况具体见下表：</w:t>
            </w:r>
          </w:p>
          <w:p w14:paraId="31A1DD9E">
            <w:pPr>
              <w:pStyle w:val="3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rPr>
              <w:t>表</w:t>
            </w:r>
            <w:r>
              <w:rPr>
                <w:rFonts w:hint="eastAsia" w:cs="Times New Roman"/>
                <w:b/>
                <w:bCs/>
                <w:color w:val="auto"/>
                <w:highlight w:val="none"/>
                <w:u w:val="none" w:color="auto"/>
                <w:lang w:val="en-US" w:eastAsia="zh-CN"/>
              </w:rPr>
              <w:t xml:space="preserve">2-7   </w:t>
            </w:r>
            <w:r>
              <w:rPr>
                <w:rFonts w:hint="default" w:ascii="Times New Roman" w:hAnsi="Times New Roman" w:cs="Times New Roman"/>
                <w:b/>
                <w:bCs/>
                <w:color w:val="auto"/>
                <w:highlight w:val="none"/>
                <w:u w:val="none" w:color="auto"/>
              </w:rPr>
              <w:t>项目运营期主要产污环节一览表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3"/>
              <w:gridCol w:w="776"/>
              <w:gridCol w:w="780"/>
              <w:gridCol w:w="2027"/>
              <w:gridCol w:w="3491"/>
            </w:tblGrid>
            <w:tr w14:paraId="67C17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75" w:type="pct"/>
                  <w:tcBorders>
                    <w:tl2br w:val="nil"/>
                    <w:tr2bl w:val="nil"/>
                  </w:tcBorders>
                  <w:noWrap w:val="0"/>
                  <w:vAlign w:val="center"/>
                </w:tcPr>
                <w:p w14:paraId="217196D5">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类别</w:t>
                  </w:r>
                </w:p>
              </w:tc>
              <w:tc>
                <w:tcPr>
                  <w:tcW w:w="995" w:type="pct"/>
                  <w:gridSpan w:val="2"/>
                  <w:tcBorders>
                    <w:tl2br w:val="nil"/>
                    <w:tr2bl w:val="nil"/>
                  </w:tcBorders>
                  <w:noWrap w:val="0"/>
                  <w:vAlign w:val="center"/>
                </w:tcPr>
                <w:p w14:paraId="25815589">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产生环节</w:t>
                  </w:r>
                </w:p>
              </w:tc>
              <w:tc>
                <w:tcPr>
                  <w:tcW w:w="1296" w:type="pct"/>
                  <w:tcBorders>
                    <w:tl2br w:val="nil"/>
                    <w:tr2bl w:val="nil"/>
                  </w:tcBorders>
                  <w:noWrap w:val="0"/>
                  <w:vAlign w:val="center"/>
                </w:tcPr>
                <w:p w14:paraId="210D95FA">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污染因子</w:t>
                  </w:r>
                </w:p>
              </w:tc>
              <w:tc>
                <w:tcPr>
                  <w:tcW w:w="2232" w:type="pct"/>
                  <w:tcBorders>
                    <w:tl2br w:val="nil"/>
                    <w:tr2bl w:val="nil"/>
                  </w:tcBorders>
                  <w:noWrap w:val="0"/>
                  <w:vAlign w:val="center"/>
                </w:tcPr>
                <w:p w14:paraId="55683666">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9"/>
                      <w:sz w:val="21"/>
                      <w:szCs w:val="21"/>
                      <w:highlight w:val="none"/>
                      <w:u w:val="none" w:color="auto"/>
                    </w:rPr>
                    <w:t>采取治理措施</w:t>
                  </w:r>
                </w:p>
              </w:tc>
            </w:tr>
            <w:tr w14:paraId="39098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restart"/>
                  <w:tcBorders>
                    <w:tl2br w:val="nil"/>
                    <w:tr2bl w:val="nil"/>
                  </w:tcBorders>
                  <w:noWrap w:val="0"/>
                  <w:vAlign w:val="center"/>
                </w:tcPr>
                <w:p w14:paraId="50E5D631">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995" w:type="pct"/>
                  <w:gridSpan w:val="2"/>
                  <w:tcBorders>
                    <w:tl2br w:val="nil"/>
                    <w:tr2bl w:val="nil"/>
                  </w:tcBorders>
                  <w:noWrap w:val="0"/>
                  <w:vAlign w:val="center"/>
                </w:tcPr>
                <w:p w14:paraId="20D8FA12">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抽残</w:t>
                  </w:r>
                  <w:r>
                    <w:rPr>
                      <w:rFonts w:hint="eastAsia" w:ascii="Times New Roman" w:hAnsi="Times New Roman" w:eastAsia="宋体" w:cs="Times New Roman"/>
                      <w:color w:val="auto"/>
                      <w:sz w:val="21"/>
                      <w:szCs w:val="21"/>
                      <w:highlight w:val="none"/>
                      <w:u w:val="none" w:color="auto"/>
                      <w:lang w:val="en-US" w:eastAsia="zh-CN"/>
                    </w:rPr>
                    <w:t>液</w:t>
                  </w:r>
                </w:p>
              </w:tc>
              <w:tc>
                <w:tcPr>
                  <w:tcW w:w="1296" w:type="pct"/>
                  <w:tcBorders>
                    <w:tl2br w:val="nil"/>
                    <w:tr2bl w:val="nil"/>
                  </w:tcBorders>
                  <w:noWrap w:val="0"/>
                  <w:vAlign w:val="center"/>
                </w:tcPr>
                <w:p w14:paraId="061B3428">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eastAsia" w:ascii="Times New Roman" w:hAnsi="Times New Roman" w:cs="Times New Roman"/>
                      <w:color w:val="auto"/>
                      <w:spacing w:val="8"/>
                      <w:sz w:val="21"/>
                      <w:szCs w:val="21"/>
                      <w:highlight w:val="none"/>
                      <w:u w:val="none" w:color="auto"/>
                      <w:lang w:val="en-US" w:eastAsia="zh-CN"/>
                    </w:rPr>
                    <w:t>非甲烷总烃、恶臭</w:t>
                  </w:r>
                </w:p>
              </w:tc>
              <w:tc>
                <w:tcPr>
                  <w:tcW w:w="2232" w:type="pct"/>
                  <w:tcBorders>
                    <w:tl2br w:val="nil"/>
                    <w:tr2bl w:val="nil"/>
                  </w:tcBorders>
                  <w:noWrap w:val="0"/>
                  <w:vAlign w:val="center"/>
                </w:tcPr>
                <w:p w14:paraId="0A3593C3">
                  <w:pPr>
                    <w:pStyle w:val="30"/>
                    <w:keepNext w:val="0"/>
                    <w:keepLines w:val="0"/>
                    <w:pageBreakBefore w:val="0"/>
                    <w:widowControl w:val="0"/>
                    <w:kinsoku/>
                    <w:overflowPunct/>
                    <w:autoSpaceDE/>
                    <w:autoSpaceDN/>
                    <w:bidi w:val="0"/>
                    <w:adjustRightInd/>
                    <w:snapToGrid/>
                    <w:spacing w:before="0" w:after="0" w:line="240" w:lineRule="auto"/>
                    <w:ind w:lef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无组织扩散</w:t>
                  </w:r>
                </w:p>
              </w:tc>
            </w:tr>
            <w:tr w14:paraId="5D325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3C59DDB6">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995" w:type="pct"/>
                  <w:gridSpan w:val="2"/>
                  <w:tcBorders>
                    <w:tl2br w:val="nil"/>
                    <w:tr2bl w:val="nil"/>
                  </w:tcBorders>
                  <w:noWrap w:val="0"/>
                  <w:vAlign w:val="center"/>
                </w:tcPr>
                <w:p w14:paraId="5F0AF6FD">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highlight w:val="none"/>
                      <w:u w:val="none" w:color="auto"/>
                      <w:lang w:val="en-US" w:eastAsia="zh-CN"/>
                    </w:rPr>
                    <w:t>拆卸瓶阀</w:t>
                  </w:r>
                </w:p>
              </w:tc>
              <w:tc>
                <w:tcPr>
                  <w:tcW w:w="1296" w:type="pct"/>
                  <w:tcBorders>
                    <w:tl2br w:val="nil"/>
                    <w:tr2bl w:val="nil"/>
                  </w:tcBorders>
                  <w:noWrap w:val="0"/>
                  <w:vAlign w:val="center"/>
                </w:tcPr>
                <w:p w14:paraId="0742ECDB">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8"/>
                      <w:sz w:val="21"/>
                      <w:szCs w:val="21"/>
                      <w:highlight w:val="none"/>
                      <w:u w:val="none" w:color="auto"/>
                      <w:lang w:val="en-US" w:eastAsia="zh-CN"/>
                    </w:rPr>
                  </w:pPr>
                  <w:r>
                    <w:rPr>
                      <w:rFonts w:hint="eastAsia" w:ascii="Times New Roman" w:hAnsi="Times New Roman" w:cs="Times New Roman"/>
                      <w:color w:val="auto"/>
                      <w:spacing w:val="8"/>
                      <w:sz w:val="21"/>
                      <w:szCs w:val="21"/>
                      <w:highlight w:val="none"/>
                      <w:u w:val="none" w:color="auto"/>
                      <w:lang w:val="en-US" w:eastAsia="zh-CN"/>
                    </w:rPr>
                    <w:t>非甲烷总烃、恶臭</w:t>
                  </w:r>
                </w:p>
              </w:tc>
              <w:tc>
                <w:tcPr>
                  <w:tcW w:w="2232" w:type="pct"/>
                  <w:tcBorders>
                    <w:tl2br w:val="nil"/>
                    <w:tr2bl w:val="nil"/>
                  </w:tcBorders>
                  <w:noWrap w:val="0"/>
                  <w:vAlign w:val="center"/>
                </w:tcPr>
                <w:p w14:paraId="0449E677">
                  <w:pPr>
                    <w:pStyle w:val="30"/>
                    <w:keepNext w:val="0"/>
                    <w:keepLines w:val="0"/>
                    <w:pageBreakBefore w:val="0"/>
                    <w:widowControl w:val="0"/>
                    <w:kinsoku/>
                    <w:overflowPunct/>
                    <w:autoSpaceDE/>
                    <w:autoSpaceDN/>
                    <w:bidi w:val="0"/>
                    <w:adjustRightInd/>
                    <w:snapToGrid/>
                    <w:spacing w:before="0" w:after="0" w:line="240" w:lineRule="auto"/>
                    <w:ind w:left="0" w:leftChars="0"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无组织扩散</w:t>
                  </w:r>
                </w:p>
              </w:tc>
            </w:tr>
            <w:tr w14:paraId="69B908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2CE50BB6">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496" w:type="pct"/>
                  <w:vMerge w:val="restart"/>
                  <w:tcBorders>
                    <w:tl2br w:val="nil"/>
                    <w:tr2bl w:val="nil"/>
                  </w:tcBorders>
                  <w:noWrap w:val="0"/>
                  <w:vAlign w:val="center"/>
                </w:tcPr>
                <w:p w14:paraId="69913F87">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焚烧</w:t>
                  </w:r>
                </w:p>
              </w:tc>
              <w:tc>
                <w:tcPr>
                  <w:tcW w:w="498" w:type="pct"/>
                  <w:tcBorders>
                    <w:tl2br w:val="nil"/>
                    <w:tr2bl w:val="nil"/>
                  </w:tcBorders>
                  <w:noWrap w:val="0"/>
                  <w:vAlign w:val="center"/>
                </w:tcPr>
                <w:p w14:paraId="1F7AB4A1">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燃料</w:t>
                  </w:r>
                </w:p>
              </w:tc>
              <w:tc>
                <w:tcPr>
                  <w:tcW w:w="1296" w:type="pct"/>
                  <w:tcBorders>
                    <w:tl2br w:val="nil"/>
                    <w:tr2bl w:val="nil"/>
                  </w:tcBorders>
                  <w:noWrap w:val="0"/>
                  <w:vAlign w:val="center"/>
                </w:tcPr>
                <w:p w14:paraId="29702ACF">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u w:val="none" w:color="auto"/>
                      <w:lang w:val="en-US" w:eastAsia="zh-CN"/>
                    </w:rPr>
                  </w:pPr>
                  <w:r>
                    <w:rPr>
                      <w:rFonts w:hint="eastAsia" w:ascii="Times New Roman" w:hAnsi="Times New Roman" w:cs="Times New Roman"/>
                      <w:color w:val="auto"/>
                      <w:spacing w:val="8"/>
                      <w:sz w:val="21"/>
                      <w:szCs w:val="21"/>
                      <w:highlight w:val="none"/>
                      <w:u w:val="none" w:color="auto"/>
                      <w:lang w:val="en-US" w:eastAsia="zh-CN"/>
                    </w:rPr>
                    <w:t>SO</w:t>
                  </w:r>
                  <w:r>
                    <w:rPr>
                      <w:rFonts w:hint="eastAsia" w:ascii="Times New Roman" w:hAnsi="Times New Roman" w:cs="Times New Roman"/>
                      <w:color w:val="auto"/>
                      <w:spacing w:val="8"/>
                      <w:sz w:val="21"/>
                      <w:szCs w:val="21"/>
                      <w:highlight w:val="none"/>
                      <w:u w:val="none" w:color="auto"/>
                      <w:vertAlign w:val="subscript"/>
                      <w:lang w:val="en-US" w:eastAsia="zh-CN"/>
                    </w:rPr>
                    <w:t>2</w:t>
                  </w:r>
                  <w:r>
                    <w:rPr>
                      <w:rFonts w:hint="eastAsia" w:ascii="Times New Roman" w:hAnsi="Times New Roman" w:cs="Times New Roman"/>
                      <w:color w:val="auto"/>
                      <w:spacing w:val="8"/>
                      <w:sz w:val="21"/>
                      <w:szCs w:val="21"/>
                      <w:highlight w:val="none"/>
                      <w:u w:val="none" w:color="auto"/>
                      <w:lang w:val="en-US" w:eastAsia="zh-CN"/>
                    </w:rPr>
                    <w:t>、NO</w:t>
                  </w:r>
                  <w:r>
                    <w:rPr>
                      <w:rFonts w:hint="eastAsia" w:ascii="Times New Roman" w:hAnsi="Times New Roman" w:cs="Times New Roman"/>
                      <w:color w:val="auto"/>
                      <w:spacing w:val="8"/>
                      <w:sz w:val="21"/>
                      <w:szCs w:val="21"/>
                      <w:highlight w:val="none"/>
                      <w:u w:val="none" w:color="auto"/>
                      <w:vertAlign w:val="subscript"/>
                      <w:lang w:val="en-US" w:eastAsia="zh-CN"/>
                    </w:rPr>
                    <w:t>X</w:t>
                  </w:r>
                  <w:r>
                    <w:rPr>
                      <w:rFonts w:hint="eastAsia" w:ascii="Times New Roman" w:hAnsi="Times New Roman" w:cs="Times New Roman"/>
                      <w:color w:val="auto"/>
                      <w:spacing w:val="8"/>
                      <w:sz w:val="21"/>
                      <w:szCs w:val="21"/>
                      <w:highlight w:val="none"/>
                      <w:u w:val="none" w:color="auto"/>
                      <w:lang w:val="en-US" w:eastAsia="zh-CN"/>
                    </w:rPr>
                    <w:t>、颗粒物</w:t>
                  </w:r>
                </w:p>
              </w:tc>
              <w:tc>
                <w:tcPr>
                  <w:tcW w:w="2232" w:type="pct"/>
                  <w:vMerge w:val="restart"/>
                  <w:tcBorders>
                    <w:tl2br w:val="nil"/>
                    <w:tr2bl w:val="nil"/>
                  </w:tcBorders>
                  <w:noWrap w:val="0"/>
                  <w:vAlign w:val="center"/>
                </w:tcPr>
                <w:p w14:paraId="18015007">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sz w:val="21"/>
                      <w:szCs w:val="21"/>
                      <w:highlight w:val="none"/>
                      <w:u w:val="none" w:color="auto"/>
                      <w:lang w:val="en-US" w:eastAsia="zh-CN"/>
                    </w:rPr>
                    <w:t>经水膜除尘装置</w:t>
                  </w:r>
                  <w:r>
                    <w:rPr>
                      <w:rFonts w:hint="eastAsia"/>
                      <w:highlight w:val="none"/>
                      <w:u w:val="none" w:color="auto"/>
                      <w:lang w:val="en-US" w:eastAsia="zh-CN"/>
                    </w:rPr>
                    <w:t>+一根15m排气筒（DA001）外排</w:t>
                  </w:r>
                </w:p>
              </w:tc>
            </w:tr>
            <w:tr w14:paraId="56EA56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48C0D233">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496" w:type="pct"/>
                  <w:vMerge w:val="continue"/>
                  <w:tcBorders>
                    <w:tl2br w:val="nil"/>
                    <w:tr2bl w:val="nil"/>
                  </w:tcBorders>
                  <w:noWrap w:val="0"/>
                  <w:vAlign w:val="center"/>
                </w:tcPr>
                <w:p w14:paraId="5E59550C">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498" w:type="pct"/>
                  <w:tcBorders>
                    <w:tl2br w:val="nil"/>
                    <w:tr2bl w:val="nil"/>
                  </w:tcBorders>
                  <w:noWrap w:val="0"/>
                  <w:vAlign w:val="center"/>
                </w:tcPr>
                <w:p w14:paraId="35F0CDCD">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涂料尘</w:t>
                  </w:r>
                </w:p>
              </w:tc>
              <w:tc>
                <w:tcPr>
                  <w:tcW w:w="1296" w:type="pct"/>
                  <w:tcBorders>
                    <w:tl2br w:val="nil"/>
                    <w:tr2bl w:val="nil"/>
                  </w:tcBorders>
                  <w:noWrap w:val="0"/>
                  <w:vAlign w:val="center"/>
                </w:tcPr>
                <w:p w14:paraId="51990EDE">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8"/>
                      <w:sz w:val="21"/>
                      <w:szCs w:val="21"/>
                      <w:highlight w:val="none"/>
                      <w:u w:val="none" w:color="auto"/>
                      <w:lang w:val="en-US" w:eastAsia="zh-CN"/>
                    </w:rPr>
                  </w:pPr>
                  <w:r>
                    <w:rPr>
                      <w:rFonts w:hint="eastAsia" w:ascii="Times New Roman" w:hAnsi="Times New Roman" w:cs="Times New Roman"/>
                      <w:color w:val="auto"/>
                      <w:spacing w:val="8"/>
                      <w:sz w:val="21"/>
                      <w:szCs w:val="21"/>
                      <w:highlight w:val="none"/>
                      <w:u w:val="none" w:color="auto"/>
                      <w:lang w:val="en-US" w:eastAsia="zh-CN"/>
                    </w:rPr>
                    <w:t>颗粒物</w:t>
                  </w:r>
                </w:p>
              </w:tc>
              <w:tc>
                <w:tcPr>
                  <w:tcW w:w="2232" w:type="pct"/>
                  <w:vMerge w:val="continue"/>
                  <w:tcBorders>
                    <w:tl2br w:val="nil"/>
                    <w:tr2bl w:val="nil"/>
                  </w:tcBorders>
                  <w:noWrap w:val="0"/>
                  <w:vAlign w:val="center"/>
                </w:tcPr>
                <w:p w14:paraId="7F0AF697">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r>
            <w:tr w14:paraId="5A9FE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restart"/>
                  <w:tcBorders>
                    <w:tl2br w:val="nil"/>
                    <w:tr2bl w:val="nil"/>
                  </w:tcBorders>
                  <w:noWrap w:val="0"/>
                  <w:vAlign w:val="center"/>
                </w:tcPr>
                <w:p w14:paraId="113585AB">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废水</w:t>
                  </w:r>
                </w:p>
              </w:tc>
              <w:tc>
                <w:tcPr>
                  <w:tcW w:w="995" w:type="pct"/>
                  <w:gridSpan w:val="2"/>
                  <w:tcBorders>
                    <w:tl2br w:val="nil"/>
                    <w:tr2bl w:val="nil"/>
                  </w:tcBorders>
                  <w:noWrap w:val="0"/>
                  <w:vAlign w:val="center"/>
                </w:tcPr>
                <w:p w14:paraId="41FB540B">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default" w:ascii="Times New Roman" w:hAnsi="Times New Roman" w:eastAsia="宋体" w:cs="Times New Roman"/>
                      <w:color w:val="auto"/>
                      <w:spacing w:val="6"/>
                      <w:sz w:val="21"/>
                      <w:szCs w:val="21"/>
                      <w:highlight w:val="none"/>
                      <w:u w:val="none" w:color="auto"/>
                    </w:rPr>
                    <w:t>生活污水</w:t>
                  </w:r>
                </w:p>
              </w:tc>
              <w:tc>
                <w:tcPr>
                  <w:tcW w:w="1296" w:type="pct"/>
                  <w:tcBorders>
                    <w:tl2br w:val="nil"/>
                    <w:tr2bl w:val="nil"/>
                  </w:tcBorders>
                  <w:noWrap w:val="0"/>
                  <w:vAlign w:val="center"/>
                </w:tcPr>
                <w:p w14:paraId="29D00509">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pacing w:val="6"/>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pH、</w:t>
                  </w: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pacing w:val="4"/>
                      <w:sz w:val="21"/>
                      <w:szCs w:val="21"/>
                      <w:highlight w:val="none"/>
                      <w:u w:val="none" w:color="auto"/>
                    </w:rPr>
                    <w:t>、</w:t>
                  </w: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pacing w:val="4"/>
                      <w:position w:val="-1"/>
                      <w:sz w:val="21"/>
                      <w:szCs w:val="21"/>
                      <w:highlight w:val="none"/>
                      <w:u w:val="none" w:color="auto"/>
                      <w:vertAlign w:val="subscript"/>
                    </w:rPr>
                    <w:t>5</w:t>
                  </w:r>
                  <w:r>
                    <w:rPr>
                      <w:rFonts w:hint="default" w:ascii="Times New Roman" w:hAnsi="Times New Roman" w:eastAsia="宋体" w:cs="Times New Roman"/>
                      <w:color w:val="auto"/>
                      <w:spacing w:val="4"/>
                      <w:sz w:val="21"/>
                      <w:szCs w:val="21"/>
                      <w:highlight w:val="none"/>
                      <w:u w:val="none" w:color="auto"/>
                    </w:rPr>
                    <w:t>、氨氮、</w:t>
                  </w:r>
                  <w:r>
                    <w:rPr>
                      <w:rFonts w:hint="default" w:ascii="Times New Roman" w:hAnsi="Times New Roman" w:eastAsia="宋体" w:cs="Times New Roman"/>
                      <w:color w:val="auto"/>
                      <w:sz w:val="21"/>
                      <w:szCs w:val="21"/>
                      <w:highlight w:val="none"/>
                      <w:u w:val="none" w:color="auto"/>
                    </w:rPr>
                    <w:t>SS</w:t>
                  </w:r>
                  <w:r>
                    <w:rPr>
                      <w:rFonts w:hint="default" w:ascii="Times New Roman" w:hAnsi="Times New Roman" w:eastAsia="宋体" w:cs="Times New Roman"/>
                      <w:color w:val="auto"/>
                      <w:spacing w:val="4"/>
                      <w:sz w:val="21"/>
                      <w:szCs w:val="21"/>
                      <w:highlight w:val="none"/>
                      <w:u w:val="none" w:color="auto"/>
                    </w:rPr>
                    <w:t>、</w:t>
                  </w:r>
                  <w:r>
                    <w:rPr>
                      <w:rFonts w:hint="default" w:ascii="Times New Roman" w:hAnsi="Times New Roman" w:eastAsia="宋体" w:cs="Times New Roman"/>
                      <w:color w:val="auto"/>
                      <w:sz w:val="21"/>
                      <w:szCs w:val="21"/>
                      <w:highlight w:val="none"/>
                      <w:u w:val="none" w:color="auto"/>
                    </w:rPr>
                    <w:t>TN</w:t>
                  </w:r>
                  <w:r>
                    <w:rPr>
                      <w:rFonts w:hint="default" w:ascii="Times New Roman" w:hAnsi="Times New Roman" w:eastAsia="宋体" w:cs="Times New Roman"/>
                      <w:color w:val="auto"/>
                      <w:spacing w:val="4"/>
                      <w:sz w:val="21"/>
                      <w:szCs w:val="21"/>
                      <w:highlight w:val="none"/>
                      <w:u w:val="none" w:color="auto"/>
                    </w:rPr>
                    <w:t>、</w:t>
                  </w:r>
                  <w:r>
                    <w:rPr>
                      <w:rFonts w:hint="default" w:ascii="Times New Roman" w:hAnsi="Times New Roman" w:eastAsia="宋体" w:cs="Times New Roman"/>
                      <w:color w:val="auto"/>
                      <w:sz w:val="21"/>
                      <w:szCs w:val="21"/>
                      <w:highlight w:val="none"/>
                      <w:u w:val="none" w:color="auto"/>
                    </w:rPr>
                    <w:t>TP等</w:t>
                  </w:r>
                </w:p>
              </w:tc>
              <w:tc>
                <w:tcPr>
                  <w:tcW w:w="2232" w:type="pct"/>
                  <w:tcBorders>
                    <w:tl2br w:val="nil"/>
                    <w:tr2bl w:val="nil"/>
                  </w:tcBorders>
                  <w:noWrap w:val="0"/>
                  <w:vAlign w:val="center"/>
                </w:tcPr>
                <w:p w14:paraId="3AE1BA67">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8"/>
                      <w:sz w:val="21"/>
                      <w:szCs w:val="21"/>
                      <w:highlight w:val="none"/>
                      <w:u w:val="none" w:color="auto"/>
                      <w:lang w:val="en-US" w:eastAsia="zh-CN"/>
                    </w:rPr>
                  </w:pPr>
                  <w:r>
                    <w:rPr>
                      <w:rFonts w:hint="eastAsia" w:ascii="Times New Roman" w:hAnsi="Times New Roman" w:cs="Times New Roman"/>
                      <w:color w:val="auto"/>
                      <w:spacing w:val="8"/>
                      <w:sz w:val="21"/>
                      <w:szCs w:val="21"/>
                      <w:highlight w:val="none"/>
                      <w:u w:val="none" w:color="auto"/>
                      <w:lang w:val="en-US" w:eastAsia="zh-CN"/>
                    </w:rPr>
                    <w:t>经</w:t>
                  </w:r>
                  <w:r>
                    <w:rPr>
                      <w:rFonts w:hint="eastAsia" w:ascii="Times New Roman" w:hAnsi="Times New Roman" w:cs="Times New Roman"/>
                      <w:color w:val="auto"/>
                      <w:spacing w:val="8"/>
                      <w:sz w:val="21"/>
                      <w:szCs w:val="21"/>
                      <w:highlight w:val="none"/>
                      <w:u w:val="none" w:color="auto"/>
                      <w:lang w:eastAsia="zh-CN"/>
                    </w:rPr>
                    <w:t>三级化粪池</w:t>
                  </w:r>
                  <w:r>
                    <w:rPr>
                      <w:rFonts w:hint="eastAsia" w:ascii="Times New Roman" w:hAnsi="Times New Roman" w:cs="Times New Roman"/>
                      <w:color w:val="auto"/>
                      <w:spacing w:val="8"/>
                      <w:sz w:val="21"/>
                      <w:szCs w:val="21"/>
                      <w:highlight w:val="none"/>
                      <w:u w:val="none" w:color="auto"/>
                      <w:lang w:val="en-US" w:eastAsia="zh-CN"/>
                    </w:rPr>
                    <w:t>处理后用作农肥</w:t>
                  </w:r>
                </w:p>
              </w:tc>
            </w:tr>
            <w:tr w14:paraId="2FCA00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65A4FAA0">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995" w:type="pct"/>
                  <w:gridSpan w:val="2"/>
                  <w:tcBorders>
                    <w:tl2br w:val="nil"/>
                    <w:tr2bl w:val="nil"/>
                  </w:tcBorders>
                  <w:noWrap w:val="0"/>
                  <w:vAlign w:val="center"/>
                </w:tcPr>
                <w:p w14:paraId="3BCA9E23">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eastAsia" w:ascii="Times New Roman" w:hAnsi="Times New Roman" w:cs="Times New Roman"/>
                      <w:color w:val="auto"/>
                      <w:spacing w:val="6"/>
                      <w:sz w:val="21"/>
                      <w:szCs w:val="21"/>
                      <w:highlight w:val="none"/>
                      <w:u w:val="none" w:color="auto"/>
                      <w:lang w:val="en-US" w:eastAsia="zh-CN"/>
                    </w:rPr>
                    <w:t>水膜除尘废水</w:t>
                  </w:r>
                </w:p>
              </w:tc>
              <w:tc>
                <w:tcPr>
                  <w:tcW w:w="1296" w:type="pct"/>
                  <w:tcBorders>
                    <w:tl2br w:val="nil"/>
                    <w:tr2bl w:val="nil"/>
                  </w:tcBorders>
                  <w:noWrap w:val="0"/>
                  <w:vAlign w:val="center"/>
                </w:tcPr>
                <w:p w14:paraId="22990F0D">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SS等</w:t>
                  </w:r>
                </w:p>
              </w:tc>
              <w:tc>
                <w:tcPr>
                  <w:tcW w:w="2232" w:type="pct"/>
                  <w:tcBorders>
                    <w:tl2br w:val="nil"/>
                    <w:tr2bl w:val="nil"/>
                  </w:tcBorders>
                  <w:noWrap w:val="0"/>
                  <w:vAlign w:val="center"/>
                </w:tcPr>
                <w:p w14:paraId="531FE7B1">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8"/>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循环使用</w:t>
                  </w:r>
                </w:p>
              </w:tc>
            </w:tr>
            <w:tr w14:paraId="03D1D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tcBorders>
                    <w:tl2br w:val="nil"/>
                    <w:tr2bl w:val="nil"/>
                  </w:tcBorders>
                  <w:noWrap w:val="0"/>
                  <w:vAlign w:val="center"/>
                </w:tcPr>
                <w:p w14:paraId="3D8292F7">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pacing w:val="-1"/>
                      <w:sz w:val="21"/>
                      <w:szCs w:val="21"/>
                      <w:highlight w:val="none"/>
                      <w:u w:val="none" w:color="auto"/>
                    </w:rPr>
                    <w:t>噪声</w:t>
                  </w:r>
                </w:p>
              </w:tc>
              <w:tc>
                <w:tcPr>
                  <w:tcW w:w="995" w:type="pct"/>
                  <w:gridSpan w:val="2"/>
                  <w:tcBorders>
                    <w:tl2br w:val="nil"/>
                    <w:tr2bl w:val="nil"/>
                  </w:tcBorders>
                  <w:noWrap w:val="0"/>
                  <w:vAlign w:val="center"/>
                </w:tcPr>
                <w:p w14:paraId="378A846E">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7"/>
                      <w:sz w:val="21"/>
                      <w:szCs w:val="21"/>
                      <w:highlight w:val="none"/>
                      <w:u w:val="none" w:color="auto"/>
                    </w:rPr>
                    <w:t>设备运行噪声</w:t>
                  </w:r>
                </w:p>
              </w:tc>
              <w:tc>
                <w:tcPr>
                  <w:tcW w:w="1296" w:type="pct"/>
                  <w:tcBorders>
                    <w:tl2br w:val="nil"/>
                    <w:tr2bl w:val="nil"/>
                  </w:tcBorders>
                  <w:noWrap w:val="0"/>
                  <w:vAlign w:val="center"/>
                </w:tcPr>
                <w:p w14:paraId="428A6360">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等效声级</w:t>
                  </w:r>
                </w:p>
              </w:tc>
              <w:tc>
                <w:tcPr>
                  <w:tcW w:w="2232" w:type="pct"/>
                  <w:tcBorders>
                    <w:tl2br w:val="nil"/>
                    <w:tr2bl w:val="nil"/>
                  </w:tcBorders>
                  <w:noWrap w:val="0"/>
                  <w:vAlign w:val="center"/>
                </w:tcPr>
                <w:p w14:paraId="3AB7782D">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3"/>
                      <w:sz w:val="21"/>
                      <w:szCs w:val="21"/>
                      <w:highlight w:val="none"/>
                      <w:u w:val="none" w:color="auto"/>
                    </w:rPr>
                    <w:t>隔声、降噪、减震，采用低</w:t>
                  </w:r>
                  <w:r>
                    <w:rPr>
                      <w:rFonts w:hint="default" w:ascii="Times New Roman" w:hAnsi="Times New Roman" w:eastAsia="宋体" w:cs="Times New Roman"/>
                      <w:color w:val="auto"/>
                      <w:spacing w:val="4"/>
                      <w:sz w:val="21"/>
                      <w:szCs w:val="21"/>
                      <w:highlight w:val="none"/>
                      <w:u w:val="none" w:color="auto"/>
                    </w:rPr>
                    <w:t>噪声设备</w:t>
                  </w:r>
                </w:p>
              </w:tc>
            </w:tr>
            <w:tr w14:paraId="356E6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restart"/>
                  <w:tcBorders>
                    <w:tl2br w:val="nil"/>
                    <w:tr2bl w:val="nil"/>
                  </w:tcBorders>
                  <w:noWrap w:val="0"/>
                  <w:vAlign w:val="center"/>
                </w:tcPr>
                <w:p w14:paraId="583E6BB1">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固废</w:t>
                  </w:r>
                </w:p>
              </w:tc>
              <w:tc>
                <w:tcPr>
                  <w:tcW w:w="995" w:type="pct"/>
                  <w:gridSpan w:val="2"/>
                  <w:tcBorders>
                    <w:tl2br w:val="nil"/>
                    <w:tr2bl w:val="nil"/>
                  </w:tcBorders>
                  <w:noWrap w:val="0"/>
                  <w:vAlign w:val="center"/>
                </w:tcPr>
                <w:p w14:paraId="315A1AC7">
                  <w:pPr>
                    <w:pStyle w:val="30"/>
                    <w:keepNext w:val="0"/>
                    <w:keepLines w:val="0"/>
                    <w:pageBreakBefore w:val="0"/>
                    <w:widowControl w:val="0"/>
                    <w:kinsoku/>
                    <w:wordWrap/>
                    <w:overflowPunct/>
                    <w:topLinePunct w:val="0"/>
                    <w:autoSpaceDE/>
                    <w:autoSpaceDN/>
                    <w:bidi w:val="0"/>
                    <w:adjustRightInd w:val="0"/>
                    <w:snapToGrid/>
                    <w:jc w:val="center"/>
                    <w:textAlignment w:val="baseline"/>
                    <w:rPr>
                      <w:rFonts w:hint="eastAsia"/>
                      <w:highlight w:val="none"/>
                      <w:u w:val="none" w:color="auto"/>
                      <w:lang w:val="en-US" w:eastAsia="zh-CN"/>
                    </w:rPr>
                  </w:pPr>
                  <w:r>
                    <w:rPr>
                      <w:rFonts w:hint="eastAsia"/>
                      <w:highlight w:val="none"/>
                      <w:u w:val="none" w:color="auto"/>
                      <w:lang w:val="en-US" w:eastAsia="zh-CN"/>
                    </w:rPr>
                    <w:t>拆卸瓶阀</w:t>
                  </w:r>
                </w:p>
              </w:tc>
              <w:tc>
                <w:tcPr>
                  <w:tcW w:w="1296" w:type="pct"/>
                  <w:tcBorders>
                    <w:tl2br w:val="nil"/>
                    <w:tr2bl w:val="nil"/>
                  </w:tcBorders>
                  <w:noWrap w:val="0"/>
                  <w:vAlign w:val="center"/>
                </w:tcPr>
                <w:p w14:paraId="73C77E8A">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废角阀</w:t>
                  </w:r>
                </w:p>
              </w:tc>
              <w:tc>
                <w:tcPr>
                  <w:tcW w:w="2232" w:type="pct"/>
                  <w:tcBorders>
                    <w:tl2br w:val="nil"/>
                    <w:tr2bl w:val="nil"/>
                  </w:tcBorders>
                  <w:noWrap w:val="0"/>
                  <w:vAlign w:val="center"/>
                </w:tcPr>
                <w:p w14:paraId="08DF1FFA">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交由厂家回收，日产日清</w:t>
                  </w:r>
                </w:p>
              </w:tc>
            </w:tr>
            <w:tr w14:paraId="74BC6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3DA1A854">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995" w:type="pct"/>
                  <w:gridSpan w:val="2"/>
                  <w:tcBorders>
                    <w:tl2br w:val="nil"/>
                    <w:tr2bl w:val="nil"/>
                  </w:tcBorders>
                  <w:noWrap w:val="0"/>
                  <w:vAlign w:val="center"/>
                </w:tcPr>
                <w:p w14:paraId="4DC9A4C4">
                  <w:pPr>
                    <w:pStyle w:val="30"/>
                    <w:keepNext w:val="0"/>
                    <w:keepLines w:val="0"/>
                    <w:pageBreakBefore w:val="0"/>
                    <w:widowControl w:val="0"/>
                    <w:kinsoku/>
                    <w:wordWrap/>
                    <w:overflowPunct/>
                    <w:topLinePunct w:val="0"/>
                    <w:autoSpaceDE/>
                    <w:autoSpaceDN/>
                    <w:bidi w:val="0"/>
                    <w:adjustRightInd w:val="0"/>
                    <w:snapToGrid/>
                    <w:jc w:val="center"/>
                    <w:textAlignment w:val="baseline"/>
                    <w:rPr>
                      <w:rFonts w:hint="default"/>
                      <w:color w:val="auto"/>
                      <w:highlight w:val="none"/>
                      <w:u w:val="none" w:color="auto"/>
                      <w:lang w:val="en-US" w:eastAsia="zh-CN"/>
                    </w:rPr>
                  </w:pPr>
                  <w:r>
                    <w:rPr>
                      <w:rFonts w:hint="eastAsia"/>
                      <w:highlight w:val="none"/>
                      <w:u w:val="none" w:color="auto"/>
                      <w:lang w:val="en-US" w:eastAsia="zh-CN"/>
                    </w:rPr>
                    <w:t>拆卸瓶阀；维修保养</w:t>
                  </w:r>
                </w:p>
              </w:tc>
              <w:tc>
                <w:tcPr>
                  <w:tcW w:w="1296" w:type="pct"/>
                  <w:tcBorders>
                    <w:tl2br w:val="nil"/>
                    <w:tr2bl w:val="nil"/>
                  </w:tcBorders>
                  <w:noWrap w:val="0"/>
                  <w:vAlign w:val="center"/>
                </w:tcPr>
                <w:p w14:paraId="02DA7E11">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废机油和废机油桶</w:t>
                  </w:r>
                </w:p>
              </w:tc>
              <w:tc>
                <w:tcPr>
                  <w:tcW w:w="2232" w:type="pct"/>
                  <w:tcBorders>
                    <w:tl2br w:val="nil"/>
                    <w:tr2bl w:val="nil"/>
                  </w:tcBorders>
                  <w:noWrap w:val="0"/>
                  <w:vAlign w:val="center"/>
                </w:tcPr>
                <w:p w14:paraId="3AFB2F98">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危废间暂存，交由有资质单位处理</w:t>
                  </w:r>
                </w:p>
              </w:tc>
            </w:tr>
            <w:tr w14:paraId="63774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5" w:type="pct"/>
                  <w:vMerge w:val="continue"/>
                  <w:tcBorders>
                    <w:tl2br w:val="nil"/>
                    <w:tr2bl w:val="nil"/>
                  </w:tcBorders>
                  <w:noWrap w:val="0"/>
                  <w:vAlign w:val="center"/>
                </w:tcPr>
                <w:p w14:paraId="41E9FDC7">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995" w:type="pct"/>
                  <w:gridSpan w:val="2"/>
                  <w:tcBorders>
                    <w:tl2br w:val="nil"/>
                    <w:tr2bl w:val="nil"/>
                  </w:tcBorders>
                  <w:noWrap w:val="0"/>
                  <w:vAlign w:val="center"/>
                </w:tcPr>
                <w:p w14:paraId="5CFDFA8D">
                  <w:pPr>
                    <w:pStyle w:val="30"/>
                    <w:keepNext w:val="0"/>
                    <w:keepLines w:val="0"/>
                    <w:pageBreakBefore w:val="0"/>
                    <w:widowControl w:val="0"/>
                    <w:kinsoku/>
                    <w:wordWrap/>
                    <w:overflowPunct/>
                    <w:topLinePunct w:val="0"/>
                    <w:autoSpaceDE/>
                    <w:autoSpaceDN/>
                    <w:bidi w:val="0"/>
                    <w:adjustRightInd w:val="0"/>
                    <w:snapToGrid/>
                    <w:jc w:val="center"/>
                    <w:textAlignment w:val="baseline"/>
                    <w:rPr>
                      <w:rFonts w:hint="default"/>
                      <w:highlight w:val="none"/>
                      <w:u w:val="none" w:color="auto"/>
                      <w:lang w:val="en-US" w:eastAsia="zh-CN"/>
                    </w:rPr>
                  </w:pPr>
                  <w:r>
                    <w:rPr>
                      <w:rFonts w:hint="eastAsia"/>
                      <w:highlight w:val="none"/>
                      <w:u w:val="none" w:color="auto"/>
                      <w:lang w:val="en-US" w:eastAsia="zh-CN"/>
                    </w:rPr>
                    <w:t>水膜除尘</w:t>
                  </w:r>
                </w:p>
              </w:tc>
              <w:tc>
                <w:tcPr>
                  <w:tcW w:w="1296" w:type="pct"/>
                  <w:tcBorders>
                    <w:tl2br w:val="nil"/>
                    <w:tr2bl w:val="nil"/>
                  </w:tcBorders>
                  <w:noWrap w:val="0"/>
                  <w:vAlign w:val="center"/>
                </w:tcPr>
                <w:p w14:paraId="5D4E3764">
                  <w:pPr>
                    <w:pStyle w:val="30"/>
                    <w:autoSpaceDE w:val="0"/>
                    <w:autoSpaceDN w:val="0"/>
                    <w:bidi w:val="0"/>
                    <w:jc w:val="center"/>
                    <w:rPr>
                      <w:rFonts w:hint="default"/>
                      <w:highlight w:val="none"/>
                      <w:u w:val="none" w:color="auto"/>
                      <w:lang w:val="en-US" w:eastAsia="zh-CN"/>
                    </w:rPr>
                  </w:pPr>
                  <w:r>
                    <w:rPr>
                      <w:highlight w:val="none"/>
                      <w:u w:val="none" w:color="auto"/>
                    </w:rPr>
                    <w:t>水膜除尘湿渣</w:t>
                  </w:r>
                </w:p>
              </w:tc>
              <w:tc>
                <w:tcPr>
                  <w:tcW w:w="2232" w:type="pct"/>
                  <w:tcBorders>
                    <w:tl2br w:val="nil"/>
                    <w:tr2bl w:val="nil"/>
                  </w:tcBorders>
                  <w:noWrap w:val="0"/>
                  <w:vAlign w:val="center"/>
                </w:tcPr>
                <w:p w14:paraId="6B386DE1">
                  <w:pPr>
                    <w:pStyle w:val="30"/>
                    <w:autoSpaceDE w:val="0"/>
                    <w:autoSpaceDN w:val="0"/>
                    <w:bidi w:val="0"/>
                    <w:jc w:val="center"/>
                    <w:rPr>
                      <w:rFonts w:hint="eastAsia"/>
                      <w:color w:val="auto"/>
                      <w:highlight w:val="none"/>
                      <w:u w:val="none" w:color="auto"/>
                      <w:lang w:val="en-US" w:eastAsia="zh-CN"/>
                    </w:rPr>
                  </w:pPr>
                  <w:r>
                    <w:rPr>
                      <w:rFonts w:ascii="Times New Roman" w:hAnsi="Times New Roman" w:eastAsia="宋体" w:cs="Times New Roman"/>
                      <w:highlight w:val="none"/>
                      <w:u w:val="none" w:color="auto"/>
                    </w:rPr>
                    <w:t>作为建筑材料综合利用（如制砖）</w:t>
                  </w:r>
                </w:p>
              </w:tc>
            </w:tr>
            <w:tr w14:paraId="22779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475" w:type="pct"/>
                  <w:tcBorders>
                    <w:tl2br w:val="nil"/>
                    <w:tr2bl w:val="nil"/>
                  </w:tcBorders>
                  <w:noWrap w:val="0"/>
                  <w:vAlign w:val="center"/>
                </w:tcPr>
                <w:p w14:paraId="02846494">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1"/>
                      <w:sz w:val="21"/>
                      <w:szCs w:val="21"/>
                      <w:highlight w:val="none"/>
                      <w:u w:val="none" w:color="auto"/>
                      <w:lang w:val="en-US" w:eastAsia="zh-CN"/>
                    </w:rPr>
                  </w:pPr>
                  <w:r>
                    <w:rPr>
                      <w:rFonts w:hint="default" w:ascii="Times New Roman" w:hAnsi="Times New Roman" w:eastAsia="宋体" w:cs="Times New Roman"/>
                      <w:color w:val="auto"/>
                      <w:spacing w:val="-1"/>
                      <w:sz w:val="21"/>
                      <w:szCs w:val="21"/>
                      <w:highlight w:val="none"/>
                      <w:u w:val="none" w:color="auto"/>
                      <w:lang w:val="en-US" w:eastAsia="zh-CN"/>
                    </w:rPr>
                    <w:t>其他</w:t>
                  </w:r>
                </w:p>
              </w:tc>
              <w:tc>
                <w:tcPr>
                  <w:tcW w:w="995" w:type="pct"/>
                  <w:gridSpan w:val="2"/>
                  <w:tcBorders>
                    <w:tl2br w:val="nil"/>
                    <w:tr2bl w:val="nil"/>
                  </w:tcBorders>
                  <w:noWrap w:val="0"/>
                  <w:vAlign w:val="center"/>
                </w:tcPr>
                <w:p w14:paraId="018B339A">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u w:val="none" w:color="auto"/>
                      <w:lang w:val="en-US" w:eastAsia="zh-CN"/>
                    </w:rPr>
                  </w:pPr>
                  <w:r>
                    <w:rPr>
                      <w:rFonts w:hint="eastAsia" w:ascii="Times New Roman" w:hAnsi="Times New Roman" w:cs="Times New Roman"/>
                      <w:color w:val="auto"/>
                      <w:spacing w:val="7"/>
                      <w:sz w:val="21"/>
                      <w:szCs w:val="21"/>
                      <w:highlight w:val="none"/>
                      <w:u w:val="none" w:color="auto"/>
                      <w:lang w:val="en-US" w:eastAsia="zh-CN"/>
                    </w:rPr>
                    <w:t>办公生活</w:t>
                  </w:r>
                </w:p>
              </w:tc>
              <w:tc>
                <w:tcPr>
                  <w:tcW w:w="1296" w:type="pct"/>
                  <w:tcBorders>
                    <w:tl2br w:val="nil"/>
                    <w:tr2bl w:val="nil"/>
                  </w:tcBorders>
                  <w:noWrap w:val="0"/>
                  <w:vAlign w:val="center"/>
                </w:tcPr>
                <w:p w14:paraId="4268DC2E">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生活垃圾</w:t>
                  </w:r>
                </w:p>
              </w:tc>
              <w:tc>
                <w:tcPr>
                  <w:tcW w:w="2232" w:type="pct"/>
                  <w:tcBorders>
                    <w:tl2br w:val="nil"/>
                    <w:tr2bl w:val="nil"/>
                  </w:tcBorders>
                  <w:noWrap w:val="0"/>
                  <w:vAlign w:val="center"/>
                </w:tcPr>
                <w:p w14:paraId="179D3A38">
                  <w:pPr>
                    <w:pStyle w:val="42"/>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u w:val="none" w:color="auto"/>
                    </w:rPr>
                  </w:pPr>
                  <w:r>
                    <w:rPr>
                      <w:rFonts w:hint="default" w:ascii="Times New Roman" w:hAnsi="Times New Roman" w:eastAsia="宋体" w:cs="Times New Roman"/>
                      <w:color w:val="auto"/>
                      <w:spacing w:val="4"/>
                      <w:sz w:val="21"/>
                      <w:szCs w:val="21"/>
                      <w:highlight w:val="none"/>
                      <w:u w:val="none" w:color="auto"/>
                    </w:rPr>
                    <w:t>分类收集，环卫部门统一清</w:t>
                  </w:r>
                  <w:r>
                    <w:rPr>
                      <w:rFonts w:hint="default" w:ascii="Times New Roman" w:hAnsi="Times New Roman" w:eastAsia="宋体" w:cs="Times New Roman"/>
                      <w:color w:val="auto"/>
                      <w:sz w:val="21"/>
                      <w:szCs w:val="21"/>
                      <w:highlight w:val="none"/>
                      <w:u w:val="none" w:color="auto"/>
                    </w:rPr>
                    <w:t>运</w:t>
                  </w:r>
                </w:p>
              </w:tc>
            </w:tr>
          </w:tbl>
          <w:p w14:paraId="15CB44A5">
            <w:pPr>
              <w:pStyle w:val="25"/>
              <w:bidi w:val="0"/>
              <w:ind w:left="0" w:leftChars="0" w:firstLine="0" w:firstLineChars="0"/>
              <w:rPr>
                <w:rFonts w:hint="default" w:ascii="Times New Roman" w:hAnsi="Times New Roman" w:cs="Times New Roman"/>
                <w:color w:val="auto"/>
                <w:highlight w:val="none"/>
                <w:u w:val="none" w:color="auto"/>
                <w:lang w:val="en-US" w:eastAsia="zh-CN"/>
              </w:rPr>
            </w:pPr>
          </w:p>
        </w:tc>
      </w:tr>
      <w:tr w14:paraId="3FC55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66" w:type="pct"/>
            <w:tcBorders>
              <w:tl2br w:val="nil"/>
              <w:tr2bl w:val="nil"/>
            </w:tcBorders>
            <w:noWrap w:val="0"/>
            <w:vAlign w:val="center"/>
          </w:tcPr>
          <w:p w14:paraId="276525BD">
            <w:pPr>
              <w:pStyle w:val="16"/>
              <w:adjustRightInd w:val="0"/>
              <w:snapToGrid w:val="0"/>
              <w:spacing w:before="0" w:beforeAutospacing="0" w:after="0" w:afterAutospacing="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bCs/>
                <w:color w:val="auto"/>
                <w:kern w:val="2"/>
                <w:sz w:val="21"/>
                <w:szCs w:val="21"/>
                <w:highlight w:val="none"/>
                <w:u w:val="none" w:color="auto"/>
              </w:rPr>
              <w:t>与项目有关的原有环境污染问题</w:t>
            </w:r>
          </w:p>
        </w:tc>
        <w:tc>
          <w:tcPr>
            <w:tcW w:w="4733" w:type="pct"/>
            <w:tcBorders>
              <w:tl2br w:val="nil"/>
              <w:tr2bl w:val="nil"/>
            </w:tcBorders>
            <w:noWrap w:val="0"/>
            <w:vAlign w:val="top"/>
          </w:tcPr>
          <w:p w14:paraId="14383395">
            <w:pPr>
              <w:pStyle w:val="25"/>
              <w:bidi w:val="0"/>
              <w:rPr>
                <w:rFonts w:hint="eastAsia" w:eastAsia="宋体"/>
                <w:highlight w:val="none"/>
                <w:u w:val="none" w:color="auto"/>
                <w:lang w:val="en-US" w:eastAsia="zh-CN"/>
              </w:rPr>
            </w:pPr>
            <w:r>
              <w:rPr>
                <w:rFonts w:hint="eastAsia"/>
                <w:highlight w:val="none"/>
                <w:u w:val="none" w:color="auto"/>
                <w:lang w:val="en-US" w:eastAsia="zh-CN"/>
              </w:rPr>
              <w:t>湖南省湘阳食品有限公司</w:t>
            </w:r>
            <w:r>
              <w:rPr>
                <w:highlight w:val="none"/>
                <w:u w:val="none" w:color="auto"/>
              </w:rPr>
              <w:t>成立于2004年01月05日，注册地址为岳阳县新墙镇高桥村水库片廖家组</w:t>
            </w:r>
            <w:r>
              <w:rPr>
                <w:rFonts w:hint="eastAsia"/>
                <w:highlight w:val="none"/>
                <w:u w:val="none" w:color="auto"/>
                <w:lang w:eastAsia="zh-CN"/>
              </w:rPr>
              <w:t>，</w:t>
            </w:r>
            <w:r>
              <w:rPr>
                <w:rFonts w:hint="eastAsia"/>
                <w:highlight w:val="none"/>
                <w:u w:val="none" w:color="auto"/>
                <w:lang w:val="en-US" w:eastAsia="zh-CN"/>
              </w:rPr>
              <w:t>目前未经营</w:t>
            </w:r>
            <w:r>
              <w:rPr>
                <w:rFonts w:hint="eastAsia"/>
                <w:highlight w:val="none"/>
                <w:u w:val="none" w:color="auto"/>
                <w:lang w:eastAsia="zh-CN"/>
              </w:rPr>
              <w:t>。</w:t>
            </w:r>
            <w:r>
              <w:rPr>
                <w:rStyle w:val="35"/>
                <w:highlight w:val="none"/>
                <w:u w:val="none" w:color="auto"/>
              </w:rPr>
              <w:t>本项目位于</w:t>
            </w:r>
            <w:r>
              <w:rPr>
                <w:rStyle w:val="35"/>
                <w:rFonts w:hint="default"/>
                <w:highlight w:val="none"/>
                <w:u w:val="none" w:color="auto"/>
              </w:rPr>
              <w:t>湖南省岳阳县新墙镇，湖南省湘阳食品有限公司</w:t>
            </w:r>
            <w:r>
              <w:rPr>
                <w:rStyle w:val="35"/>
                <w:rFonts w:hint="eastAsia"/>
                <w:highlight w:val="none"/>
                <w:u w:val="none" w:color="auto"/>
                <w:lang w:val="en-US" w:eastAsia="zh-CN"/>
              </w:rPr>
              <w:t>出让该地块供本项目使用</w:t>
            </w:r>
            <w:r>
              <w:rPr>
                <w:rStyle w:val="35"/>
                <w:rFonts w:hint="eastAsia"/>
                <w:highlight w:val="none"/>
                <w:u w:val="none" w:color="auto"/>
                <w:lang w:eastAsia="zh-CN"/>
              </w:rPr>
              <w:t>。</w:t>
            </w:r>
          </w:p>
          <w:p w14:paraId="0D2775E1">
            <w:pPr>
              <w:pStyle w:val="25"/>
              <w:bidi w:val="0"/>
              <w:rPr>
                <w:highlight w:val="none"/>
                <w:u w:val="none" w:color="auto"/>
              </w:rPr>
            </w:pPr>
            <w:r>
              <w:rPr>
                <w:rFonts w:hint="eastAsia"/>
                <w:color w:val="auto"/>
                <w:highlight w:val="none"/>
                <w:u w:val="none" w:color="auto"/>
                <w:lang w:val="en-US" w:eastAsia="zh-CN"/>
              </w:rPr>
              <w:t>一</w:t>
            </w:r>
            <w:r>
              <w:rPr>
                <w:color w:val="auto"/>
                <w:highlight w:val="none"/>
                <w:u w:val="none" w:color="auto"/>
              </w:rPr>
              <w:t>、项目现有污染源情况</w:t>
            </w:r>
          </w:p>
          <w:p w14:paraId="7AC74AF4">
            <w:pPr>
              <w:pStyle w:val="25"/>
              <w:bidi w:val="0"/>
              <w:rPr>
                <w:rFonts w:hint="eastAsia"/>
                <w:highlight w:val="none"/>
                <w:u w:val="none" w:color="auto"/>
                <w:lang w:eastAsia="zh-CN"/>
              </w:rPr>
            </w:pPr>
            <w:r>
              <w:rPr>
                <w:highlight w:val="none"/>
                <w:u w:val="none" w:color="auto"/>
              </w:rPr>
              <w:t>项目于202</w:t>
            </w:r>
            <w:r>
              <w:rPr>
                <w:rFonts w:hint="eastAsia"/>
                <w:highlight w:val="none"/>
                <w:u w:val="none" w:color="auto"/>
                <w:lang w:val="en-US" w:eastAsia="zh-CN"/>
              </w:rPr>
              <w:t>5</w:t>
            </w:r>
            <w:r>
              <w:rPr>
                <w:highlight w:val="none"/>
                <w:u w:val="none" w:color="auto"/>
              </w:rPr>
              <w:t>年</w:t>
            </w:r>
            <w:r>
              <w:rPr>
                <w:rFonts w:hint="eastAsia"/>
                <w:highlight w:val="none"/>
                <w:u w:val="none" w:color="auto"/>
                <w:lang w:val="en-US" w:eastAsia="zh-CN"/>
              </w:rPr>
              <w:t>9</w:t>
            </w:r>
            <w:r>
              <w:rPr>
                <w:highlight w:val="none"/>
                <w:u w:val="none" w:color="auto"/>
              </w:rPr>
              <w:t>月开工建设</w:t>
            </w:r>
            <w:r>
              <w:rPr>
                <w:rFonts w:hint="eastAsia"/>
                <w:highlight w:val="none"/>
                <w:u w:val="none" w:color="auto"/>
                <w:lang w:val="en-US" w:eastAsia="zh-CN"/>
              </w:rPr>
              <w:t>，</w:t>
            </w:r>
            <w:r>
              <w:rPr>
                <w:highlight w:val="none"/>
                <w:u w:val="none" w:color="auto"/>
              </w:rPr>
              <w:t>主体工程及主要设备已安装完毕但未投产，因</w:t>
            </w:r>
            <w:r>
              <w:rPr>
                <w:rFonts w:hint="eastAsia"/>
                <w:highlight w:val="none"/>
                <w:u w:val="none" w:color="auto"/>
                <w:lang w:val="en-US" w:eastAsia="zh-CN"/>
              </w:rPr>
              <w:t>建设单位</w:t>
            </w:r>
            <w:r>
              <w:rPr>
                <w:highlight w:val="none"/>
                <w:u w:val="none" w:color="auto"/>
              </w:rPr>
              <w:t>前期对环保审批程序认知不足，存在未批先建违法行为</w:t>
            </w:r>
            <w:r>
              <w:rPr>
                <w:rFonts w:hint="eastAsia"/>
                <w:highlight w:val="none"/>
                <w:u w:val="none" w:color="auto"/>
                <w:lang w:eastAsia="zh-CN"/>
              </w:rPr>
              <w:t>，</w:t>
            </w:r>
            <w:r>
              <w:rPr>
                <w:rFonts w:hint="eastAsia"/>
                <w:highlight w:val="none"/>
                <w:u w:val="none" w:color="auto"/>
                <w:lang w:val="en-US" w:eastAsia="zh-CN"/>
              </w:rPr>
              <w:t>企业配合相关部门</w:t>
            </w:r>
            <w:r>
              <w:rPr>
                <w:rFonts w:hint="eastAsia"/>
                <w:highlight w:val="none"/>
                <w:u w:val="none" w:color="auto"/>
                <w:lang w:eastAsia="zh-CN"/>
              </w:rPr>
              <w:t>进行现场整改。</w:t>
            </w:r>
          </w:p>
          <w:p w14:paraId="5D6BA608">
            <w:pPr>
              <w:pStyle w:val="46"/>
              <w:bidi w:val="0"/>
              <w:rPr>
                <w:rFonts w:hint="eastAsia"/>
                <w:color w:val="auto"/>
                <w:highlight w:val="none"/>
                <w:u w:val="none" w:color="auto"/>
                <w:lang w:val="en-US" w:eastAsia="zh-CN"/>
              </w:rPr>
            </w:pPr>
            <w:r>
              <w:rPr>
                <w:rFonts w:hint="eastAsia"/>
                <w:color w:val="auto"/>
                <w:highlight w:val="none"/>
                <w:u w:val="none" w:color="auto"/>
                <w:lang w:val="en-US" w:eastAsia="zh-CN"/>
              </w:rPr>
              <w:t>二、企业存在的主要环境问题及整改措施</w:t>
            </w:r>
          </w:p>
          <w:p w14:paraId="1C5E8DD6">
            <w:pPr>
              <w:pStyle w:val="25"/>
              <w:bidi w:val="0"/>
              <w:rPr>
                <w:rFonts w:hint="default"/>
                <w:color w:val="auto"/>
                <w:highlight w:val="none"/>
                <w:u w:val="none" w:color="auto"/>
                <w:lang w:val="en-US" w:eastAsia="zh-CN"/>
              </w:rPr>
            </w:pPr>
            <w:r>
              <w:rPr>
                <w:rFonts w:hint="eastAsia"/>
                <w:color w:val="auto"/>
                <w:highlight w:val="none"/>
                <w:u w:val="none" w:color="auto"/>
                <w:lang w:val="en-US" w:eastAsia="zh-CN"/>
              </w:rPr>
              <w:t>1、企业存在的问题：</w:t>
            </w:r>
          </w:p>
          <w:p w14:paraId="2CBD5733">
            <w:pPr>
              <w:pStyle w:val="25"/>
              <w:bidi w:val="0"/>
              <w:rPr>
                <w:rFonts w:hint="eastAsia"/>
                <w:color w:val="auto"/>
                <w:highlight w:val="none"/>
                <w:u w:val="none" w:color="auto"/>
                <w:lang w:val="en-US" w:eastAsia="zh-CN"/>
              </w:rPr>
            </w:pPr>
            <w:r>
              <w:rPr>
                <w:rFonts w:hint="eastAsia" w:cs="Times New Roman"/>
                <w:color w:val="auto"/>
                <w:highlight w:val="none"/>
                <w:u w:val="none" w:color="auto"/>
                <w:lang w:val="en-US" w:eastAsia="zh-CN"/>
              </w:rPr>
              <w:t>a</w:t>
            </w:r>
            <w:r>
              <w:rPr>
                <w:rFonts w:hint="eastAsia"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未按照《危险废物贮存污染控制标准》（GB18597-2023）《危险废物识别标志设置技术规范》（HJ 1276—2022）</w:t>
            </w:r>
            <w:r>
              <w:rPr>
                <w:rFonts w:hint="eastAsia"/>
                <w:color w:val="auto"/>
                <w:highlight w:val="none"/>
                <w:u w:val="none" w:color="auto"/>
                <w:lang w:val="en-US" w:eastAsia="zh-CN"/>
              </w:rPr>
              <w:t>要求建设危废暂存间；</w:t>
            </w:r>
          </w:p>
          <w:p w14:paraId="1AD973D2">
            <w:pPr>
              <w:pStyle w:val="25"/>
              <w:bidi w:val="0"/>
              <w:rPr>
                <w:rFonts w:hint="eastAsia"/>
                <w:color w:val="auto"/>
                <w:highlight w:val="none"/>
                <w:u w:val="none" w:color="auto"/>
                <w:lang w:val="en-US" w:eastAsia="zh-CN"/>
              </w:rPr>
            </w:pPr>
            <w:r>
              <w:rPr>
                <w:rFonts w:hint="eastAsia"/>
                <w:color w:val="auto"/>
                <w:highlight w:val="none"/>
                <w:u w:val="none" w:color="auto"/>
                <w:lang w:val="en-US" w:eastAsia="zh-CN"/>
              </w:rPr>
              <w:t>2、整改建议：</w:t>
            </w:r>
          </w:p>
          <w:p w14:paraId="451EBCEF">
            <w:pPr>
              <w:pStyle w:val="25"/>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a</w:t>
            </w:r>
            <w:r>
              <w:rPr>
                <w:rFonts w:hint="eastAsia" w:ascii="Times New Roman" w:hAnsi="Times New Roman"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按照《危险废物贮存污染控制标准》（GB18597-2023）《危险废物识别标志设置技术规范》（HJ 1276—2022）的要求规范</w:t>
            </w:r>
            <w:r>
              <w:rPr>
                <w:rFonts w:hint="eastAsia" w:ascii="Times New Roman" w:hAnsi="Times New Roman" w:cs="Times New Roman"/>
                <w:color w:val="auto"/>
                <w:highlight w:val="none"/>
                <w:u w:val="none" w:color="auto"/>
                <w:lang w:val="en-US" w:eastAsia="zh-CN"/>
              </w:rPr>
              <w:t>建设危废暂存间并设立标识标牌</w:t>
            </w:r>
            <w:r>
              <w:rPr>
                <w:rFonts w:hint="eastAsia" w:cs="Times New Roman"/>
                <w:color w:val="auto"/>
                <w:highlight w:val="none"/>
                <w:u w:val="none" w:color="auto"/>
                <w:lang w:val="en-US" w:eastAsia="zh-CN"/>
              </w:rPr>
              <w:t>；</w:t>
            </w:r>
          </w:p>
          <w:p w14:paraId="6663B631">
            <w:pPr>
              <w:pStyle w:val="25"/>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3、整改期限：</w:t>
            </w:r>
          </w:p>
          <w:p w14:paraId="538FA511">
            <w:pPr>
              <w:pStyle w:val="25"/>
              <w:bidi w:val="0"/>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建议整改期限时间为一个月内。</w:t>
            </w:r>
          </w:p>
        </w:tc>
      </w:tr>
    </w:tbl>
    <w:p w14:paraId="7EAA32FD">
      <w:pPr>
        <w:numPr>
          <w:ilvl w:val="0"/>
          <w:numId w:val="0"/>
        </w:numPr>
        <w:tabs>
          <w:tab w:val="left" w:pos="1021"/>
        </w:tabs>
        <w:jc w:val="center"/>
        <w:rPr>
          <w:rFonts w:hint="default" w:ascii="Times New Roman" w:hAnsi="Times New Roman" w:cs="Times New Roman"/>
          <w:b/>
          <w:bCs/>
          <w:color w:val="auto"/>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1" w:name="_Toc4769"/>
    </w:p>
    <w:p w14:paraId="34374A6F">
      <w:pPr>
        <w:pStyle w:val="2"/>
        <w:bidi w:val="0"/>
        <w:jc w:val="center"/>
        <w:rPr>
          <w:rFonts w:hint="default"/>
          <w:highlight w:val="none"/>
          <w:u w:val="none" w:color="auto"/>
          <w:lang w:val="en-US" w:eastAsia="zh-CN"/>
        </w:rPr>
      </w:pPr>
      <w:bookmarkStart w:id="52" w:name="_Toc23005"/>
      <w:bookmarkStart w:id="53" w:name="_Toc16318"/>
      <w:r>
        <w:rPr>
          <w:rFonts w:hint="default"/>
          <w:highlight w:val="none"/>
          <w:u w:val="none" w:color="auto"/>
          <w:lang w:val="en-US" w:eastAsia="zh-CN"/>
        </w:rPr>
        <w:t>三、区域环境质量现状、环境保护目标及评价标准</w:t>
      </w:r>
      <w:bookmarkEnd w:id="51"/>
      <w:bookmarkEnd w:id="52"/>
      <w:bookmarkEnd w:id="53"/>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098"/>
      </w:tblGrid>
      <w:tr w14:paraId="6C8A4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48" w:type="pct"/>
            <w:tcBorders>
              <w:tl2br w:val="nil"/>
              <w:tr2bl w:val="nil"/>
            </w:tcBorders>
            <w:noWrap w:val="0"/>
            <w:vAlign w:val="center"/>
          </w:tcPr>
          <w:p w14:paraId="5AC2F55A">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区域</w:t>
            </w:r>
          </w:p>
          <w:p w14:paraId="24A9F3D4">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14D834C9">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质量</w:t>
            </w:r>
          </w:p>
          <w:p w14:paraId="43A22767">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现状</w:t>
            </w:r>
          </w:p>
        </w:tc>
        <w:tc>
          <w:tcPr>
            <w:tcW w:w="4751" w:type="pct"/>
            <w:tcBorders>
              <w:tl2br w:val="nil"/>
              <w:tr2bl w:val="nil"/>
            </w:tcBorders>
            <w:noWrap w:val="0"/>
            <w:vAlign w:val="center"/>
          </w:tcPr>
          <w:p w14:paraId="23F44F54">
            <w:pPr>
              <w:pStyle w:val="2"/>
              <w:bidi w:val="0"/>
              <w:rPr>
                <w:rFonts w:hint="default" w:ascii="Times New Roman" w:hAnsi="Times New Roman" w:eastAsia="宋体" w:cs="Times New Roman"/>
                <w:color w:val="auto"/>
                <w:highlight w:val="none"/>
                <w:u w:val="none" w:color="auto"/>
                <w:lang w:val="en-US" w:eastAsia="zh-CN"/>
              </w:rPr>
            </w:pPr>
            <w:bookmarkStart w:id="54" w:name="_Toc16810"/>
            <w:bookmarkStart w:id="55" w:name="_Toc14884"/>
            <w:bookmarkStart w:id="56" w:name="_Toc26547"/>
            <w:bookmarkStart w:id="57" w:name="_Toc6471"/>
            <w:bookmarkStart w:id="58" w:name="_Toc6840"/>
            <w:bookmarkStart w:id="59" w:name="_Toc8168"/>
            <w:bookmarkStart w:id="60" w:name="_Toc6662"/>
            <w:bookmarkStart w:id="61" w:name="_Toc21360"/>
            <w:bookmarkStart w:id="62" w:name="_Toc20223"/>
            <w:bookmarkStart w:id="63" w:name="_Toc24220"/>
            <w:bookmarkStart w:id="64" w:name="_Toc203"/>
            <w:bookmarkStart w:id="65" w:name="_Toc204"/>
            <w:r>
              <w:rPr>
                <w:rFonts w:hint="default" w:ascii="Times New Roman" w:hAnsi="Times New Roman" w:eastAsia="宋体" w:cs="Times New Roman"/>
                <w:color w:val="auto"/>
                <w:highlight w:val="none"/>
                <w:u w:val="none" w:color="auto"/>
                <w:lang w:val="en-US" w:eastAsia="zh-CN"/>
              </w:rPr>
              <w:t>一、大气环境</w:t>
            </w:r>
            <w:bookmarkEnd w:id="54"/>
            <w:bookmarkEnd w:id="55"/>
            <w:bookmarkEnd w:id="56"/>
            <w:bookmarkEnd w:id="57"/>
            <w:bookmarkEnd w:id="58"/>
            <w:bookmarkEnd w:id="59"/>
            <w:bookmarkEnd w:id="60"/>
            <w:bookmarkEnd w:id="61"/>
            <w:bookmarkEnd w:id="62"/>
            <w:bookmarkEnd w:id="63"/>
            <w:bookmarkEnd w:id="64"/>
            <w:bookmarkEnd w:id="65"/>
          </w:p>
          <w:p w14:paraId="0ABD090E">
            <w:pPr>
              <w:pStyle w:val="25"/>
              <w:bidi w:val="0"/>
              <w:rPr>
                <w:rFonts w:hint="default"/>
                <w:color w:val="auto"/>
                <w:highlight w:val="none"/>
                <w:u w:val="none" w:color="auto"/>
                <w:lang w:val="en-US" w:eastAsia="zh-CN"/>
              </w:rPr>
            </w:pPr>
            <w:r>
              <w:rPr>
                <w:rFonts w:hint="default"/>
                <w:color w:val="auto"/>
                <w:highlight w:val="none"/>
                <w:u w:val="none" w:color="auto"/>
                <w:lang w:val="en-US" w:eastAsia="zh-CN"/>
              </w:rPr>
              <w:t>（1）基本污染物</w:t>
            </w:r>
          </w:p>
          <w:p w14:paraId="6E1952AF">
            <w:pPr>
              <w:spacing w:line="360" w:lineRule="auto"/>
              <w:ind w:firstLine="480" w:firstLineChars="200"/>
              <w:contextualSpacing/>
              <w:rPr>
                <w:color w:val="auto"/>
                <w:sz w:val="24"/>
                <w:szCs w:val="20"/>
                <w:highlight w:val="none"/>
                <w:u w:val="none" w:color="auto"/>
              </w:rPr>
            </w:pPr>
            <w:r>
              <w:rPr>
                <w:rFonts w:hint="eastAsia"/>
                <w:color w:val="auto"/>
                <w:sz w:val="24"/>
                <w:szCs w:val="20"/>
                <w:highlight w:val="none"/>
                <w:u w:val="none" w:color="auto"/>
              </w:rPr>
              <w:t>本项目所在区域环境空气功能区划为二类区，项目所在区域执行《环境空气质量标准》（</w:t>
            </w:r>
            <w:r>
              <w:rPr>
                <w:color w:val="auto"/>
                <w:sz w:val="24"/>
                <w:szCs w:val="20"/>
                <w:highlight w:val="none"/>
                <w:u w:val="none" w:color="auto"/>
              </w:rPr>
              <w:t>GB3095-2012</w:t>
            </w:r>
            <w:r>
              <w:rPr>
                <w:rFonts w:hint="eastAsia"/>
                <w:color w:val="auto"/>
                <w:sz w:val="24"/>
                <w:szCs w:val="20"/>
                <w:highlight w:val="none"/>
                <w:u w:val="none" w:color="auto"/>
              </w:rPr>
              <w:t>）中二级标准。根据《环境影响评价技术导则</w:t>
            </w:r>
            <w:r>
              <w:rPr>
                <w:color w:val="auto"/>
                <w:sz w:val="24"/>
                <w:szCs w:val="20"/>
                <w:highlight w:val="none"/>
                <w:u w:val="none" w:color="auto"/>
              </w:rPr>
              <w:t>-</w:t>
            </w:r>
            <w:r>
              <w:rPr>
                <w:rFonts w:hint="eastAsia"/>
                <w:color w:val="auto"/>
                <w:sz w:val="24"/>
                <w:szCs w:val="20"/>
                <w:highlight w:val="none"/>
                <w:u w:val="none" w:color="auto"/>
              </w:rPr>
              <w:t>大气环境》（</w:t>
            </w:r>
            <w:r>
              <w:rPr>
                <w:color w:val="auto"/>
                <w:sz w:val="24"/>
                <w:szCs w:val="20"/>
                <w:highlight w:val="none"/>
                <w:u w:val="none" w:color="auto"/>
              </w:rPr>
              <w:t>HJ2.2-2018</w:t>
            </w:r>
            <w:r>
              <w:rPr>
                <w:rFonts w:hint="eastAsia"/>
                <w:color w:val="auto"/>
                <w:sz w:val="24"/>
                <w:szCs w:val="20"/>
                <w:highlight w:val="none"/>
                <w:u w:val="none" w:color="auto"/>
              </w:rPr>
              <w:t>）中</w:t>
            </w:r>
            <w:r>
              <w:rPr>
                <w:color w:val="auto"/>
                <w:sz w:val="24"/>
                <w:szCs w:val="20"/>
                <w:highlight w:val="none"/>
                <w:u w:val="none" w:color="auto"/>
              </w:rPr>
              <w:t>“5.5</w:t>
            </w:r>
            <w:r>
              <w:rPr>
                <w:rFonts w:hint="eastAsia"/>
                <w:color w:val="auto"/>
                <w:sz w:val="24"/>
                <w:szCs w:val="20"/>
                <w:highlight w:val="none"/>
                <w:u w:val="none" w:color="auto"/>
              </w:rPr>
              <w:t>评价基准年筛选依据评价所需环境空气质量现状、气象资料等数据的可获得性、数据质量、代表性等因素，选择近</w:t>
            </w:r>
            <w:r>
              <w:rPr>
                <w:color w:val="auto"/>
                <w:sz w:val="24"/>
                <w:szCs w:val="20"/>
                <w:highlight w:val="none"/>
                <w:u w:val="none" w:color="auto"/>
              </w:rPr>
              <w:t>3</w:t>
            </w:r>
            <w:r>
              <w:rPr>
                <w:rFonts w:hint="eastAsia"/>
                <w:color w:val="auto"/>
                <w:sz w:val="24"/>
                <w:szCs w:val="20"/>
                <w:highlight w:val="none"/>
                <w:u w:val="none" w:color="auto"/>
              </w:rPr>
              <w:t>年中数据相对完整的</w:t>
            </w:r>
            <w:r>
              <w:rPr>
                <w:color w:val="auto"/>
                <w:sz w:val="24"/>
                <w:szCs w:val="20"/>
                <w:highlight w:val="none"/>
                <w:u w:val="none" w:color="auto"/>
              </w:rPr>
              <w:t>1</w:t>
            </w:r>
            <w:r>
              <w:rPr>
                <w:rFonts w:hint="eastAsia"/>
                <w:color w:val="auto"/>
                <w:sz w:val="24"/>
                <w:szCs w:val="20"/>
                <w:highlight w:val="none"/>
                <w:u w:val="none" w:color="auto"/>
              </w:rPr>
              <w:t>个日历年作为评价基准年</w:t>
            </w:r>
            <w:r>
              <w:rPr>
                <w:color w:val="auto"/>
                <w:sz w:val="24"/>
                <w:szCs w:val="20"/>
                <w:highlight w:val="none"/>
                <w:u w:val="none" w:color="auto"/>
              </w:rPr>
              <w:t>”</w:t>
            </w:r>
            <w:r>
              <w:rPr>
                <w:rFonts w:hint="eastAsia"/>
                <w:color w:val="auto"/>
                <w:sz w:val="24"/>
                <w:szCs w:val="20"/>
                <w:highlight w:val="none"/>
                <w:u w:val="none" w:color="auto"/>
              </w:rPr>
              <w:t>、</w:t>
            </w:r>
            <w:r>
              <w:rPr>
                <w:color w:val="auto"/>
                <w:sz w:val="24"/>
                <w:szCs w:val="20"/>
                <w:highlight w:val="none"/>
                <w:u w:val="none" w:color="auto"/>
              </w:rPr>
              <w:t>“6.2.1.1</w:t>
            </w:r>
            <w:r>
              <w:rPr>
                <w:rFonts w:hint="eastAsia"/>
                <w:color w:val="auto"/>
                <w:sz w:val="24"/>
                <w:szCs w:val="20"/>
                <w:highlight w:val="none"/>
                <w:u w:val="none" w:color="auto"/>
              </w:rPr>
              <w:t>项目所在区域达标判定，优先采用国家或生态环境主管部门发布的平均基准年环境质量公告或环境质量报告中的数据或结论</w:t>
            </w:r>
            <w:r>
              <w:rPr>
                <w:color w:val="auto"/>
                <w:sz w:val="24"/>
                <w:szCs w:val="20"/>
                <w:highlight w:val="none"/>
                <w:u w:val="none" w:color="auto"/>
              </w:rPr>
              <w:t>”</w:t>
            </w:r>
            <w:r>
              <w:rPr>
                <w:rFonts w:hint="eastAsia"/>
                <w:color w:val="auto"/>
                <w:sz w:val="24"/>
                <w:szCs w:val="20"/>
                <w:highlight w:val="none"/>
                <w:u w:val="none" w:color="auto"/>
              </w:rPr>
              <w:t>。</w:t>
            </w:r>
          </w:p>
          <w:p w14:paraId="2BCC12E6">
            <w:pPr>
              <w:spacing w:line="360" w:lineRule="auto"/>
              <w:ind w:firstLine="480" w:firstLineChars="200"/>
              <w:contextualSpacing/>
              <w:rPr>
                <w:color w:val="auto"/>
                <w:sz w:val="24"/>
                <w:highlight w:val="none"/>
                <w:u w:val="none" w:color="auto"/>
              </w:rPr>
            </w:pPr>
            <w:r>
              <w:rPr>
                <w:rFonts w:hint="eastAsia"/>
                <w:color w:val="auto"/>
                <w:sz w:val="24"/>
                <w:highlight w:val="none"/>
                <w:u w:val="none" w:color="auto"/>
              </w:rPr>
              <w:t>本项目位于岳阳县，项目所在区域达标区判定引用</w:t>
            </w:r>
            <w:r>
              <w:rPr>
                <w:rFonts w:hint="eastAsia"/>
                <w:color w:val="auto"/>
                <w:sz w:val="24"/>
                <w:highlight w:val="none"/>
                <w:u w:val="none" w:color="auto"/>
                <w:lang w:eastAsia="zh-CN"/>
              </w:rPr>
              <w:t>岳阳市生态环境局发布的《</w:t>
            </w:r>
            <w:r>
              <w:rPr>
                <w:rFonts w:hint="eastAsia"/>
                <w:color w:val="auto"/>
                <w:sz w:val="24"/>
                <w:highlight w:val="none"/>
                <w:u w:val="none" w:color="auto"/>
              </w:rPr>
              <w:t>岳阳市202</w:t>
            </w:r>
            <w:r>
              <w:rPr>
                <w:rFonts w:hint="eastAsia"/>
                <w:color w:val="auto"/>
                <w:sz w:val="24"/>
                <w:highlight w:val="none"/>
                <w:u w:val="none" w:color="auto"/>
                <w:lang w:val="en-US" w:eastAsia="zh-CN"/>
              </w:rPr>
              <w:t>4</w:t>
            </w:r>
            <w:r>
              <w:rPr>
                <w:rFonts w:hint="eastAsia"/>
                <w:color w:val="auto"/>
                <w:sz w:val="24"/>
                <w:highlight w:val="none"/>
                <w:u w:val="none" w:color="auto"/>
              </w:rPr>
              <w:t>年度生态环境质量公报</w:t>
            </w:r>
            <w:r>
              <w:rPr>
                <w:rFonts w:hint="eastAsia"/>
                <w:color w:val="auto"/>
                <w:sz w:val="24"/>
                <w:highlight w:val="none"/>
                <w:u w:val="none" w:color="auto"/>
                <w:lang w:eastAsia="zh-CN"/>
              </w:rPr>
              <w:t>》中的岳阳县数据</w:t>
            </w:r>
            <w:r>
              <w:rPr>
                <w:rFonts w:hint="eastAsia"/>
                <w:color w:val="auto"/>
                <w:sz w:val="24"/>
                <w:highlight w:val="none"/>
                <w:u w:val="none" w:color="auto"/>
              </w:rPr>
              <w:t>进行评价</w:t>
            </w:r>
            <w:r>
              <w:rPr>
                <w:rFonts w:hint="eastAsia"/>
                <w:color w:val="auto"/>
                <w:sz w:val="24"/>
                <w:highlight w:val="none"/>
                <w:u w:val="none" w:color="auto"/>
                <w:lang w:eastAsia="zh-CN"/>
              </w:rPr>
              <w:t>，</w:t>
            </w:r>
            <w:r>
              <w:rPr>
                <w:color w:val="auto"/>
                <w:sz w:val="24"/>
                <w:highlight w:val="none"/>
                <w:u w:val="none" w:color="auto"/>
              </w:rPr>
              <w:t>202</w:t>
            </w:r>
            <w:r>
              <w:rPr>
                <w:rFonts w:hint="eastAsia"/>
                <w:color w:val="auto"/>
                <w:sz w:val="24"/>
                <w:highlight w:val="none"/>
                <w:u w:val="none" w:color="auto"/>
                <w:lang w:val="en-US" w:eastAsia="zh-CN"/>
              </w:rPr>
              <w:t>4</w:t>
            </w:r>
            <w:r>
              <w:rPr>
                <w:color w:val="auto"/>
                <w:sz w:val="24"/>
                <w:highlight w:val="none"/>
                <w:u w:val="none" w:color="auto"/>
              </w:rPr>
              <w:t>年岳阳县空气环境质量监测数据</w:t>
            </w:r>
            <w:r>
              <w:rPr>
                <w:rFonts w:hint="eastAsia"/>
                <w:color w:val="auto"/>
                <w:sz w:val="24"/>
                <w:highlight w:val="none"/>
                <w:u w:val="none" w:color="auto"/>
                <w:lang w:val="en-US" w:eastAsia="zh-CN"/>
              </w:rPr>
              <w:t>见</w:t>
            </w:r>
            <w:r>
              <w:rPr>
                <w:color w:val="auto"/>
                <w:sz w:val="24"/>
                <w:highlight w:val="none"/>
                <w:u w:val="none" w:color="auto"/>
              </w:rPr>
              <w:t>下表3-1。</w:t>
            </w:r>
          </w:p>
          <w:p w14:paraId="14F70B22">
            <w:pPr>
              <w:pStyle w:val="6"/>
              <w:jc w:val="center"/>
              <w:rPr>
                <w:b/>
                <w:bCs/>
                <w:color w:val="auto"/>
                <w:highlight w:val="none"/>
                <w:u w:val="none" w:color="auto"/>
              </w:rPr>
            </w:pPr>
            <w:r>
              <w:rPr>
                <w:rFonts w:ascii="Times New Roman" w:hAnsi="Times New Roman" w:eastAsia="宋体" w:cs="Times New Roman"/>
                <w:b/>
                <w:bCs/>
                <w:color w:val="auto"/>
                <w:kern w:val="0"/>
                <w:sz w:val="21"/>
                <w:szCs w:val="20"/>
                <w:highlight w:val="none"/>
                <w:u w:val="none" w:color="auto"/>
                <w:lang w:val="en-US" w:eastAsia="zh-CN" w:bidi="ar-SA"/>
              </w:rPr>
              <w:t xml:space="preserve">表3-1 </w:t>
            </w:r>
            <w:r>
              <w:rPr>
                <w:rFonts w:hint="eastAsia" w:cs="Times New Roman"/>
                <w:b/>
                <w:bCs/>
                <w:color w:val="auto"/>
                <w:kern w:val="0"/>
                <w:sz w:val="21"/>
                <w:szCs w:val="20"/>
                <w:highlight w:val="none"/>
                <w:u w:val="none" w:color="auto"/>
                <w:lang w:val="en-US" w:eastAsia="zh-CN" w:bidi="ar-SA"/>
              </w:rPr>
              <w:t xml:space="preserve">  </w:t>
            </w:r>
            <w:r>
              <w:rPr>
                <w:rFonts w:hint="eastAsia" w:ascii="Times New Roman" w:hAnsi="Times New Roman" w:eastAsia="宋体" w:cs="Times New Roman"/>
                <w:b/>
                <w:bCs/>
                <w:color w:val="auto"/>
                <w:kern w:val="0"/>
                <w:sz w:val="21"/>
                <w:szCs w:val="20"/>
                <w:highlight w:val="none"/>
                <w:u w:val="none" w:color="auto"/>
                <w:lang w:val="en-US" w:eastAsia="zh-CN" w:bidi="ar-SA"/>
              </w:rPr>
              <w:t>202</w:t>
            </w:r>
            <w:r>
              <w:rPr>
                <w:rFonts w:hint="eastAsia" w:cs="Times New Roman"/>
                <w:b/>
                <w:bCs/>
                <w:color w:val="auto"/>
                <w:kern w:val="0"/>
                <w:sz w:val="21"/>
                <w:szCs w:val="20"/>
                <w:highlight w:val="none"/>
                <w:u w:val="none" w:color="auto"/>
                <w:lang w:val="en-US" w:eastAsia="zh-CN" w:bidi="ar-SA"/>
              </w:rPr>
              <w:t>4</w:t>
            </w:r>
            <w:r>
              <w:rPr>
                <w:rFonts w:hint="eastAsia" w:ascii="Times New Roman" w:hAnsi="Times New Roman" w:eastAsia="宋体" w:cs="Times New Roman"/>
                <w:b/>
                <w:bCs/>
                <w:color w:val="auto"/>
                <w:kern w:val="0"/>
                <w:sz w:val="21"/>
                <w:szCs w:val="20"/>
                <w:highlight w:val="none"/>
                <w:u w:val="none" w:color="auto"/>
                <w:lang w:val="en-US" w:eastAsia="zh-CN" w:bidi="ar-SA"/>
              </w:rPr>
              <w:t>年岳阳县</w:t>
            </w:r>
            <w:r>
              <w:rPr>
                <w:b/>
                <w:bCs/>
                <w:color w:val="auto"/>
                <w:highlight w:val="none"/>
                <w:u w:val="none" w:color="auto"/>
              </w:rPr>
              <w:t>区域空气质量现状评价表</w:t>
            </w:r>
          </w:p>
          <w:tbl>
            <w:tblPr>
              <w:tblStyle w:val="18"/>
              <w:tblW w:w="79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728"/>
              <w:gridCol w:w="815"/>
              <w:gridCol w:w="1192"/>
              <w:gridCol w:w="1235"/>
              <w:gridCol w:w="1038"/>
              <w:gridCol w:w="1156"/>
            </w:tblGrid>
            <w:tr w14:paraId="61415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ign w:val="center"/>
                </w:tcPr>
                <w:p w14:paraId="5E102A92">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评价因子</w:t>
                  </w:r>
                </w:p>
              </w:tc>
              <w:tc>
                <w:tcPr>
                  <w:tcW w:w="1754" w:type="dxa"/>
                  <w:noWrap/>
                  <w:vAlign w:val="center"/>
                </w:tcPr>
                <w:p w14:paraId="4B1028CF">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评均时段</w:t>
                  </w:r>
                </w:p>
              </w:tc>
              <w:tc>
                <w:tcPr>
                  <w:tcW w:w="825" w:type="dxa"/>
                  <w:noWrap/>
                  <w:vAlign w:val="center"/>
                </w:tcPr>
                <w:p w14:paraId="1FABCDDE">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百分位</w:t>
                  </w:r>
                </w:p>
              </w:tc>
              <w:tc>
                <w:tcPr>
                  <w:tcW w:w="1209" w:type="dxa"/>
                  <w:noWrap/>
                  <w:vAlign w:val="center"/>
                </w:tcPr>
                <w:p w14:paraId="70FDB9E6">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现状浓度/μg/m</w:t>
                  </w:r>
                  <w:r>
                    <w:rPr>
                      <w:rFonts w:ascii="Times New Roman" w:hAnsi="Times New Roman" w:eastAsia="宋体" w:cs="Times New Roman"/>
                      <w:b/>
                      <w:bCs/>
                      <w:szCs w:val="21"/>
                      <w:highlight w:val="none"/>
                      <w:u w:val="none" w:color="auto"/>
                      <w:vertAlign w:val="superscript"/>
                    </w:rPr>
                    <w:t>3</w:t>
                  </w:r>
                </w:p>
              </w:tc>
              <w:tc>
                <w:tcPr>
                  <w:tcW w:w="1252" w:type="dxa"/>
                  <w:noWrap/>
                  <w:vAlign w:val="center"/>
                </w:tcPr>
                <w:p w14:paraId="63EBD9F6">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标准浓度/μg/m</w:t>
                  </w:r>
                  <w:r>
                    <w:rPr>
                      <w:rFonts w:ascii="Times New Roman" w:hAnsi="Times New Roman" w:eastAsia="宋体" w:cs="Times New Roman"/>
                      <w:b/>
                      <w:bCs/>
                      <w:szCs w:val="21"/>
                      <w:highlight w:val="none"/>
                      <w:u w:val="none" w:color="auto"/>
                      <w:vertAlign w:val="superscript"/>
                    </w:rPr>
                    <w:t>3</w:t>
                  </w:r>
                </w:p>
              </w:tc>
              <w:tc>
                <w:tcPr>
                  <w:tcW w:w="1052" w:type="dxa"/>
                  <w:noWrap/>
                  <w:vAlign w:val="center"/>
                </w:tcPr>
                <w:p w14:paraId="419636DF">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占标率/%</w:t>
                  </w:r>
                </w:p>
              </w:tc>
              <w:tc>
                <w:tcPr>
                  <w:tcW w:w="1172" w:type="dxa"/>
                  <w:noWrap/>
                  <w:vAlign w:val="center"/>
                </w:tcPr>
                <w:p w14:paraId="6A21D907">
                  <w:pPr>
                    <w:adjustRightInd w:val="0"/>
                    <w:snapToGrid w:val="0"/>
                    <w:jc w:val="center"/>
                    <w:rPr>
                      <w:rFonts w:ascii="Times New Roman" w:hAnsi="Times New Roman" w:eastAsia="宋体" w:cs="Times New Roman"/>
                      <w:b/>
                      <w:bCs/>
                      <w:szCs w:val="21"/>
                      <w:highlight w:val="none"/>
                      <w:u w:val="none" w:color="auto"/>
                    </w:rPr>
                  </w:pPr>
                  <w:r>
                    <w:rPr>
                      <w:rFonts w:ascii="Times New Roman" w:hAnsi="Times New Roman" w:eastAsia="宋体" w:cs="Times New Roman"/>
                      <w:b/>
                      <w:bCs/>
                      <w:szCs w:val="21"/>
                      <w:highlight w:val="none"/>
                      <w:u w:val="none" w:color="auto"/>
                    </w:rPr>
                    <w:t>达标情况</w:t>
                  </w:r>
                </w:p>
              </w:tc>
            </w:tr>
            <w:tr w14:paraId="7DCFE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6" w:type="dxa"/>
                  <w:noWrap/>
                  <w:vAlign w:val="center"/>
                </w:tcPr>
                <w:p w14:paraId="694D8366">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SO</w:t>
                  </w:r>
                  <w:r>
                    <w:rPr>
                      <w:rFonts w:ascii="Times New Roman" w:hAnsi="Times New Roman" w:eastAsia="宋体" w:cs="Times New Roman"/>
                      <w:szCs w:val="21"/>
                      <w:highlight w:val="none"/>
                      <w:u w:val="none" w:color="auto"/>
                      <w:vertAlign w:val="subscript"/>
                    </w:rPr>
                    <w:t>2</w:t>
                  </w:r>
                </w:p>
              </w:tc>
              <w:tc>
                <w:tcPr>
                  <w:tcW w:w="1754" w:type="dxa"/>
                  <w:noWrap/>
                  <w:vAlign w:val="center"/>
                </w:tcPr>
                <w:p w14:paraId="0680CBC3">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年平均浓度</w:t>
                  </w:r>
                </w:p>
              </w:tc>
              <w:tc>
                <w:tcPr>
                  <w:tcW w:w="825" w:type="dxa"/>
                  <w:noWrap/>
                  <w:vAlign w:val="center"/>
                </w:tcPr>
                <w:p w14:paraId="247B19E1">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w:t>
                  </w:r>
                </w:p>
              </w:tc>
              <w:tc>
                <w:tcPr>
                  <w:tcW w:w="1209" w:type="dxa"/>
                  <w:noWrap/>
                  <w:vAlign w:val="center"/>
                </w:tcPr>
                <w:p w14:paraId="04B3BD8A">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6</w:t>
                  </w:r>
                </w:p>
              </w:tc>
              <w:tc>
                <w:tcPr>
                  <w:tcW w:w="1252" w:type="dxa"/>
                  <w:noWrap/>
                  <w:vAlign w:val="center"/>
                </w:tcPr>
                <w:p w14:paraId="5F3A680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60</w:t>
                  </w:r>
                </w:p>
              </w:tc>
              <w:tc>
                <w:tcPr>
                  <w:tcW w:w="1052" w:type="dxa"/>
                  <w:noWrap/>
                  <w:vAlign w:val="center"/>
                </w:tcPr>
                <w:p w14:paraId="1B835CAF">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10</w:t>
                  </w:r>
                </w:p>
              </w:tc>
              <w:tc>
                <w:tcPr>
                  <w:tcW w:w="1172" w:type="dxa"/>
                  <w:noWrap/>
                  <w:vAlign w:val="center"/>
                </w:tcPr>
                <w:p w14:paraId="71419A09">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r w14:paraId="5E68B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6" w:type="dxa"/>
                  <w:noWrap/>
                  <w:vAlign w:val="center"/>
                </w:tcPr>
                <w:p w14:paraId="30267A22">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NO</w:t>
                  </w:r>
                  <w:r>
                    <w:rPr>
                      <w:rFonts w:ascii="Times New Roman" w:hAnsi="Times New Roman" w:eastAsia="宋体" w:cs="Times New Roman"/>
                      <w:szCs w:val="21"/>
                      <w:highlight w:val="none"/>
                      <w:u w:val="none" w:color="auto"/>
                      <w:vertAlign w:val="subscript"/>
                    </w:rPr>
                    <w:t>2</w:t>
                  </w:r>
                </w:p>
              </w:tc>
              <w:tc>
                <w:tcPr>
                  <w:tcW w:w="1754" w:type="dxa"/>
                  <w:noWrap/>
                  <w:vAlign w:val="center"/>
                </w:tcPr>
                <w:p w14:paraId="0EC92F36">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年平均浓度</w:t>
                  </w:r>
                </w:p>
              </w:tc>
              <w:tc>
                <w:tcPr>
                  <w:tcW w:w="825" w:type="dxa"/>
                  <w:noWrap/>
                  <w:vAlign w:val="center"/>
                </w:tcPr>
                <w:p w14:paraId="50D9ACF3">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w:t>
                  </w:r>
                </w:p>
              </w:tc>
              <w:tc>
                <w:tcPr>
                  <w:tcW w:w="1209" w:type="dxa"/>
                  <w:noWrap/>
                  <w:vAlign w:val="center"/>
                </w:tcPr>
                <w:p w14:paraId="4C68FCDC">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16</w:t>
                  </w:r>
                </w:p>
              </w:tc>
              <w:tc>
                <w:tcPr>
                  <w:tcW w:w="1252" w:type="dxa"/>
                  <w:noWrap/>
                  <w:vAlign w:val="center"/>
                </w:tcPr>
                <w:p w14:paraId="5C8165E7">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40</w:t>
                  </w:r>
                </w:p>
              </w:tc>
              <w:tc>
                <w:tcPr>
                  <w:tcW w:w="1052" w:type="dxa"/>
                  <w:noWrap/>
                  <w:vAlign w:val="center"/>
                </w:tcPr>
                <w:p w14:paraId="6461E86B">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40</w:t>
                  </w:r>
                </w:p>
              </w:tc>
              <w:tc>
                <w:tcPr>
                  <w:tcW w:w="1172" w:type="dxa"/>
                  <w:noWrap/>
                  <w:vAlign w:val="center"/>
                </w:tcPr>
                <w:p w14:paraId="515BEF0D">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r w14:paraId="01CB5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6" w:type="dxa"/>
                  <w:noWrap/>
                  <w:vAlign w:val="center"/>
                </w:tcPr>
                <w:p w14:paraId="38CE4026">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CO</w:t>
                  </w:r>
                </w:p>
              </w:tc>
              <w:tc>
                <w:tcPr>
                  <w:tcW w:w="1754" w:type="dxa"/>
                  <w:noWrap/>
                  <w:vAlign w:val="center"/>
                </w:tcPr>
                <w:p w14:paraId="67DFEF5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百分位上日平均</w:t>
                  </w:r>
                </w:p>
              </w:tc>
              <w:tc>
                <w:tcPr>
                  <w:tcW w:w="825" w:type="dxa"/>
                  <w:noWrap/>
                  <w:vAlign w:val="center"/>
                </w:tcPr>
                <w:p w14:paraId="1F7FE704">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95</w:t>
                  </w:r>
                </w:p>
              </w:tc>
              <w:tc>
                <w:tcPr>
                  <w:tcW w:w="1209" w:type="dxa"/>
                  <w:noWrap/>
                  <w:vAlign w:val="center"/>
                </w:tcPr>
                <w:p w14:paraId="1F01BC00">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1000</w:t>
                  </w:r>
                </w:p>
              </w:tc>
              <w:tc>
                <w:tcPr>
                  <w:tcW w:w="1252" w:type="dxa"/>
                  <w:noWrap/>
                  <w:vAlign w:val="center"/>
                </w:tcPr>
                <w:p w14:paraId="78317F75">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4000</w:t>
                  </w:r>
                </w:p>
              </w:tc>
              <w:tc>
                <w:tcPr>
                  <w:tcW w:w="1052" w:type="dxa"/>
                  <w:noWrap/>
                  <w:vAlign w:val="center"/>
                </w:tcPr>
                <w:p w14:paraId="2839CC79">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25</w:t>
                  </w:r>
                </w:p>
              </w:tc>
              <w:tc>
                <w:tcPr>
                  <w:tcW w:w="1172" w:type="dxa"/>
                  <w:noWrap/>
                  <w:vAlign w:val="center"/>
                </w:tcPr>
                <w:p w14:paraId="3F5DC2FE">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r w14:paraId="4A4BF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6" w:type="dxa"/>
                  <w:noWrap/>
                  <w:vAlign w:val="center"/>
                </w:tcPr>
                <w:p w14:paraId="4C728995">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臭氧</w:t>
                  </w:r>
                </w:p>
              </w:tc>
              <w:tc>
                <w:tcPr>
                  <w:tcW w:w="1754" w:type="dxa"/>
                  <w:noWrap/>
                  <w:vAlign w:val="center"/>
                </w:tcPr>
                <w:p w14:paraId="57C9D75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8h平均质量浓度</w:t>
                  </w:r>
                </w:p>
              </w:tc>
              <w:tc>
                <w:tcPr>
                  <w:tcW w:w="825" w:type="dxa"/>
                  <w:noWrap/>
                  <w:vAlign w:val="center"/>
                </w:tcPr>
                <w:p w14:paraId="2AE6C35D">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90</w:t>
                  </w:r>
                </w:p>
              </w:tc>
              <w:tc>
                <w:tcPr>
                  <w:tcW w:w="1209" w:type="dxa"/>
                  <w:noWrap/>
                  <w:vAlign w:val="center"/>
                </w:tcPr>
                <w:p w14:paraId="5D9BC75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142</w:t>
                  </w:r>
                </w:p>
              </w:tc>
              <w:tc>
                <w:tcPr>
                  <w:tcW w:w="1252" w:type="dxa"/>
                  <w:noWrap/>
                  <w:vAlign w:val="center"/>
                </w:tcPr>
                <w:p w14:paraId="6ACF69F4">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160</w:t>
                  </w:r>
                </w:p>
              </w:tc>
              <w:tc>
                <w:tcPr>
                  <w:tcW w:w="1052" w:type="dxa"/>
                  <w:noWrap/>
                  <w:vAlign w:val="center"/>
                </w:tcPr>
                <w:p w14:paraId="21AFA381">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88.8</w:t>
                  </w:r>
                </w:p>
              </w:tc>
              <w:tc>
                <w:tcPr>
                  <w:tcW w:w="1172" w:type="dxa"/>
                  <w:noWrap/>
                  <w:vAlign w:val="center"/>
                </w:tcPr>
                <w:p w14:paraId="39E6FE2B">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r w14:paraId="6F90C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96" w:type="dxa"/>
                  <w:noWrap/>
                  <w:vAlign w:val="center"/>
                </w:tcPr>
                <w:p w14:paraId="5EB58F09">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PM</w:t>
                  </w:r>
                  <w:r>
                    <w:rPr>
                      <w:rFonts w:ascii="Times New Roman" w:hAnsi="Times New Roman" w:eastAsia="宋体" w:cs="Times New Roman"/>
                      <w:szCs w:val="21"/>
                      <w:highlight w:val="none"/>
                      <w:u w:val="none" w:color="auto"/>
                      <w:vertAlign w:val="subscript"/>
                    </w:rPr>
                    <w:t>2.5</w:t>
                  </w:r>
                </w:p>
              </w:tc>
              <w:tc>
                <w:tcPr>
                  <w:tcW w:w="1754" w:type="dxa"/>
                  <w:noWrap/>
                  <w:vAlign w:val="center"/>
                </w:tcPr>
                <w:p w14:paraId="62BE3F6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年平均浓度</w:t>
                  </w:r>
                </w:p>
              </w:tc>
              <w:tc>
                <w:tcPr>
                  <w:tcW w:w="825" w:type="dxa"/>
                  <w:noWrap/>
                  <w:vAlign w:val="center"/>
                </w:tcPr>
                <w:p w14:paraId="4608D9D8">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w:t>
                  </w:r>
                </w:p>
              </w:tc>
              <w:tc>
                <w:tcPr>
                  <w:tcW w:w="1209" w:type="dxa"/>
                  <w:noWrap/>
                  <w:vAlign w:val="center"/>
                </w:tcPr>
                <w:p w14:paraId="6B7EAB64">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33</w:t>
                  </w:r>
                </w:p>
              </w:tc>
              <w:tc>
                <w:tcPr>
                  <w:tcW w:w="1252" w:type="dxa"/>
                  <w:noWrap/>
                  <w:vAlign w:val="center"/>
                </w:tcPr>
                <w:p w14:paraId="4CF1328F">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35</w:t>
                  </w:r>
                </w:p>
              </w:tc>
              <w:tc>
                <w:tcPr>
                  <w:tcW w:w="1052" w:type="dxa"/>
                  <w:noWrap/>
                  <w:vAlign w:val="center"/>
                </w:tcPr>
                <w:p w14:paraId="61826261">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94.3</w:t>
                  </w:r>
                </w:p>
              </w:tc>
              <w:tc>
                <w:tcPr>
                  <w:tcW w:w="1172" w:type="dxa"/>
                  <w:noWrap/>
                  <w:vAlign w:val="center"/>
                </w:tcPr>
                <w:p w14:paraId="1741144A">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r w14:paraId="4A04C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96" w:type="dxa"/>
                  <w:noWrap/>
                  <w:vAlign w:val="center"/>
                </w:tcPr>
                <w:p w14:paraId="1C398E27">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PM</w:t>
                  </w:r>
                  <w:r>
                    <w:rPr>
                      <w:rFonts w:ascii="Times New Roman" w:hAnsi="Times New Roman" w:eastAsia="宋体" w:cs="Times New Roman"/>
                      <w:szCs w:val="21"/>
                      <w:highlight w:val="none"/>
                      <w:u w:val="none" w:color="auto"/>
                      <w:vertAlign w:val="subscript"/>
                    </w:rPr>
                    <w:t>10</w:t>
                  </w:r>
                </w:p>
              </w:tc>
              <w:tc>
                <w:tcPr>
                  <w:tcW w:w="1754" w:type="dxa"/>
                  <w:noWrap/>
                  <w:vAlign w:val="center"/>
                </w:tcPr>
                <w:p w14:paraId="7DB2B8FE">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年平均浓度</w:t>
                  </w:r>
                </w:p>
              </w:tc>
              <w:tc>
                <w:tcPr>
                  <w:tcW w:w="825" w:type="dxa"/>
                  <w:noWrap/>
                  <w:vAlign w:val="center"/>
                </w:tcPr>
                <w:p w14:paraId="7EC52082">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w:t>
                  </w:r>
                </w:p>
              </w:tc>
              <w:tc>
                <w:tcPr>
                  <w:tcW w:w="1209" w:type="dxa"/>
                  <w:noWrap/>
                  <w:vAlign w:val="center"/>
                </w:tcPr>
                <w:p w14:paraId="6D3A3910">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45</w:t>
                  </w:r>
                </w:p>
              </w:tc>
              <w:tc>
                <w:tcPr>
                  <w:tcW w:w="1252" w:type="dxa"/>
                  <w:noWrap/>
                  <w:vAlign w:val="center"/>
                </w:tcPr>
                <w:p w14:paraId="72D37C7A">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70</w:t>
                  </w:r>
                </w:p>
              </w:tc>
              <w:tc>
                <w:tcPr>
                  <w:tcW w:w="1052" w:type="dxa"/>
                  <w:noWrap/>
                  <w:vAlign w:val="center"/>
                </w:tcPr>
                <w:p w14:paraId="5CBD783E">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64.3</w:t>
                  </w:r>
                </w:p>
              </w:tc>
              <w:tc>
                <w:tcPr>
                  <w:tcW w:w="1172" w:type="dxa"/>
                  <w:noWrap/>
                  <w:vAlign w:val="center"/>
                </w:tcPr>
                <w:p w14:paraId="1021F6C9">
                  <w:pPr>
                    <w:adjustRightInd w:val="0"/>
                    <w:snapToGrid w:val="0"/>
                    <w:jc w:val="center"/>
                    <w:rPr>
                      <w:rFonts w:ascii="Times New Roman" w:hAnsi="Times New Roman" w:eastAsia="宋体" w:cs="Times New Roman"/>
                      <w:szCs w:val="21"/>
                      <w:highlight w:val="none"/>
                      <w:u w:val="none" w:color="auto"/>
                    </w:rPr>
                  </w:pPr>
                  <w:r>
                    <w:rPr>
                      <w:rFonts w:ascii="Times New Roman" w:hAnsi="Times New Roman" w:eastAsia="宋体" w:cs="Times New Roman"/>
                      <w:szCs w:val="21"/>
                      <w:highlight w:val="none"/>
                      <w:u w:val="none" w:color="auto"/>
                    </w:rPr>
                    <w:t>达标</w:t>
                  </w:r>
                </w:p>
              </w:tc>
            </w:tr>
          </w:tbl>
          <w:p w14:paraId="6AC5DE2D">
            <w:pPr>
              <w:pStyle w:val="25"/>
              <w:bidi w:val="0"/>
              <w:rPr>
                <w:color w:val="auto"/>
                <w:highlight w:val="none"/>
                <w:u w:val="none" w:color="auto"/>
              </w:rPr>
            </w:pPr>
            <w:r>
              <w:rPr>
                <w:color w:val="auto"/>
                <w:highlight w:val="none"/>
                <w:u w:val="none" w:color="auto"/>
              </w:rPr>
              <w:t>由上表可知，项目所在区域的监测因子均达到《环境空气质量标准》（GB3095-2012）二级标准要求。</w:t>
            </w:r>
            <w:r>
              <w:rPr>
                <w:color w:val="auto"/>
                <w:sz w:val="24"/>
                <w:highlight w:val="none"/>
                <w:u w:val="none" w:color="auto"/>
              </w:rPr>
              <w:t>本项目所在行政区</w:t>
            </w:r>
            <w:r>
              <w:rPr>
                <w:rFonts w:hint="eastAsia"/>
                <w:color w:val="auto"/>
                <w:sz w:val="24"/>
                <w:highlight w:val="none"/>
                <w:u w:val="none" w:color="auto"/>
              </w:rPr>
              <w:t>岳阳县</w:t>
            </w:r>
            <w:r>
              <w:rPr>
                <w:color w:val="auto"/>
                <w:sz w:val="24"/>
                <w:highlight w:val="none"/>
                <w:u w:val="none" w:color="auto"/>
              </w:rPr>
              <w:t>判定为</w:t>
            </w:r>
            <w:r>
              <w:rPr>
                <w:rFonts w:hint="eastAsia"/>
                <w:color w:val="auto"/>
                <w:sz w:val="24"/>
                <w:highlight w:val="none"/>
                <w:u w:val="none" w:color="auto"/>
              </w:rPr>
              <w:t>空气质量</w:t>
            </w:r>
            <w:r>
              <w:rPr>
                <w:color w:val="auto"/>
                <w:sz w:val="24"/>
                <w:highlight w:val="none"/>
                <w:u w:val="none" w:color="auto"/>
              </w:rPr>
              <w:t>达标区域。</w:t>
            </w:r>
          </w:p>
          <w:p w14:paraId="2F85A0F3">
            <w:pPr>
              <w:pStyle w:val="25"/>
              <w:bidi w:val="0"/>
              <w:rPr>
                <w:rFonts w:hint="default"/>
                <w:color w:val="auto"/>
                <w:highlight w:val="none"/>
                <w:u w:val="none" w:color="auto"/>
                <w:lang w:val="en-US" w:eastAsia="zh-CN"/>
              </w:rPr>
            </w:pPr>
            <w:r>
              <w:rPr>
                <w:rFonts w:hint="default"/>
                <w:color w:val="auto"/>
                <w:highlight w:val="none"/>
                <w:u w:val="none" w:color="auto"/>
                <w:lang w:val="en-US" w:eastAsia="zh-CN"/>
              </w:rPr>
              <w:t>（2）其他污染物监测数据</w:t>
            </w:r>
          </w:p>
          <w:p w14:paraId="1D30BDFA">
            <w:pPr>
              <w:pStyle w:val="25"/>
              <w:bidi w:val="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highlight w:val="none"/>
                <w:u w:val="none" w:color="auto"/>
              </w:rPr>
              <w:t>根据《建设项目环境影响报告表编制指南》</w:t>
            </w:r>
            <w:r>
              <w:rPr>
                <w:rFonts w:hint="eastAsia" w:cs="Times New Roman"/>
                <w:color w:val="auto"/>
                <w:highlight w:val="none"/>
                <w:u w:val="none" w:color="auto"/>
                <w:lang w:val="en-US" w:eastAsia="zh-CN"/>
              </w:rPr>
              <w:t>的相关规定</w:t>
            </w:r>
            <w:r>
              <w:rPr>
                <w:rFonts w:hint="default" w:ascii="Times New Roman" w:hAnsi="Times New Roman" w:cs="Times New Roman"/>
                <w:color w:val="auto"/>
                <w:highlight w:val="none"/>
                <w:u w:val="none" w:color="auto"/>
              </w:rPr>
              <w:t>，排放国家、地方环境空气质量标准中有标准限值要求的特征污染物时，引用建设项目周边5千米范围内近3年的现有监测数据</w:t>
            </w:r>
            <w:r>
              <w:rPr>
                <w:rFonts w:hint="eastAsia"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为了解项目特征污染物（TSP）的现状，本项目引用岳阳县盛宏新材料科技有限公司的《</w:t>
            </w:r>
            <w:bookmarkStart w:id="66" w:name="_Hlk200965733"/>
            <w:r>
              <w:rPr>
                <w:rFonts w:hint="default" w:ascii="Times New Roman" w:hAnsi="Times New Roman" w:eastAsia="宋体" w:cs="Times New Roman"/>
                <w:color w:val="auto"/>
                <w:highlight w:val="none"/>
                <w:u w:val="none" w:color="auto"/>
              </w:rPr>
              <w:t>新增年加工5万吨疏浚砂生产线建设项目</w:t>
            </w:r>
            <w:bookmarkEnd w:id="66"/>
            <w:r>
              <w:rPr>
                <w:rFonts w:hint="default" w:ascii="Times New Roman" w:hAnsi="Times New Roman" w:eastAsia="宋体" w:cs="Times New Roman"/>
                <w:color w:val="auto"/>
                <w:highlight w:val="none"/>
                <w:u w:val="none" w:color="auto"/>
              </w:rPr>
              <w:t>环境影响评价报告表》</w:t>
            </w:r>
            <w:r>
              <w:rPr>
                <w:rFonts w:hint="eastAsia" w:cs="Times New Roman"/>
                <w:color w:val="auto"/>
                <w:highlight w:val="none"/>
                <w:u w:val="none" w:color="auto"/>
                <w:lang w:val="en-US" w:eastAsia="zh-CN"/>
              </w:rPr>
              <w:t>的环境质量检测数据</w:t>
            </w:r>
            <w:r>
              <w:rPr>
                <w:rFonts w:hint="default" w:ascii="Times New Roman" w:hAnsi="Times New Roman" w:eastAsia="宋体" w:cs="Times New Roman"/>
                <w:color w:val="auto"/>
                <w:highlight w:val="none"/>
                <w:u w:val="none" w:color="auto"/>
              </w:rPr>
              <w:t>。监测</w:t>
            </w:r>
            <w:r>
              <w:rPr>
                <w:rFonts w:hint="eastAsia" w:eastAsia="宋体" w:cs="Times New Roman"/>
                <w:color w:val="auto"/>
                <w:highlight w:val="none"/>
                <w:u w:val="none" w:color="auto"/>
                <w:lang w:val="en-US" w:eastAsia="zh-CN"/>
              </w:rPr>
              <w:t>单位为</w:t>
            </w:r>
            <w:r>
              <w:rPr>
                <w:rFonts w:hint="default" w:ascii="Times New Roman" w:hAnsi="Times New Roman" w:eastAsia="宋体" w:cs="Times New Roman"/>
                <w:color w:val="auto"/>
                <w:szCs w:val="24"/>
                <w:highlight w:val="none"/>
                <w:u w:val="none" w:color="auto"/>
              </w:rPr>
              <w:t>湖南乾诚检测</w:t>
            </w:r>
            <w:r>
              <w:rPr>
                <w:rFonts w:hint="default" w:ascii="Times New Roman" w:hAnsi="Times New Roman" w:eastAsia="宋体" w:cs="Times New Roman"/>
                <w:color w:val="auto"/>
                <w:highlight w:val="none"/>
                <w:u w:val="none" w:color="auto"/>
              </w:rPr>
              <w:t>有限公司，</w:t>
            </w:r>
            <w:r>
              <w:rPr>
                <w:rStyle w:val="35"/>
                <w:rFonts w:hint="default"/>
                <w:highlight w:val="none"/>
                <w:u w:val="none" w:color="auto"/>
              </w:rPr>
              <w:t>监测时间为2024</w:t>
            </w:r>
            <w:r>
              <w:rPr>
                <w:rStyle w:val="35"/>
                <w:rFonts w:hint="eastAsia"/>
                <w:highlight w:val="none"/>
                <w:u w:val="none" w:color="auto"/>
                <w:lang w:val="en-US" w:eastAsia="zh-CN"/>
              </w:rPr>
              <w:t>年</w:t>
            </w:r>
            <w:r>
              <w:rPr>
                <w:rStyle w:val="35"/>
                <w:rFonts w:hint="default"/>
                <w:highlight w:val="none"/>
                <w:u w:val="none" w:color="auto"/>
              </w:rPr>
              <w:t>11</w:t>
            </w:r>
            <w:r>
              <w:rPr>
                <w:rStyle w:val="35"/>
                <w:rFonts w:hint="eastAsia"/>
                <w:highlight w:val="none"/>
                <w:u w:val="none" w:color="auto"/>
                <w:lang w:val="en-US" w:eastAsia="zh-CN"/>
              </w:rPr>
              <w:t>月</w:t>
            </w:r>
            <w:r>
              <w:rPr>
                <w:rStyle w:val="35"/>
                <w:rFonts w:hint="default"/>
                <w:highlight w:val="none"/>
                <w:u w:val="none" w:color="auto"/>
              </w:rPr>
              <w:t>17</w:t>
            </w:r>
            <w:r>
              <w:rPr>
                <w:rStyle w:val="35"/>
                <w:rFonts w:hint="eastAsia"/>
                <w:highlight w:val="none"/>
                <w:u w:val="none" w:color="auto"/>
                <w:lang w:val="en-US" w:eastAsia="zh-CN"/>
              </w:rPr>
              <w:t>日</w:t>
            </w:r>
            <w:r>
              <w:rPr>
                <w:rStyle w:val="35"/>
                <w:rFonts w:hint="default"/>
                <w:highlight w:val="none"/>
                <w:u w:val="none" w:color="auto"/>
              </w:rPr>
              <w:t>至</w:t>
            </w:r>
            <w:r>
              <w:rPr>
                <w:rStyle w:val="35"/>
                <w:rFonts w:hint="eastAsia"/>
                <w:highlight w:val="none"/>
                <w:u w:val="none" w:color="auto"/>
                <w:lang w:val="en-US" w:eastAsia="zh-CN"/>
              </w:rPr>
              <w:t>19</w:t>
            </w:r>
            <w:r>
              <w:rPr>
                <w:rStyle w:val="35"/>
                <w:rFonts w:hint="default"/>
                <w:highlight w:val="none"/>
                <w:u w:val="none" w:color="auto"/>
              </w:rPr>
              <w:t>日。</w:t>
            </w:r>
            <w:r>
              <w:rPr>
                <w:color w:val="auto"/>
                <w:kern w:val="2"/>
                <w:sz w:val="24"/>
                <w:szCs w:val="24"/>
                <w:highlight w:val="none"/>
                <w:u w:val="none" w:color="auto"/>
              </w:rPr>
              <w:t>该项目监测点位位于本项目</w:t>
            </w:r>
            <w:r>
              <w:rPr>
                <w:rFonts w:hint="eastAsia"/>
                <w:color w:val="auto"/>
                <w:kern w:val="2"/>
                <w:sz w:val="24"/>
                <w:szCs w:val="24"/>
                <w:highlight w:val="none"/>
                <w:u w:val="none" w:color="auto"/>
                <w:lang w:val="en-US" w:eastAsia="zh-CN"/>
              </w:rPr>
              <w:t>东南</w:t>
            </w:r>
            <w:r>
              <w:rPr>
                <w:color w:val="auto"/>
                <w:kern w:val="2"/>
                <w:sz w:val="24"/>
                <w:szCs w:val="24"/>
                <w:highlight w:val="none"/>
                <w:u w:val="none" w:color="auto"/>
              </w:rPr>
              <w:t>侧</w:t>
            </w:r>
            <w:r>
              <w:rPr>
                <w:rFonts w:hint="eastAsia"/>
                <w:color w:val="auto"/>
                <w:kern w:val="2"/>
                <w:sz w:val="24"/>
                <w:szCs w:val="24"/>
                <w:highlight w:val="none"/>
                <w:u w:val="none" w:color="auto"/>
                <w:lang w:val="en-US" w:eastAsia="zh-CN"/>
              </w:rPr>
              <w:t>约1450.84</w:t>
            </w:r>
            <w:r>
              <w:rPr>
                <w:rFonts w:hint="eastAsia"/>
                <w:color w:val="auto"/>
                <w:kern w:val="2"/>
                <w:sz w:val="24"/>
                <w:szCs w:val="24"/>
                <w:highlight w:val="none"/>
                <w:u w:val="none" w:color="auto"/>
              </w:rPr>
              <w:t>m</w:t>
            </w:r>
            <w:r>
              <w:rPr>
                <w:color w:val="auto"/>
                <w:kern w:val="2"/>
                <w:sz w:val="24"/>
                <w:szCs w:val="24"/>
                <w:highlight w:val="none"/>
                <w:u w:val="none" w:color="auto"/>
              </w:rPr>
              <w:t>，符合“建设项目周边5千米范围内近3年的现有监测数据”的引用要求</w:t>
            </w:r>
            <w:r>
              <w:rPr>
                <w:rFonts w:hint="eastAsia"/>
                <w:color w:val="auto"/>
                <w:kern w:val="2"/>
                <w:sz w:val="24"/>
                <w:szCs w:val="24"/>
                <w:highlight w:val="none"/>
                <w:u w:val="none" w:color="auto"/>
                <w:lang w:eastAsia="zh-CN"/>
              </w:rPr>
              <w:t>，</w:t>
            </w:r>
            <w:r>
              <w:rPr>
                <w:color w:val="auto"/>
                <w:kern w:val="2"/>
                <w:sz w:val="24"/>
                <w:szCs w:val="24"/>
                <w:highlight w:val="none"/>
                <w:u w:val="none" w:color="auto"/>
              </w:rPr>
              <w:t>监测情况及结果如下所示</w:t>
            </w:r>
            <w:r>
              <w:rPr>
                <w:rFonts w:hint="default" w:ascii="Times New Roman" w:hAnsi="Times New Roman" w:cs="Times New Roman"/>
                <w:color w:val="auto"/>
                <w:sz w:val="24"/>
                <w:szCs w:val="24"/>
                <w:highlight w:val="none"/>
                <w:u w:val="none" w:color="auto"/>
              </w:rPr>
              <w:t>。</w:t>
            </w:r>
            <w:r>
              <w:rPr>
                <w:rFonts w:hint="eastAsia" w:cs="Times New Roman"/>
                <w:color w:val="auto"/>
                <w:sz w:val="24"/>
                <w:szCs w:val="24"/>
                <w:highlight w:val="none"/>
                <w:u w:val="none" w:color="auto"/>
                <w:lang w:val="en-US" w:eastAsia="zh-CN"/>
              </w:rPr>
              <w:t>引用的检测报告详见附件6。</w:t>
            </w:r>
          </w:p>
          <w:p w14:paraId="786CFDF0">
            <w:pPr>
              <w:pStyle w:val="7"/>
              <w:snapToGrid/>
              <w:spacing w:before="0" w:after="0" w:line="240" w:lineRule="auto"/>
              <w:ind w:right="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b/>
                <w:color w:val="auto"/>
                <w:sz w:val="21"/>
                <w:szCs w:val="21"/>
                <w:highlight w:val="none"/>
                <w:u w:val="none" w:color="auto"/>
              </w:rPr>
              <w:t>表3</w:t>
            </w:r>
            <w:r>
              <w:rPr>
                <w:rFonts w:hint="default" w:ascii="Times New Roman" w:hAnsi="Times New Roman" w:cs="Times New Roman"/>
                <w:b/>
                <w:color w:val="auto"/>
                <w:sz w:val="21"/>
                <w:szCs w:val="21"/>
                <w:highlight w:val="none"/>
                <w:u w:val="none" w:color="auto"/>
                <w:lang w:val="en-US" w:eastAsia="zh-CN"/>
              </w:rPr>
              <w:t>-2</w:t>
            </w:r>
            <w:r>
              <w:rPr>
                <w:rFonts w:hint="eastAsia" w:cs="Times New Roman"/>
                <w:b/>
                <w:color w:val="auto"/>
                <w:sz w:val="21"/>
                <w:szCs w:val="21"/>
                <w:highlight w:val="none"/>
                <w:u w:val="none" w:color="auto"/>
                <w:lang w:val="en-US" w:eastAsia="zh-CN"/>
              </w:rPr>
              <w:t xml:space="preserve">   </w:t>
            </w:r>
            <w:r>
              <w:rPr>
                <w:rFonts w:hint="default" w:ascii="Times New Roman" w:hAnsi="Times New Roman" w:cs="Times New Roman"/>
                <w:b/>
                <w:color w:val="auto"/>
                <w:sz w:val="21"/>
                <w:szCs w:val="21"/>
                <w:highlight w:val="none"/>
                <w:u w:val="none" w:color="auto"/>
              </w:rPr>
              <w:t>其他污染物补充监测点位基本信息</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7"/>
              <w:gridCol w:w="856"/>
              <w:gridCol w:w="1331"/>
              <w:gridCol w:w="1225"/>
              <w:gridCol w:w="771"/>
              <w:gridCol w:w="1143"/>
              <w:gridCol w:w="428"/>
            </w:tblGrid>
            <w:tr w14:paraId="04CB7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2" w:type="pct"/>
                  <w:tcBorders>
                    <w:tl2br w:val="nil"/>
                    <w:tr2bl w:val="nil"/>
                  </w:tcBorders>
                  <w:noWrap w:val="0"/>
                  <w:vAlign w:val="center"/>
                </w:tcPr>
                <w:p w14:paraId="407B6218">
                  <w:pPr>
                    <w:pStyle w:val="3"/>
                    <w:overflowPunct w:val="0"/>
                    <w:autoSpaceDE w:val="0"/>
                    <w:autoSpaceDN w:val="0"/>
                    <w:jc w:val="center"/>
                    <w:outlineLvl w:val="1"/>
                    <w:rPr>
                      <w:rFonts w:hint="default" w:ascii="Times New Roman" w:hAnsi="Times New Roman" w:eastAsia="宋体" w:cs="Times New Roman"/>
                      <w:color w:val="auto"/>
                      <w:sz w:val="21"/>
                      <w:szCs w:val="21"/>
                      <w:highlight w:val="none"/>
                      <w:u w:val="none" w:color="auto"/>
                    </w:rPr>
                  </w:pPr>
                  <w:bookmarkStart w:id="67" w:name="_Toc23679"/>
                  <w:bookmarkStart w:id="68" w:name="_Toc24479"/>
                  <w:bookmarkStart w:id="69" w:name="_Toc23571"/>
                  <w:bookmarkStart w:id="70" w:name="_Toc23105"/>
                  <w:bookmarkStart w:id="71" w:name="_Toc19553"/>
                  <w:r>
                    <w:rPr>
                      <w:rFonts w:hint="default" w:ascii="Times New Roman" w:hAnsi="Times New Roman" w:eastAsia="宋体" w:cs="Times New Roman"/>
                      <w:color w:val="auto"/>
                      <w:sz w:val="21"/>
                      <w:szCs w:val="21"/>
                      <w:highlight w:val="none"/>
                      <w:u w:val="none" w:color="auto"/>
                    </w:rPr>
                    <w:t>监测点位</w:t>
                  </w:r>
                  <w:bookmarkEnd w:id="67"/>
                  <w:bookmarkEnd w:id="68"/>
                  <w:bookmarkEnd w:id="69"/>
                  <w:bookmarkEnd w:id="70"/>
                  <w:bookmarkEnd w:id="71"/>
                </w:p>
              </w:tc>
              <w:tc>
                <w:tcPr>
                  <w:tcW w:w="801" w:type="pct"/>
                  <w:tcBorders>
                    <w:tl2br w:val="nil"/>
                    <w:tr2bl w:val="nil"/>
                  </w:tcBorders>
                  <w:noWrap w:val="0"/>
                  <w:vAlign w:val="center"/>
                </w:tcPr>
                <w:p w14:paraId="0E7F03AC">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监测时间</w:t>
                  </w:r>
                </w:p>
              </w:tc>
              <w:tc>
                <w:tcPr>
                  <w:tcW w:w="545" w:type="pct"/>
                  <w:tcBorders>
                    <w:tl2br w:val="nil"/>
                    <w:tr2bl w:val="nil"/>
                  </w:tcBorders>
                  <w:noWrap w:val="0"/>
                  <w:vAlign w:val="center"/>
                </w:tcPr>
                <w:p w14:paraId="55C46949">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监测因子</w:t>
                  </w:r>
                </w:p>
              </w:tc>
              <w:tc>
                <w:tcPr>
                  <w:tcW w:w="848" w:type="pct"/>
                  <w:tcBorders>
                    <w:tl2br w:val="nil"/>
                    <w:tr2bl w:val="nil"/>
                  </w:tcBorders>
                  <w:noWrap w:val="0"/>
                  <w:vAlign w:val="center"/>
                </w:tcPr>
                <w:p w14:paraId="5E5EB5AD">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监测值（mg/m</w:t>
                  </w:r>
                  <w:r>
                    <w:rPr>
                      <w:rFonts w:hint="default" w:ascii="Times New Roman" w:hAnsi="Times New Roman" w:eastAsia="宋体" w:cs="Times New Roman"/>
                      <w:b/>
                      <w:bCs/>
                      <w:color w:val="auto"/>
                      <w:kern w:val="0"/>
                      <w:sz w:val="21"/>
                      <w:szCs w:val="21"/>
                      <w:highlight w:val="none"/>
                      <w:u w:val="none" w:color="auto"/>
                      <w:vertAlign w:val="superscript"/>
                    </w:rPr>
                    <w:t>3</w:t>
                  </w:r>
                  <w:r>
                    <w:rPr>
                      <w:rFonts w:hint="default" w:ascii="Times New Roman" w:hAnsi="Times New Roman" w:eastAsia="宋体" w:cs="Times New Roman"/>
                      <w:b/>
                      <w:bCs/>
                      <w:color w:val="auto"/>
                      <w:kern w:val="0"/>
                      <w:sz w:val="21"/>
                      <w:szCs w:val="21"/>
                      <w:highlight w:val="none"/>
                      <w:u w:val="none" w:color="auto"/>
                    </w:rPr>
                    <w:t>）</w:t>
                  </w:r>
                </w:p>
              </w:tc>
              <w:tc>
                <w:tcPr>
                  <w:tcW w:w="780" w:type="pct"/>
                  <w:tcBorders>
                    <w:tl2br w:val="nil"/>
                    <w:tr2bl w:val="nil"/>
                  </w:tcBorders>
                  <w:noWrap w:val="0"/>
                  <w:vAlign w:val="center"/>
                </w:tcPr>
                <w:p w14:paraId="5E558479">
                  <w:pPr>
                    <w:overflowPunct w:val="0"/>
                    <w:autoSpaceDE w:val="0"/>
                    <w:autoSpaceDN w:val="0"/>
                    <w:adjustRightInd w:val="0"/>
                    <w:jc w:val="center"/>
                    <w:textAlignment w:val="baseline"/>
                    <w:rPr>
                      <w:rFonts w:hint="eastAsia" w:ascii="Times New Roman" w:hAnsi="Times New Roman" w:eastAsia="宋体" w:cs="Times New Roman"/>
                      <w:b/>
                      <w:bCs/>
                      <w:color w:val="auto"/>
                      <w:kern w:val="0"/>
                      <w:sz w:val="21"/>
                      <w:szCs w:val="21"/>
                      <w:highlight w:val="none"/>
                      <w:u w:val="none" w:color="auto"/>
                      <w:lang w:val="en-US" w:eastAsia="zh-CN"/>
                    </w:rPr>
                  </w:pPr>
                  <w:r>
                    <w:rPr>
                      <w:rFonts w:hint="eastAsia" w:cs="Times New Roman"/>
                      <w:b/>
                      <w:bCs/>
                      <w:color w:val="auto"/>
                      <w:kern w:val="0"/>
                      <w:sz w:val="21"/>
                      <w:szCs w:val="21"/>
                      <w:highlight w:val="none"/>
                      <w:u w:val="none" w:color="auto"/>
                      <w:lang w:val="en-US" w:eastAsia="zh-CN"/>
                    </w:rPr>
                    <w:t>平均值</w:t>
                  </w:r>
                  <w:r>
                    <w:rPr>
                      <w:rFonts w:hint="default" w:ascii="Times New Roman" w:hAnsi="Times New Roman" w:eastAsia="宋体" w:cs="Times New Roman"/>
                      <w:b/>
                      <w:bCs/>
                      <w:color w:val="auto"/>
                      <w:kern w:val="0"/>
                      <w:sz w:val="21"/>
                      <w:szCs w:val="21"/>
                      <w:highlight w:val="none"/>
                      <w:u w:val="none" w:color="auto"/>
                    </w:rPr>
                    <w:t>（mg/m</w:t>
                  </w:r>
                  <w:r>
                    <w:rPr>
                      <w:rFonts w:hint="default" w:ascii="Times New Roman" w:hAnsi="Times New Roman" w:eastAsia="宋体" w:cs="Times New Roman"/>
                      <w:b/>
                      <w:bCs/>
                      <w:color w:val="auto"/>
                      <w:kern w:val="0"/>
                      <w:sz w:val="21"/>
                      <w:szCs w:val="21"/>
                      <w:highlight w:val="none"/>
                      <w:u w:val="none" w:color="auto"/>
                      <w:vertAlign w:val="superscript"/>
                    </w:rPr>
                    <w:t>3</w:t>
                  </w:r>
                  <w:r>
                    <w:rPr>
                      <w:rFonts w:hint="default" w:ascii="Times New Roman" w:hAnsi="Times New Roman" w:eastAsia="宋体" w:cs="Times New Roman"/>
                      <w:b/>
                      <w:bCs/>
                      <w:color w:val="auto"/>
                      <w:kern w:val="0"/>
                      <w:sz w:val="21"/>
                      <w:szCs w:val="21"/>
                      <w:highlight w:val="none"/>
                      <w:u w:val="none" w:color="auto"/>
                    </w:rPr>
                    <w:t>）</w:t>
                  </w:r>
                </w:p>
              </w:tc>
              <w:tc>
                <w:tcPr>
                  <w:tcW w:w="491" w:type="pct"/>
                  <w:tcBorders>
                    <w:tl2br w:val="nil"/>
                    <w:tr2bl w:val="nil"/>
                  </w:tcBorders>
                  <w:noWrap w:val="0"/>
                  <w:vAlign w:val="center"/>
                </w:tcPr>
                <w:p w14:paraId="574F32F3">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最大超标倍数</w:t>
                  </w:r>
                </w:p>
              </w:tc>
              <w:tc>
                <w:tcPr>
                  <w:tcW w:w="728" w:type="pct"/>
                  <w:tcBorders>
                    <w:tl2br w:val="nil"/>
                    <w:tr2bl w:val="nil"/>
                  </w:tcBorders>
                  <w:noWrap w:val="0"/>
                  <w:vAlign w:val="center"/>
                </w:tcPr>
                <w:p w14:paraId="15D95AC0">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标准值（mg/m</w:t>
                  </w:r>
                  <w:r>
                    <w:rPr>
                      <w:rFonts w:hint="default" w:ascii="Times New Roman" w:hAnsi="Times New Roman" w:eastAsia="宋体" w:cs="Times New Roman"/>
                      <w:b/>
                      <w:bCs/>
                      <w:color w:val="auto"/>
                      <w:kern w:val="0"/>
                      <w:sz w:val="21"/>
                      <w:szCs w:val="21"/>
                      <w:highlight w:val="none"/>
                      <w:u w:val="none" w:color="auto"/>
                      <w:vertAlign w:val="superscript"/>
                    </w:rPr>
                    <w:t>3</w:t>
                  </w:r>
                  <w:r>
                    <w:rPr>
                      <w:rFonts w:hint="default" w:ascii="Times New Roman" w:hAnsi="Times New Roman" w:eastAsia="宋体" w:cs="Times New Roman"/>
                      <w:b/>
                      <w:bCs/>
                      <w:color w:val="auto"/>
                      <w:kern w:val="0"/>
                      <w:sz w:val="21"/>
                      <w:szCs w:val="21"/>
                      <w:highlight w:val="none"/>
                      <w:u w:val="none" w:color="auto"/>
                    </w:rPr>
                    <w:t>）</w:t>
                  </w:r>
                </w:p>
              </w:tc>
              <w:tc>
                <w:tcPr>
                  <w:tcW w:w="272" w:type="pct"/>
                  <w:tcBorders>
                    <w:tl2br w:val="nil"/>
                    <w:tr2bl w:val="nil"/>
                  </w:tcBorders>
                  <w:noWrap w:val="0"/>
                  <w:vAlign w:val="center"/>
                </w:tcPr>
                <w:p w14:paraId="1B65BE7F">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是否达标</w:t>
                  </w:r>
                </w:p>
              </w:tc>
            </w:tr>
            <w:tr w14:paraId="5B55D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2" w:type="pct"/>
                  <w:vMerge w:val="restart"/>
                  <w:tcBorders>
                    <w:tl2br w:val="nil"/>
                    <w:tr2bl w:val="nil"/>
                  </w:tcBorders>
                  <w:noWrap w:val="0"/>
                  <w:vAlign w:val="center"/>
                </w:tcPr>
                <w:p w14:paraId="68A35B05">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新墙镇敬老院</w:t>
                  </w:r>
                </w:p>
              </w:tc>
              <w:tc>
                <w:tcPr>
                  <w:tcW w:w="801" w:type="pct"/>
                  <w:vMerge w:val="restart"/>
                  <w:tcBorders>
                    <w:tl2br w:val="nil"/>
                    <w:tr2bl w:val="nil"/>
                  </w:tcBorders>
                  <w:noWrap w:val="0"/>
                  <w:vAlign w:val="center"/>
                </w:tcPr>
                <w:p w14:paraId="3E844608">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lang w:val="en-US" w:eastAsia="zh-CN"/>
                    </w:rPr>
                  </w:pPr>
                  <w:r>
                    <w:rPr>
                      <w:rFonts w:ascii="Times New Roman" w:hAnsi="Times New Roman" w:eastAsia="宋体" w:cs="Times New Roman"/>
                      <w:kern w:val="0"/>
                      <w:szCs w:val="21"/>
                      <w:highlight w:val="none"/>
                      <w:u w:val="none" w:color="auto"/>
                    </w:rPr>
                    <w:t>2024.11.17-2024.11.19</w:t>
                  </w:r>
                </w:p>
              </w:tc>
              <w:tc>
                <w:tcPr>
                  <w:tcW w:w="545" w:type="pct"/>
                  <w:tcBorders>
                    <w:tl2br w:val="nil"/>
                    <w:tr2bl w:val="nil"/>
                  </w:tcBorders>
                  <w:noWrap w:val="0"/>
                  <w:vAlign w:val="center"/>
                </w:tcPr>
                <w:p w14:paraId="403EFEB0">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TSP</w:t>
                  </w:r>
                </w:p>
              </w:tc>
              <w:tc>
                <w:tcPr>
                  <w:tcW w:w="848" w:type="pct"/>
                  <w:tcBorders>
                    <w:tl2br w:val="nil"/>
                    <w:tr2bl w:val="nil"/>
                  </w:tcBorders>
                  <w:noWrap w:val="0"/>
                  <w:vAlign w:val="center"/>
                </w:tcPr>
                <w:p w14:paraId="1582AD65">
                  <w:pPr>
                    <w:widowControl/>
                    <w:spacing w:line="65" w:lineRule="atLeast"/>
                    <w:jc w:val="center"/>
                    <w:rPr>
                      <w:rFonts w:hint="default" w:ascii="Times New Roman" w:hAnsi="Times New Roman" w:eastAsia="宋体" w:cs="Times New Roman"/>
                      <w:b/>
                      <w:bCs/>
                      <w:color w:val="auto"/>
                      <w:sz w:val="21"/>
                      <w:szCs w:val="21"/>
                      <w:highlight w:val="none"/>
                      <w:u w:val="none" w:color="auto"/>
                    </w:rPr>
                  </w:pPr>
                  <w:r>
                    <w:rPr>
                      <w:rFonts w:ascii="Times New Roman" w:hAnsi="Times New Roman" w:eastAsia="宋体" w:cs="Times New Roman"/>
                      <w:kern w:val="0"/>
                      <w:szCs w:val="21"/>
                      <w:highlight w:val="none"/>
                      <w:u w:val="none" w:color="auto"/>
                    </w:rPr>
                    <w:t>0.085-0.088</w:t>
                  </w:r>
                </w:p>
              </w:tc>
              <w:tc>
                <w:tcPr>
                  <w:tcW w:w="780" w:type="pct"/>
                  <w:tcBorders>
                    <w:tl2br w:val="nil"/>
                    <w:tr2bl w:val="nil"/>
                  </w:tcBorders>
                  <w:noWrap w:val="0"/>
                  <w:vAlign w:val="center"/>
                </w:tcPr>
                <w:p w14:paraId="46EA63FD">
                  <w:pPr>
                    <w:widowControl/>
                    <w:spacing w:line="65" w:lineRule="atLeast"/>
                    <w:jc w:val="center"/>
                    <w:rPr>
                      <w:rFonts w:ascii="Times New Roman" w:hAnsi="Times New Roman" w:eastAsia="宋体" w:cs="Times New Roman"/>
                      <w:kern w:val="0"/>
                      <w:szCs w:val="21"/>
                      <w:highlight w:val="none"/>
                      <w:u w:val="none" w:color="auto"/>
                    </w:rPr>
                  </w:pPr>
                  <w:r>
                    <w:rPr>
                      <w:rFonts w:ascii="Times New Roman" w:hAnsi="Times New Roman" w:eastAsia="宋体" w:cs="Times New Roman"/>
                      <w:kern w:val="0"/>
                      <w:szCs w:val="21"/>
                      <w:highlight w:val="none"/>
                      <w:u w:val="none" w:color="auto"/>
                    </w:rPr>
                    <w:t>0.086</w:t>
                  </w:r>
                </w:p>
              </w:tc>
              <w:tc>
                <w:tcPr>
                  <w:tcW w:w="491" w:type="pct"/>
                  <w:tcBorders>
                    <w:tl2br w:val="nil"/>
                    <w:tr2bl w:val="nil"/>
                  </w:tcBorders>
                  <w:noWrap w:val="0"/>
                  <w:vAlign w:val="center"/>
                </w:tcPr>
                <w:p w14:paraId="04803225">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c>
                <w:tcPr>
                  <w:tcW w:w="728" w:type="pct"/>
                  <w:tcBorders>
                    <w:tl2br w:val="nil"/>
                    <w:tr2bl w:val="nil"/>
                  </w:tcBorders>
                  <w:noWrap w:val="0"/>
                  <w:vAlign w:val="center"/>
                </w:tcPr>
                <w:p w14:paraId="52F92F27">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0.3</w:t>
                  </w:r>
                </w:p>
              </w:tc>
              <w:tc>
                <w:tcPr>
                  <w:tcW w:w="272" w:type="pct"/>
                  <w:tcBorders>
                    <w:tl2br w:val="nil"/>
                    <w:tr2bl w:val="nil"/>
                  </w:tcBorders>
                  <w:noWrap w:val="0"/>
                  <w:vAlign w:val="center"/>
                </w:tcPr>
                <w:p w14:paraId="1BC073E3">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是</w:t>
                  </w:r>
                </w:p>
              </w:tc>
            </w:tr>
            <w:tr w14:paraId="04220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32" w:type="pct"/>
                  <w:vMerge w:val="continue"/>
                  <w:tcBorders>
                    <w:tl2br w:val="nil"/>
                    <w:tr2bl w:val="nil"/>
                  </w:tcBorders>
                  <w:noWrap w:val="0"/>
                  <w:vAlign w:val="center"/>
                </w:tcPr>
                <w:p w14:paraId="7A74F37D">
                  <w:pPr>
                    <w:jc w:val="center"/>
                    <w:rPr>
                      <w:rFonts w:hint="default" w:ascii="Times New Roman" w:hAnsi="Times New Roman" w:eastAsia="宋体" w:cs="Times New Roman"/>
                      <w:b/>
                      <w:bCs/>
                      <w:color w:val="auto"/>
                      <w:sz w:val="21"/>
                      <w:szCs w:val="21"/>
                      <w:highlight w:val="none"/>
                      <w:u w:val="none" w:color="auto"/>
                    </w:rPr>
                  </w:pPr>
                </w:p>
              </w:tc>
              <w:tc>
                <w:tcPr>
                  <w:tcW w:w="801" w:type="pct"/>
                  <w:vMerge w:val="continue"/>
                  <w:tcBorders>
                    <w:tl2br w:val="nil"/>
                    <w:tr2bl w:val="nil"/>
                  </w:tcBorders>
                  <w:noWrap w:val="0"/>
                  <w:vAlign w:val="center"/>
                </w:tcPr>
                <w:p w14:paraId="0220C327">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lang w:val="en-US" w:eastAsia="zh-CN"/>
                    </w:rPr>
                  </w:pPr>
                </w:p>
              </w:tc>
              <w:tc>
                <w:tcPr>
                  <w:tcW w:w="545" w:type="pct"/>
                  <w:tcBorders>
                    <w:tl2br w:val="nil"/>
                    <w:tr2bl w:val="nil"/>
                  </w:tcBorders>
                  <w:noWrap w:val="0"/>
                  <w:vAlign w:val="center"/>
                </w:tcPr>
                <w:p w14:paraId="01F4F127">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NOx</w:t>
                  </w:r>
                </w:p>
              </w:tc>
              <w:tc>
                <w:tcPr>
                  <w:tcW w:w="848" w:type="pct"/>
                  <w:tcBorders>
                    <w:tl2br w:val="nil"/>
                    <w:tr2bl w:val="nil"/>
                  </w:tcBorders>
                  <w:noWrap w:val="0"/>
                  <w:vAlign w:val="center"/>
                </w:tcPr>
                <w:p w14:paraId="0133D2BE">
                  <w:pPr>
                    <w:widowControl/>
                    <w:spacing w:line="65" w:lineRule="atLeast"/>
                    <w:jc w:val="center"/>
                    <w:rPr>
                      <w:rFonts w:hint="default" w:ascii="Times New Roman" w:hAnsi="Times New Roman" w:eastAsia="宋体" w:cs="Times New Roman"/>
                      <w:b/>
                      <w:bCs/>
                      <w:color w:val="auto"/>
                      <w:sz w:val="21"/>
                      <w:szCs w:val="21"/>
                      <w:highlight w:val="none"/>
                      <w:u w:val="none" w:color="auto"/>
                    </w:rPr>
                  </w:pPr>
                  <w:r>
                    <w:rPr>
                      <w:rFonts w:ascii="Times New Roman" w:hAnsi="Times New Roman" w:eastAsia="宋体" w:cs="Times New Roman"/>
                      <w:kern w:val="0"/>
                      <w:szCs w:val="21"/>
                      <w:highlight w:val="none"/>
                      <w:u w:val="none" w:color="auto"/>
                    </w:rPr>
                    <w:t>0.013-0.015</w:t>
                  </w:r>
                </w:p>
              </w:tc>
              <w:tc>
                <w:tcPr>
                  <w:tcW w:w="780" w:type="pct"/>
                  <w:tcBorders>
                    <w:tl2br w:val="nil"/>
                    <w:tr2bl w:val="nil"/>
                  </w:tcBorders>
                  <w:noWrap w:val="0"/>
                  <w:vAlign w:val="center"/>
                </w:tcPr>
                <w:p w14:paraId="39E05F97">
                  <w:pPr>
                    <w:widowControl/>
                    <w:spacing w:line="65" w:lineRule="atLeast"/>
                    <w:jc w:val="center"/>
                    <w:rPr>
                      <w:rFonts w:ascii="Times New Roman" w:hAnsi="Times New Roman" w:eastAsia="宋体" w:cs="Times New Roman"/>
                      <w:kern w:val="0"/>
                      <w:szCs w:val="21"/>
                      <w:highlight w:val="none"/>
                      <w:u w:val="none" w:color="auto"/>
                    </w:rPr>
                  </w:pPr>
                  <w:r>
                    <w:rPr>
                      <w:rFonts w:ascii="Times New Roman" w:hAnsi="Times New Roman" w:eastAsia="宋体" w:cs="Times New Roman"/>
                      <w:kern w:val="0"/>
                      <w:szCs w:val="21"/>
                      <w:highlight w:val="none"/>
                      <w:u w:val="none" w:color="auto"/>
                    </w:rPr>
                    <w:t>0.014</w:t>
                  </w:r>
                </w:p>
              </w:tc>
              <w:tc>
                <w:tcPr>
                  <w:tcW w:w="491" w:type="pct"/>
                  <w:tcBorders>
                    <w:tl2br w:val="nil"/>
                    <w:tr2bl w:val="nil"/>
                  </w:tcBorders>
                  <w:noWrap w:val="0"/>
                  <w:vAlign w:val="center"/>
                </w:tcPr>
                <w:p w14:paraId="4E288697">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c>
                <w:tcPr>
                  <w:tcW w:w="728" w:type="pct"/>
                  <w:tcBorders>
                    <w:tl2br w:val="nil"/>
                    <w:tr2bl w:val="nil"/>
                  </w:tcBorders>
                  <w:noWrap w:val="0"/>
                  <w:vAlign w:val="center"/>
                </w:tcPr>
                <w:p w14:paraId="5D8DC1B2">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0.3</w:t>
                  </w:r>
                </w:p>
              </w:tc>
              <w:tc>
                <w:tcPr>
                  <w:tcW w:w="272" w:type="pct"/>
                  <w:tcBorders>
                    <w:tl2br w:val="nil"/>
                    <w:tr2bl w:val="nil"/>
                  </w:tcBorders>
                  <w:noWrap w:val="0"/>
                  <w:vAlign w:val="center"/>
                </w:tcPr>
                <w:p w14:paraId="0DB4F01B">
                  <w:pPr>
                    <w:overflowPunct w:val="0"/>
                    <w:autoSpaceDE w:val="0"/>
                    <w:autoSpaceDN w:val="0"/>
                    <w:adjustRightInd w:val="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是</w:t>
                  </w:r>
                </w:p>
              </w:tc>
            </w:tr>
          </w:tbl>
          <w:p w14:paraId="71899294">
            <w:pPr>
              <w:pStyle w:val="25"/>
              <w:bidi w:val="0"/>
              <w:ind w:left="0" w:leftChars="0" w:firstLine="0" w:firstLineChars="0"/>
              <w:rPr>
                <w:rFonts w:hint="default"/>
                <w:color w:val="auto"/>
                <w:highlight w:val="none"/>
                <w:u w:val="none" w:color="auto"/>
              </w:rPr>
            </w:pPr>
            <w:r>
              <w:rPr>
                <w:highlight w:val="none"/>
                <w:u w:val="none" w:color="auto"/>
              </w:rPr>
              <w:drawing>
                <wp:inline distT="0" distB="0" distL="114300" distR="114300">
                  <wp:extent cx="5036820" cy="2545715"/>
                  <wp:effectExtent l="0" t="0" r="1143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036820" cy="2545715"/>
                          </a:xfrm>
                          <a:prstGeom prst="rect">
                            <a:avLst/>
                          </a:prstGeom>
                          <a:noFill/>
                          <a:ln>
                            <a:noFill/>
                          </a:ln>
                        </pic:spPr>
                      </pic:pic>
                    </a:graphicData>
                  </a:graphic>
                </wp:inline>
              </w:drawing>
            </w:r>
          </w:p>
          <w:p w14:paraId="643FB323">
            <w:pPr>
              <w:pStyle w:val="30"/>
              <w:bidi w:val="0"/>
              <w:jc w:val="center"/>
              <w:rPr>
                <w:rFonts w:hint="default"/>
                <w:color w:val="auto"/>
                <w:highlight w:val="none"/>
                <w:u w:val="none" w:color="auto"/>
              </w:rPr>
            </w:pPr>
            <w:r>
              <w:rPr>
                <w:rFonts w:hint="eastAsia"/>
                <w:b/>
                <w:bCs/>
                <w:highlight w:val="none"/>
                <w:u w:val="none" w:color="auto"/>
              </w:rPr>
              <w:t>图3-1</w:t>
            </w:r>
            <w:r>
              <w:rPr>
                <w:rFonts w:hint="eastAsia"/>
                <w:b/>
                <w:bCs/>
                <w:highlight w:val="none"/>
                <w:u w:val="none" w:color="auto"/>
                <w:lang w:val="en-US" w:eastAsia="zh-CN"/>
              </w:rPr>
              <w:t xml:space="preserve">   本项目与引用监测数据点位距离</w:t>
            </w:r>
            <w:r>
              <w:rPr>
                <w:rFonts w:hint="eastAsia"/>
                <w:b/>
                <w:bCs/>
                <w:highlight w:val="none"/>
                <w:u w:val="none" w:color="auto"/>
              </w:rPr>
              <w:t>图</w:t>
            </w:r>
          </w:p>
          <w:p w14:paraId="49BE6C30">
            <w:pPr>
              <w:pStyle w:val="25"/>
              <w:bidi w:val="0"/>
              <w:rPr>
                <w:rFonts w:hint="default"/>
                <w:color w:val="auto"/>
                <w:highlight w:val="none"/>
                <w:u w:val="none" w:color="auto"/>
              </w:rPr>
            </w:pPr>
            <w:r>
              <w:rPr>
                <w:rFonts w:hint="default"/>
                <w:color w:val="auto"/>
                <w:highlight w:val="none"/>
                <w:u w:val="none" w:color="auto"/>
              </w:rPr>
              <w:t>根据引用数据表明，本项目所在区域TSP</w:t>
            </w:r>
            <w:r>
              <w:rPr>
                <w:rFonts w:hint="eastAsia"/>
                <w:color w:val="auto"/>
                <w:highlight w:val="none"/>
                <w:u w:val="none" w:color="auto"/>
                <w:lang w:eastAsia="zh-CN"/>
              </w:rPr>
              <w:t>、</w:t>
            </w:r>
            <w:r>
              <w:rPr>
                <w:rFonts w:hint="eastAsia"/>
                <w:color w:val="auto"/>
                <w:highlight w:val="none"/>
                <w:u w:val="none" w:color="auto"/>
                <w:lang w:val="en-US" w:eastAsia="zh-CN"/>
              </w:rPr>
              <w:t>NOx</w:t>
            </w:r>
            <w:r>
              <w:rPr>
                <w:rFonts w:hint="default"/>
                <w:color w:val="auto"/>
                <w:highlight w:val="none"/>
                <w:u w:val="none" w:color="auto"/>
              </w:rPr>
              <w:t>现状能够满足《环境空气质量标准》(GB3095-2012</w:t>
            </w:r>
            <w:r>
              <w:rPr>
                <w:rFonts w:hint="eastAsia"/>
                <w:color w:val="auto"/>
                <w:highlight w:val="none"/>
                <w:u w:val="none" w:color="auto"/>
                <w:lang w:val="en-US" w:eastAsia="zh-CN"/>
              </w:rPr>
              <w:t>)</w:t>
            </w:r>
            <w:r>
              <w:rPr>
                <w:rFonts w:hint="default"/>
                <w:color w:val="auto"/>
                <w:highlight w:val="none"/>
                <w:u w:val="none" w:color="auto"/>
              </w:rPr>
              <w:t>中二级标准要求。</w:t>
            </w:r>
          </w:p>
          <w:p w14:paraId="109D8BE6">
            <w:pPr>
              <w:pStyle w:val="2"/>
              <w:bidi w:val="0"/>
              <w:rPr>
                <w:rFonts w:hint="default" w:ascii="Times New Roman" w:hAnsi="Times New Roman" w:eastAsia="宋体" w:cs="Times New Roman"/>
                <w:color w:val="auto"/>
                <w:highlight w:val="none"/>
                <w:u w:val="none" w:color="auto"/>
                <w:lang w:val="en-US" w:eastAsia="zh-CN"/>
              </w:rPr>
            </w:pPr>
            <w:bookmarkStart w:id="72" w:name="_Toc3251"/>
            <w:bookmarkStart w:id="73" w:name="_Toc949"/>
            <w:bookmarkStart w:id="74" w:name="_Toc17204"/>
            <w:bookmarkStart w:id="75" w:name="_Toc30020"/>
            <w:bookmarkStart w:id="76" w:name="_Toc2720"/>
            <w:bookmarkStart w:id="77" w:name="_Toc1126"/>
            <w:bookmarkStart w:id="78" w:name="_Toc26417"/>
            <w:bookmarkStart w:id="79" w:name="_Toc2456"/>
            <w:bookmarkStart w:id="80" w:name="_Toc17663"/>
            <w:bookmarkStart w:id="81" w:name="_Toc22694"/>
            <w:bookmarkStart w:id="82" w:name="_Toc32738"/>
            <w:bookmarkStart w:id="83" w:name="_Toc27581"/>
            <w:r>
              <w:rPr>
                <w:rFonts w:hint="default" w:ascii="Times New Roman" w:hAnsi="Times New Roman" w:eastAsia="宋体" w:cs="Times New Roman"/>
                <w:color w:val="auto"/>
                <w:highlight w:val="none"/>
                <w:u w:val="none" w:color="auto"/>
                <w:lang w:val="en-US" w:eastAsia="zh-CN"/>
              </w:rPr>
              <w:t>二、地表水环境</w:t>
            </w:r>
            <w:bookmarkEnd w:id="72"/>
            <w:bookmarkEnd w:id="73"/>
            <w:bookmarkEnd w:id="74"/>
            <w:bookmarkEnd w:id="75"/>
            <w:bookmarkEnd w:id="76"/>
            <w:bookmarkEnd w:id="77"/>
            <w:bookmarkEnd w:id="78"/>
            <w:bookmarkEnd w:id="79"/>
            <w:bookmarkEnd w:id="80"/>
            <w:bookmarkEnd w:id="81"/>
            <w:bookmarkEnd w:id="82"/>
            <w:bookmarkEnd w:id="83"/>
          </w:p>
          <w:p w14:paraId="2CE421E6">
            <w:pPr>
              <w:pStyle w:val="25"/>
              <w:bidi w:val="0"/>
              <w:rPr>
                <w:rFonts w:ascii="Times New Roman" w:hAnsi="Times New Roman" w:eastAsia="宋体" w:cs="Times New Roman"/>
                <w:sz w:val="24"/>
                <w:highlight w:val="none"/>
                <w:u w:val="none" w:color="auto"/>
              </w:rPr>
            </w:pPr>
            <w:r>
              <w:rPr>
                <w:rFonts w:ascii="Times New Roman" w:hAnsi="Times New Roman" w:eastAsia="宋体" w:cs="Times New Roman"/>
                <w:sz w:val="24"/>
                <w:highlight w:val="none"/>
                <w:u w:val="none" w:color="auto"/>
              </w:rPr>
              <w:t>为了解评价区域地表水环境质量现状，本评价引用岳阳市生态环境局发布的《</w:t>
            </w:r>
            <w:r>
              <w:rPr>
                <w:rStyle w:val="35"/>
                <w:highlight w:val="none"/>
                <w:u w:val="none" w:color="auto"/>
              </w:rPr>
              <w:t>2025年7月岳阳县地表水质量状况</w:t>
            </w:r>
            <w:r>
              <w:rPr>
                <w:rFonts w:ascii="Times New Roman" w:hAnsi="Times New Roman" w:eastAsia="宋体" w:cs="Times New Roman"/>
                <w:sz w:val="24"/>
                <w:highlight w:val="none"/>
                <w:u w:val="none" w:color="auto"/>
              </w:rPr>
              <w:t>》中</w:t>
            </w:r>
            <w:r>
              <w:rPr>
                <w:rFonts w:hint="eastAsia" w:cs="Times New Roman"/>
                <w:sz w:val="24"/>
                <w:highlight w:val="none"/>
                <w:u w:val="none" w:color="auto"/>
                <w:lang w:val="en-US" w:eastAsia="zh-CN"/>
              </w:rPr>
              <w:t>的数据</w:t>
            </w:r>
            <w:r>
              <w:rPr>
                <w:rFonts w:ascii="Times New Roman" w:hAnsi="Times New Roman" w:eastAsia="宋体" w:cs="Times New Roman"/>
                <w:sz w:val="24"/>
                <w:highlight w:val="none"/>
                <w:u w:val="none" w:color="auto"/>
              </w:rPr>
              <w:t>。</w:t>
            </w:r>
            <w:r>
              <w:rPr>
                <w:rFonts w:hint="eastAsia" w:ascii="Times New Roman" w:hAnsi="Times New Roman" w:eastAsia="宋体" w:cs="Times New Roman"/>
                <w:sz w:val="24"/>
                <w:highlight w:val="none"/>
                <w:u w:val="none" w:color="auto"/>
              </w:rPr>
              <w:t>根据岳阳县政府门户网发布的岳阳县水质监测中地表水质量状况数据，</w:t>
            </w:r>
            <w:r>
              <w:rPr>
                <w:rFonts w:hint="eastAsia"/>
                <w:highlight w:val="none"/>
                <w:u w:val="none" w:color="auto"/>
              </w:rPr>
              <w:t>新墙水库、铁山水库、新墙镇和小饶港水库的</w:t>
            </w:r>
            <w:r>
              <w:rPr>
                <w:rFonts w:hint="eastAsia"/>
                <w:highlight w:val="none"/>
                <w:u w:val="none" w:color="auto"/>
                <w:lang w:val="en-US" w:eastAsia="zh-CN"/>
              </w:rPr>
              <w:t>水质满足</w:t>
            </w:r>
            <w:r>
              <w:rPr>
                <w:rFonts w:ascii="Times New Roman" w:hAnsi="Times New Roman" w:eastAsia="宋体" w:cs="Times New Roman"/>
                <w:sz w:val="24"/>
                <w:highlight w:val="none"/>
                <w:u w:val="none" w:color="auto"/>
              </w:rPr>
              <w:t>《地表水环境质量标准》（GB3838-2002）中的</w:t>
            </w:r>
            <w:r>
              <w:rPr>
                <w:highlight w:val="none"/>
                <w:u w:val="none" w:color="auto"/>
              </w:rPr>
              <w:t>Ⅱ</w:t>
            </w:r>
            <w:r>
              <w:rPr>
                <w:rFonts w:ascii="Times New Roman" w:hAnsi="Times New Roman" w:eastAsia="宋体" w:cs="Times New Roman"/>
                <w:sz w:val="24"/>
                <w:highlight w:val="none"/>
                <w:u w:val="none" w:color="auto"/>
              </w:rPr>
              <w:t>类标准</w:t>
            </w:r>
            <w:r>
              <w:rPr>
                <w:rFonts w:hint="eastAsia"/>
                <w:highlight w:val="none"/>
                <w:u w:val="none" w:color="auto"/>
              </w:rPr>
              <w:t>，水质状况为优。六合垸的水质类别为Ⅲ类，水质状况为良好，</w:t>
            </w:r>
            <w:r>
              <w:rPr>
                <w:rFonts w:hint="eastAsia"/>
                <w:highlight w:val="none"/>
                <w:u w:val="none" w:color="auto"/>
                <w:lang w:val="en-US" w:eastAsia="zh-CN"/>
              </w:rPr>
              <w:t>满足</w:t>
            </w:r>
            <w:r>
              <w:rPr>
                <w:rFonts w:ascii="Times New Roman" w:hAnsi="Times New Roman" w:eastAsia="宋体" w:cs="Times New Roman"/>
                <w:sz w:val="24"/>
                <w:highlight w:val="none"/>
                <w:u w:val="none" w:color="auto"/>
              </w:rPr>
              <w:t>《地表水环境质量标准》（GB3838-2002）中的</w:t>
            </w:r>
            <w:r>
              <w:rPr>
                <w:rFonts w:ascii="Times New Roman" w:hAnsi="Times New Roman" w:eastAsia="宋体" w:cs="Times New Roman"/>
                <w:highlight w:val="none"/>
                <w:u w:val="none" w:color="auto"/>
              </w:rPr>
              <w:t>Ⅲ</w:t>
            </w:r>
            <w:r>
              <w:rPr>
                <w:rFonts w:ascii="Times New Roman" w:hAnsi="Times New Roman" w:eastAsia="宋体" w:cs="Times New Roman"/>
                <w:sz w:val="24"/>
                <w:highlight w:val="none"/>
                <w:u w:val="none" w:color="auto"/>
              </w:rPr>
              <w:t>类标准</w:t>
            </w:r>
            <w:r>
              <w:rPr>
                <w:rFonts w:hint="eastAsia"/>
                <w:highlight w:val="none"/>
                <w:u w:val="none" w:color="auto"/>
              </w:rPr>
              <w:t>。</w:t>
            </w:r>
          </w:p>
          <w:p w14:paraId="28343158">
            <w:pPr>
              <w:pStyle w:val="30"/>
              <w:bidi w:val="0"/>
              <w:jc w:val="center"/>
              <w:rPr>
                <w:rFonts w:ascii="Times New Roman" w:hAnsi="Times New Roman" w:eastAsia="宋体" w:cs="Times New Roman"/>
                <w:b/>
                <w:bCs/>
                <w:highlight w:val="none"/>
                <w:u w:val="none" w:color="auto"/>
              </w:rPr>
            </w:pPr>
            <w:r>
              <w:rPr>
                <w:b/>
                <w:bCs/>
                <w:highlight w:val="none"/>
                <w:u w:val="none" w:color="auto"/>
              </w:rPr>
              <w:t xml:space="preserve">表3-3 </w:t>
            </w:r>
            <w:r>
              <w:rPr>
                <w:rFonts w:hint="eastAsia"/>
                <w:b/>
                <w:bCs/>
                <w:highlight w:val="none"/>
                <w:u w:val="none" w:color="auto"/>
                <w:lang w:val="en-US" w:eastAsia="zh-CN"/>
              </w:rPr>
              <w:t xml:space="preserve">  2025.7新墙河</w:t>
            </w:r>
            <w:r>
              <w:rPr>
                <w:b/>
                <w:bCs/>
                <w:highlight w:val="none"/>
                <w:u w:val="none" w:color="auto"/>
              </w:rPr>
              <w:t>地表水监测结果</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308"/>
              <w:gridCol w:w="1308"/>
              <w:gridCol w:w="1308"/>
              <w:gridCol w:w="1308"/>
              <w:gridCol w:w="1308"/>
            </w:tblGrid>
            <w:tr w14:paraId="79B9B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noWrap w:val="0"/>
                  <w:vAlign w:val="center"/>
                </w:tcPr>
                <w:p w14:paraId="2B81C7D7">
                  <w:pPr>
                    <w:pStyle w:val="30"/>
                    <w:bidi w:val="0"/>
                    <w:jc w:val="center"/>
                    <w:rPr>
                      <w:b/>
                      <w:bCs/>
                      <w:highlight w:val="none"/>
                      <w:u w:val="none" w:color="auto"/>
                    </w:rPr>
                  </w:pPr>
                  <w:r>
                    <w:rPr>
                      <w:b/>
                      <w:bCs/>
                      <w:highlight w:val="none"/>
                      <w:u w:val="none" w:color="auto"/>
                    </w:rPr>
                    <w:t>时间</w:t>
                  </w:r>
                </w:p>
              </w:tc>
              <w:tc>
                <w:tcPr>
                  <w:tcW w:w="833" w:type="pct"/>
                  <w:noWrap w:val="0"/>
                  <w:vAlign w:val="center"/>
                </w:tcPr>
                <w:p w14:paraId="254566C6">
                  <w:pPr>
                    <w:pStyle w:val="30"/>
                    <w:bidi w:val="0"/>
                    <w:jc w:val="center"/>
                    <w:rPr>
                      <w:b/>
                      <w:bCs/>
                      <w:highlight w:val="none"/>
                      <w:u w:val="none" w:color="auto"/>
                    </w:rPr>
                  </w:pPr>
                  <w:r>
                    <w:rPr>
                      <w:b/>
                      <w:bCs/>
                      <w:highlight w:val="none"/>
                      <w:u w:val="none" w:color="auto"/>
                    </w:rPr>
                    <w:t>所属水系</w:t>
                  </w:r>
                </w:p>
              </w:tc>
              <w:tc>
                <w:tcPr>
                  <w:tcW w:w="833" w:type="pct"/>
                  <w:noWrap w:val="0"/>
                  <w:vAlign w:val="center"/>
                </w:tcPr>
                <w:p w14:paraId="4FF5A2E8">
                  <w:pPr>
                    <w:pStyle w:val="30"/>
                    <w:bidi w:val="0"/>
                    <w:jc w:val="center"/>
                    <w:rPr>
                      <w:rFonts w:hint="eastAsia" w:eastAsia="宋体"/>
                      <w:b/>
                      <w:bCs/>
                      <w:highlight w:val="none"/>
                      <w:u w:val="none" w:color="auto"/>
                      <w:lang w:val="en-US" w:eastAsia="zh-CN"/>
                    </w:rPr>
                  </w:pPr>
                  <w:r>
                    <w:rPr>
                      <w:rFonts w:hint="eastAsia"/>
                      <w:b/>
                      <w:bCs/>
                      <w:highlight w:val="none"/>
                      <w:u w:val="none" w:color="auto"/>
                      <w:lang w:val="en-US" w:eastAsia="zh-CN"/>
                    </w:rPr>
                    <w:t>断面名称</w:t>
                  </w:r>
                </w:p>
              </w:tc>
              <w:tc>
                <w:tcPr>
                  <w:tcW w:w="833" w:type="pct"/>
                  <w:noWrap w:val="0"/>
                  <w:vAlign w:val="center"/>
                </w:tcPr>
                <w:p w14:paraId="00B5E9A4">
                  <w:pPr>
                    <w:pStyle w:val="30"/>
                    <w:bidi w:val="0"/>
                    <w:jc w:val="center"/>
                    <w:rPr>
                      <w:b/>
                      <w:bCs/>
                      <w:highlight w:val="none"/>
                      <w:u w:val="none" w:color="auto"/>
                    </w:rPr>
                  </w:pPr>
                  <w:r>
                    <w:rPr>
                      <w:b/>
                      <w:bCs/>
                      <w:highlight w:val="none"/>
                      <w:u w:val="none" w:color="auto"/>
                    </w:rPr>
                    <w:t>水质类别</w:t>
                  </w:r>
                </w:p>
              </w:tc>
              <w:tc>
                <w:tcPr>
                  <w:tcW w:w="833" w:type="pct"/>
                  <w:noWrap w:val="0"/>
                  <w:vAlign w:val="center"/>
                </w:tcPr>
                <w:p w14:paraId="36E6554C">
                  <w:pPr>
                    <w:pStyle w:val="30"/>
                    <w:bidi w:val="0"/>
                    <w:jc w:val="center"/>
                    <w:rPr>
                      <w:rFonts w:hint="eastAsia" w:eastAsia="宋体"/>
                      <w:b/>
                      <w:bCs/>
                      <w:highlight w:val="none"/>
                      <w:u w:val="none" w:color="auto"/>
                      <w:lang w:val="en-US" w:eastAsia="zh-CN"/>
                    </w:rPr>
                  </w:pPr>
                  <w:r>
                    <w:rPr>
                      <w:rFonts w:hint="eastAsia"/>
                      <w:b/>
                      <w:bCs/>
                      <w:highlight w:val="none"/>
                      <w:u w:val="none" w:color="auto"/>
                      <w:lang w:val="en-US" w:eastAsia="zh-CN"/>
                    </w:rPr>
                    <w:t>水质状况</w:t>
                  </w:r>
                </w:p>
              </w:tc>
              <w:tc>
                <w:tcPr>
                  <w:tcW w:w="833" w:type="pct"/>
                  <w:noWrap w:val="0"/>
                  <w:vAlign w:val="center"/>
                </w:tcPr>
                <w:p w14:paraId="130270C7">
                  <w:pPr>
                    <w:pStyle w:val="30"/>
                    <w:bidi w:val="0"/>
                    <w:jc w:val="center"/>
                    <w:rPr>
                      <w:b/>
                      <w:bCs/>
                      <w:highlight w:val="none"/>
                      <w:u w:val="none" w:color="auto"/>
                    </w:rPr>
                  </w:pPr>
                  <w:r>
                    <w:rPr>
                      <w:b/>
                      <w:bCs/>
                      <w:highlight w:val="none"/>
                      <w:u w:val="none" w:color="auto"/>
                    </w:rPr>
                    <w:t>是否达标</w:t>
                  </w:r>
                </w:p>
              </w:tc>
            </w:tr>
            <w:tr w14:paraId="5AF93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noWrap w:val="0"/>
                  <w:vAlign w:val="center"/>
                </w:tcPr>
                <w:p w14:paraId="03747105">
                  <w:pPr>
                    <w:pStyle w:val="30"/>
                    <w:bidi w:val="0"/>
                    <w:jc w:val="center"/>
                    <w:rPr>
                      <w:rFonts w:hint="default" w:eastAsia="宋体"/>
                      <w:highlight w:val="none"/>
                      <w:u w:val="none" w:color="auto"/>
                      <w:lang w:val="en-US" w:eastAsia="zh-CN"/>
                    </w:rPr>
                  </w:pPr>
                  <w:r>
                    <w:rPr>
                      <w:rFonts w:hint="eastAsia"/>
                      <w:highlight w:val="none"/>
                      <w:u w:val="none" w:color="auto"/>
                      <w:lang w:val="en-US" w:eastAsia="zh-CN"/>
                    </w:rPr>
                    <w:t>2025.7</w:t>
                  </w:r>
                </w:p>
              </w:tc>
              <w:tc>
                <w:tcPr>
                  <w:tcW w:w="833" w:type="pct"/>
                  <w:vMerge w:val="restart"/>
                  <w:noWrap w:val="0"/>
                  <w:vAlign w:val="center"/>
                </w:tcPr>
                <w:p w14:paraId="3E84FE9C">
                  <w:pPr>
                    <w:pStyle w:val="30"/>
                    <w:bidi w:val="0"/>
                    <w:jc w:val="center"/>
                    <w:rPr>
                      <w:highlight w:val="none"/>
                      <w:u w:val="none" w:color="auto"/>
                    </w:rPr>
                  </w:pPr>
                  <w:r>
                    <w:rPr>
                      <w:highlight w:val="none"/>
                      <w:u w:val="none" w:color="auto"/>
                    </w:rPr>
                    <w:t>新墙河</w:t>
                  </w:r>
                </w:p>
              </w:tc>
              <w:tc>
                <w:tcPr>
                  <w:tcW w:w="833" w:type="pct"/>
                  <w:noWrap w:val="0"/>
                  <w:vAlign w:val="center"/>
                </w:tcPr>
                <w:p w14:paraId="777D6D76">
                  <w:pPr>
                    <w:pStyle w:val="30"/>
                    <w:bidi w:val="0"/>
                    <w:jc w:val="center"/>
                    <w:rPr>
                      <w:rFonts w:hint="eastAsia" w:eastAsia="宋体"/>
                      <w:highlight w:val="none"/>
                      <w:u w:val="none" w:color="auto"/>
                      <w:lang w:val="en-US" w:eastAsia="zh-CN"/>
                    </w:rPr>
                  </w:pPr>
                  <w:r>
                    <w:rPr>
                      <w:rFonts w:hint="eastAsia"/>
                      <w:highlight w:val="none"/>
                      <w:u w:val="none" w:color="auto"/>
                      <w:lang w:val="en-US" w:eastAsia="zh-CN"/>
                    </w:rPr>
                    <w:t>新墙水库</w:t>
                  </w:r>
                </w:p>
              </w:tc>
              <w:tc>
                <w:tcPr>
                  <w:tcW w:w="833" w:type="pct"/>
                  <w:noWrap w:val="0"/>
                  <w:vAlign w:val="center"/>
                </w:tcPr>
                <w:p w14:paraId="1942672C">
                  <w:pPr>
                    <w:pStyle w:val="30"/>
                    <w:bidi w:val="0"/>
                    <w:jc w:val="center"/>
                    <w:rPr>
                      <w:highlight w:val="none"/>
                      <w:u w:val="none" w:color="auto"/>
                    </w:rPr>
                  </w:pPr>
                  <w:r>
                    <w:rPr>
                      <w:highlight w:val="none"/>
                      <w:u w:val="none" w:color="auto"/>
                    </w:rPr>
                    <w:t>Ⅱ</w:t>
                  </w:r>
                </w:p>
              </w:tc>
              <w:tc>
                <w:tcPr>
                  <w:tcW w:w="833" w:type="pct"/>
                  <w:noWrap w:val="0"/>
                  <w:vAlign w:val="center"/>
                </w:tcPr>
                <w:p w14:paraId="4F3F22E9">
                  <w:pPr>
                    <w:pStyle w:val="30"/>
                    <w:bidi w:val="0"/>
                    <w:jc w:val="center"/>
                    <w:rPr>
                      <w:rFonts w:ascii="Times New Roman" w:hAnsi="Times New Roman" w:eastAsia="宋体" w:cs="Times New Roman"/>
                      <w:highlight w:val="none"/>
                      <w:u w:val="none" w:color="auto"/>
                    </w:rPr>
                  </w:pPr>
                  <w:r>
                    <w:rPr>
                      <w:rFonts w:ascii="Times New Roman" w:hAnsi="Times New Roman" w:eastAsia="宋体" w:cs="Times New Roman"/>
                      <w:highlight w:val="none"/>
                      <w:u w:val="none" w:color="auto"/>
                    </w:rPr>
                    <w:t>优</w:t>
                  </w:r>
                </w:p>
              </w:tc>
              <w:tc>
                <w:tcPr>
                  <w:tcW w:w="833" w:type="pct"/>
                  <w:noWrap w:val="0"/>
                  <w:vAlign w:val="center"/>
                </w:tcPr>
                <w:p w14:paraId="58AB59EA">
                  <w:pPr>
                    <w:pStyle w:val="30"/>
                    <w:bidi w:val="0"/>
                    <w:jc w:val="center"/>
                    <w:rPr>
                      <w:highlight w:val="none"/>
                      <w:u w:val="none" w:color="auto"/>
                    </w:rPr>
                  </w:pPr>
                  <w:r>
                    <w:rPr>
                      <w:highlight w:val="none"/>
                      <w:u w:val="none" w:color="auto"/>
                    </w:rPr>
                    <w:t>达标</w:t>
                  </w:r>
                </w:p>
              </w:tc>
            </w:tr>
            <w:tr w14:paraId="5104D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noWrap w:val="0"/>
                  <w:vAlign w:val="center"/>
                </w:tcPr>
                <w:p w14:paraId="17DF6803">
                  <w:pPr>
                    <w:pStyle w:val="30"/>
                    <w:bidi w:val="0"/>
                    <w:jc w:val="center"/>
                    <w:rPr>
                      <w:highlight w:val="none"/>
                      <w:u w:val="none" w:color="auto"/>
                    </w:rPr>
                  </w:pPr>
                </w:p>
              </w:tc>
              <w:tc>
                <w:tcPr>
                  <w:tcW w:w="833" w:type="pct"/>
                  <w:vMerge w:val="continue"/>
                  <w:noWrap w:val="0"/>
                  <w:vAlign w:val="center"/>
                </w:tcPr>
                <w:p w14:paraId="24AC941F">
                  <w:pPr>
                    <w:pStyle w:val="30"/>
                    <w:bidi w:val="0"/>
                    <w:jc w:val="center"/>
                    <w:rPr>
                      <w:highlight w:val="none"/>
                      <w:u w:val="none" w:color="auto"/>
                    </w:rPr>
                  </w:pPr>
                </w:p>
              </w:tc>
              <w:tc>
                <w:tcPr>
                  <w:tcW w:w="833" w:type="pct"/>
                  <w:noWrap w:val="0"/>
                  <w:vAlign w:val="center"/>
                </w:tcPr>
                <w:p w14:paraId="30B89189">
                  <w:pPr>
                    <w:pStyle w:val="30"/>
                    <w:bidi w:val="0"/>
                    <w:jc w:val="center"/>
                    <w:rPr>
                      <w:rFonts w:hint="eastAsia" w:eastAsia="宋体"/>
                      <w:highlight w:val="none"/>
                      <w:u w:val="none" w:color="auto"/>
                      <w:lang w:val="en-US" w:eastAsia="zh-CN"/>
                    </w:rPr>
                  </w:pPr>
                  <w:r>
                    <w:rPr>
                      <w:rFonts w:hint="eastAsia"/>
                      <w:highlight w:val="none"/>
                      <w:u w:val="none" w:color="auto"/>
                      <w:lang w:val="en-US" w:eastAsia="zh-CN"/>
                    </w:rPr>
                    <w:t>铁山水库</w:t>
                  </w:r>
                </w:p>
              </w:tc>
              <w:tc>
                <w:tcPr>
                  <w:tcW w:w="833" w:type="pct"/>
                  <w:noWrap w:val="0"/>
                  <w:vAlign w:val="center"/>
                </w:tcPr>
                <w:p w14:paraId="22D18A13">
                  <w:pPr>
                    <w:pStyle w:val="30"/>
                    <w:bidi w:val="0"/>
                    <w:jc w:val="center"/>
                    <w:rPr>
                      <w:highlight w:val="none"/>
                      <w:u w:val="none" w:color="auto"/>
                    </w:rPr>
                  </w:pPr>
                  <w:r>
                    <w:rPr>
                      <w:highlight w:val="none"/>
                      <w:u w:val="none" w:color="auto"/>
                    </w:rPr>
                    <w:t>Ⅱ</w:t>
                  </w:r>
                </w:p>
              </w:tc>
              <w:tc>
                <w:tcPr>
                  <w:tcW w:w="833" w:type="pct"/>
                  <w:noWrap w:val="0"/>
                  <w:vAlign w:val="center"/>
                </w:tcPr>
                <w:p w14:paraId="7876D16D">
                  <w:pPr>
                    <w:pStyle w:val="30"/>
                    <w:bidi w:val="0"/>
                    <w:jc w:val="center"/>
                    <w:rPr>
                      <w:rFonts w:ascii="Times New Roman" w:hAnsi="Times New Roman" w:eastAsia="宋体" w:cs="Times New Roman"/>
                      <w:highlight w:val="none"/>
                      <w:u w:val="none" w:color="auto"/>
                    </w:rPr>
                  </w:pPr>
                  <w:r>
                    <w:rPr>
                      <w:rFonts w:ascii="Times New Roman" w:hAnsi="Times New Roman" w:eastAsia="宋体" w:cs="Times New Roman"/>
                      <w:highlight w:val="none"/>
                      <w:u w:val="none" w:color="auto"/>
                    </w:rPr>
                    <w:t>优</w:t>
                  </w:r>
                </w:p>
              </w:tc>
              <w:tc>
                <w:tcPr>
                  <w:tcW w:w="833" w:type="pct"/>
                  <w:noWrap w:val="0"/>
                  <w:vAlign w:val="center"/>
                </w:tcPr>
                <w:p w14:paraId="444A2E01">
                  <w:pPr>
                    <w:pStyle w:val="30"/>
                    <w:bidi w:val="0"/>
                    <w:jc w:val="center"/>
                    <w:rPr>
                      <w:highlight w:val="none"/>
                      <w:u w:val="none" w:color="auto"/>
                    </w:rPr>
                  </w:pPr>
                  <w:r>
                    <w:rPr>
                      <w:highlight w:val="none"/>
                      <w:u w:val="none" w:color="auto"/>
                    </w:rPr>
                    <w:t>达标</w:t>
                  </w:r>
                </w:p>
              </w:tc>
            </w:tr>
            <w:tr w14:paraId="79798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noWrap w:val="0"/>
                  <w:vAlign w:val="center"/>
                </w:tcPr>
                <w:p w14:paraId="3F3849CF">
                  <w:pPr>
                    <w:pStyle w:val="30"/>
                    <w:bidi w:val="0"/>
                    <w:jc w:val="center"/>
                    <w:rPr>
                      <w:highlight w:val="none"/>
                      <w:u w:val="none" w:color="auto"/>
                    </w:rPr>
                  </w:pPr>
                </w:p>
              </w:tc>
              <w:tc>
                <w:tcPr>
                  <w:tcW w:w="833" w:type="pct"/>
                  <w:vMerge w:val="continue"/>
                  <w:noWrap w:val="0"/>
                  <w:vAlign w:val="center"/>
                </w:tcPr>
                <w:p w14:paraId="0D3444E7">
                  <w:pPr>
                    <w:pStyle w:val="30"/>
                    <w:bidi w:val="0"/>
                    <w:jc w:val="center"/>
                    <w:rPr>
                      <w:highlight w:val="none"/>
                      <w:u w:val="none" w:color="auto"/>
                    </w:rPr>
                  </w:pPr>
                </w:p>
              </w:tc>
              <w:tc>
                <w:tcPr>
                  <w:tcW w:w="833" w:type="pct"/>
                  <w:noWrap w:val="0"/>
                  <w:vAlign w:val="center"/>
                </w:tcPr>
                <w:p w14:paraId="03A4CBD2">
                  <w:pPr>
                    <w:pStyle w:val="30"/>
                    <w:bidi w:val="0"/>
                    <w:jc w:val="center"/>
                    <w:rPr>
                      <w:rFonts w:hint="eastAsia" w:ascii="Times New Roman" w:hAnsi="Times New Roman" w:eastAsia="宋体" w:cs="Times New Roman"/>
                      <w:highlight w:val="none"/>
                      <w:u w:val="none" w:color="auto"/>
                      <w:lang w:val="en-US" w:eastAsia="zh-CN"/>
                    </w:rPr>
                  </w:pPr>
                  <w:r>
                    <w:rPr>
                      <w:rFonts w:hint="eastAsia" w:ascii="Times New Roman" w:hAnsi="Times New Roman" w:eastAsia="宋体" w:cs="Times New Roman"/>
                      <w:highlight w:val="none"/>
                      <w:u w:val="none" w:color="auto"/>
                      <w:lang w:val="en-US" w:eastAsia="zh-CN"/>
                    </w:rPr>
                    <w:t>新墙镇</w:t>
                  </w:r>
                </w:p>
              </w:tc>
              <w:tc>
                <w:tcPr>
                  <w:tcW w:w="833" w:type="pct"/>
                  <w:noWrap w:val="0"/>
                  <w:vAlign w:val="center"/>
                </w:tcPr>
                <w:p w14:paraId="587CE46E">
                  <w:pPr>
                    <w:pStyle w:val="30"/>
                    <w:bidi w:val="0"/>
                    <w:jc w:val="center"/>
                    <w:rPr>
                      <w:highlight w:val="none"/>
                      <w:u w:val="none" w:color="auto"/>
                    </w:rPr>
                  </w:pPr>
                  <w:r>
                    <w:rPr>
                      <w:highlight w:val="none"/>
                      <w:u w:val="none" w:color="auto"/>
                    </w:rPr>
                    <w:t>Ⅱ</w:t>
                  </w:r>
                </w:p>
              </w:tc>
              <w:tc>
                <w:tcPr>
                  <w:tcW w:w="833" w:type="pct"/>
                  <w:noWrap w:val="0"/>
                  <w:vAlign w:val="center"/>
                </w:tcPr>
                <w:p w14:paraId="543FD365">
                  <w:pPr>
                    <w:pStyle w:val="30"/>
                    <w:bidi w:val="0"/>
                    <w:jc w:val="center"/>
                    <w:rPr>
                      <w:rFonts w:ascii="Times New Roman" w:hAnsi="Times New Roman" w:eastAsia="宋体" w:cs="Times New Roman"/>
                      <w:highlight w:val="none"/>
                      <w:u w:val="none" w:color="auto"/>
                    </w:rPr>
                  </w:pPr>
                  <w:r>
                    <w:rPr>
                      <w:rFonts w:ascii="Times New Roman" w:hAnsi="Times New Roman" w:eastAsia="宋体" w:cs="Times New Roman"/>
                      <w:highlight w:val="none"/>
                      <w:u w:val="none" w:color="auto"/>
                    </w:rPr>
                    <w:t>优</w:t>
                  </w:r>
                </w:p>
              </w:tc>
              <w:tc>
                <w:tcPr>
                  <w:tcW w:w="833" w:type="pct"/>
                  <w:noWrap w:val="0"/>
                  <w:vAlign w:val="center"/>
                </w:tcPr>
                <w:p w14:paraId="70714E19">
                  <w:pPr>
                    <w:pStyle w:val="30"/>
                    <w:bidi w:val="0"/>
                    <w:jc w:val="center"/>
                    <w:rPr>
                      <w:highlight w:val="none"/>
                      <w:u w:val="none" w:color="auto"/>
                    </w:rPr>
                  </w:pPr>
                  <w:r>
                    <w:rPr>
                      <w:highlight w:val="none"/>
                      <w:u w:val="none" w:color="auto"/>
                    </w:rPr>
                    <w:t>达标</w:t>
                  </w:r>
                </w:p>
              </w:tc>
            </w:tr>
            <w:tr w14:paraId="6E90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noWrap w:val="0"/>
                  <w:vAlign w:val="center"/>
                </w:tcPr>
                <w:p w14:paraId="6BADD962">
                  <w:pPr>
                    <w:pStyle w:val="30"/>
                    <w:bidi w:val="0"/>
                    <w:jc w:val="center"/>
                    <w:rPr>
                      <w:highlight w:val="none"/>
                      <w:u w:val="none" w:color="auto"/>
                    </w:rPr>
                  </w:pPr>
                </w:p>
              </w:tc>
              <w:tc>
                <w:tcPr>
                  <w:tcW w:w="833" w:type="pct"/>
                  <w:vMerge w:val="continue"/>
                  <w:noWrap w:val="0"/>
                  <w:vAlign w:val="center"/>
                </w:tcPr>
                <w:p w14:paraId="594B6E25">
                  <w:pPr>
                    <w:pStyle w:val="30"/>
                    <w:bidi w:val="0"/>
                    <w:jc w:val="center"/>
                    <w:rPr>
                      <w:highlight w:val="none"/>
                      <w:u w:val="none" w:color="auto"/>
                    </w:rPr>
                  </w:pPr>
                </w:p>
              </w:tc>
              <w:tc>
                <w:tcPr>
                  <w:tcW w:w="833" w:type="pct"/>
                  <w:noWrap w:val="0"/>
                  <w:vAlign w:val="center"/>
                </w:tcPr>
                <w:p w14:paraId="4D3119EA">
                  <w:pPr>
                    <w:pStyle w:val="30"/>
                    <w:bidi w:val="0"/>
                    <w:jc w:val="center"/>
                    <w:rPr>
                      <w:rFonts w:hint="eastAsia" w:ascii="Times New Roman" w:hAnsi="Times New Roman" w:eastAsia="宋体" w:cs="Times New Roman"/>
                      <w:highlight w:val="none"/>
                      <w:u w:val="none" w:color="auto"/>
                      <w:lang w:val="en-US" w:eastAsia="zh-CN"/>
                    </w:rPr>
                  </w:pPr>
                  <w:r>
                    <w:rPr>
                      <w:rFonts w:hint="eastAsia" w:ascii="Times New Roman" w:hAnsi="Times New Roman" w:eastAsia="宋体" w:cs="Times New Roman"/>
                      <w:highlight w:val="none"/>
                      <w:u w:val="none" w:color="auto"/>
                      <w:lang w:val="en-US" w:eastAsia="zh-CN"/>
                    </w:rPr>
                    <w:t>小饶港水库</w:t>
                  </w:r>
                </w:p>
              </w:tc>
              <w:tc>
                <w:tcPr>
                  <w:tcW w:w="833" w:type="pct"/>
                  <w:noWrap w:val="0"/>
                  <w:vAlign w:val="center"/>
                </w:tcPr>
                <w:p w14:paraId="6CD2B209">
                  <w:pPr>
                    <w:pStyle w:val="30"/>
                    <w:bidi w:val="0"/>
                    <w:jc w:val="center"/>
                    <w:rPr>
                      <w:highlight w:val="none"/>
                      <w:u w:val="none" w:color="auto"/>
                    </w:rPr>
                  </w:pPr>
                  <w:r>
                    <w:rPr>
                      <w:highlight w:val="none"/>
                      <w:u w:val="none" w:color="auto"/>
                    </w:rPr>
                    <w:t>Ⅱ</w:t>
                  </w:r>
                </w:p>
              </w:tc>
              <w:tc>
                <w:tcPr>
                  <w:tcW w:w="833" w:type="pct"/>
                  <w:noWrap w:val="0"/>
                  <w:vAlign w:val="center"/>
                </w:tcPr>
                <w:p w14:paraId="2412BD47">
                  <w:pPr>
                    <w:pStyle w:val="30"/>
                    <w:bidi w:val="0"/>
                    <w:jc w:val="center"/>
                    <w:rPr>
                      <w:rFonts w:ascii="Times New Roman" w:hAnsi="Times New Roman" w:eastAsia="宋体" w:cs="Times New Roman"/>
                      <w:highlight w:val="none"/>
                      <w:u w:val="none" w:color="auto"/>
                    </w:rPr>
                  </w:pPr>
                  <w:r>
                    <w:rPr>
                      <w:rFonts w:ascii="Times New Roman" w:hAnsi="Times New Roman" w:eastAsia="宋体" w:cs="Times New Roman"/>
                      <w:highlight w:val="none"/>
                      <w:u w:val="none" w:color="auto"/>
                    </w:rPr>
                    <w:t>优</w:t>
                  </w:r>
                </w:p>
              </w:tc>
              <w:tc>
                <w:tcPr>
                  <w:tcW w:w="833" w:type="pct"/>
                  <w:noWrap w:val="0"/>
                  <w:vAlign w:val="center"/>
                </w:tcPr>
                <w:p w14:paraId="3A06C21D">
                  <w:pPr>
                    <w:pStyle w:val="30"/>
                    <w:bidi w:val="0"/>
                    <w:jc w:val="center"/>
                    <w:rPr>
                      <w:highlight w:val="none"/>
                      <w:u w:val="none" w:color="auto"/>
                    </w:rPr>
                  </w:pPr>
                  <w:r>
                    <w:rPr>
                      <w:highlight w:val="none"/>
                      <w:u w:val="none" w:color="auto"/>
                    </w:rPr>
                    <w:t>达标</w:t>
                  </w:r>
                </w:p>
              </w:tc>
            </w:tr>
            <w:tr w14:paraId="663D2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noWrap w:val="0"/>
                  <w:vAlign w:val="center"/>
                </w:tcPr>
                <w:p w14:paraId="65936E8C">
                  <w:pPr>
                    <w:pStyle w:val="30"/>
                    <w:bidi w:val="0"/>
                    <w:jc w:val="center"/>
                    <w:rPr>
                      <w:highlight w:val="none"/>
                      <w:u w:val="none" w:color="auto"/>
                    </w:rPr>
                  </w:pPr>
                </w:p>
              </w:tc>
              <w:tc>
                <w:tcPr>
                  <w:tcW w:w="833" w:type="pct"/>
                  <w:vMerge w:val="continue"/>
                  <w:noWrap w:val="0"/>
                  <w:vAlign w:val="center"/>
                </w:tcPr>
                <w:p w14:paraId="0DB35BA6">
                  <w:pPr>
                    <w:pStyle w:val="30"/>
                    <w:bidi w:val="0"/>
                    <w:jc w:val="center"/>
                    <w:rPr>
                      <w:highlight w:val="none"/>
                      <w:u w:val="none" w:color="auto"/>
                    </w:rPr>
                  </w:pPr>
                </w:p>
              </w:tc>
              <w:tc>
                <w:tcPr>
                  <w:tcW w:w="833" w:type="pct"/>
                  <w:noWrap w:val="0"/>
                  <w:vAlign w:val="center"/>
                </w:tcPr>
                <w:p w14:paraId="2984FEBF">
                  <w:pPr>
                    <w:pStyle w:val="30"/>
                    <w:bidi w:val="0"/>
                    <w:jc w:val="center"/>
                    <w:rPr>
                      <w:rFonts w:hint="eastAsia" w:ascii="Times New Roman" w:hAnsi="Times New Roman" w:eastAsia="宋体" w:cs="Times New Roman"/>
                      <w:highlight w:val="none"/>
                      <w:u w:val="none" w:color="auto"/>
                      <w:lang w:val="en-US" w:eastAsia="zh-CN"/>
                    </w:rPr>
                  </w:pPr>
                  <w:r>
                    <w:rPr>
                      <w:rFonts w:hint="eastAsia" w:ascii="Times New Roman" w:hAnsi="Times New Roman" w:eastAsia="宋体" w:cs="Times New Roman"/>
                      <w:highlight w:val="none"/>
                      <w:u w:val="none" w:color="auto"/>
                      <w:lang w:val="en-US" w:eastAsia="zh-CN"/>
                    </w:rPr>
                    <w:t>六合垸</w:t>
                  </w:r>
                </w:p>
              </w:tc>
              <w:tc>
                <w:tcPr>
                  <w:tcW w:w="833" w:type="pct"/>
                  <w:noWrap w:val="0"/>
                  <w:vAlign w:val="center"/>
                </w:tcPr>
                <w:p w14:paraId="18FEF707">
                  <w:pPr>
                    <w:pStyle w:val="30"/>
                    <w:bidi w:val="0"/>
                    <w:jc w:val="center"/>
                    <w:rPr>
                      <w:highlight w:val="none"/>
                      <w:u w:val="none" w:color="auto"/>
                    </w:rPr>
                  </w:pPr>
                  <w:r>
                    <w:rPr>
                      <w:highlight w:val="none"/>
                      <w:u w:val="none" w:color="auto"/>
                    </w:rPr>
                    <w:t>Ⅲ</w:t>
                  </w:r>
                </w:p>
              </w:tc>
              <w:tc>
                <w:tcPr>
                  <w:tcW w:w="833" w:type="pct"/>
                  <w:noWrap w:val="0"/>
                  <w:vAlign w:val="center"/>
                </w:tcPr>
                <w:p w14:paraId="58D290CB">
                  <w:pPr>
                    <w:pStyle w:val="30"/>
                    <w:bidi w:val="0"/>
                    <w:jc w:val="center"/>
                    <w:rPr>
                      <w:rFonts w:hint="eastAsia" w:ascii="Times New Roman" w:hAnsi="Times New Roman" w:eastAsia="宋体" w:cs="Times New Roman"/>
                      <w:highlight w:val="none"/>
                      <w:u w:val="none" w:color="auto"/>
                      <w:lang w:val="en-US" w:eastAsia="zh-CN"/>
                    </w:rPr>
                  </w:pPr>
                  <w:r>
                    <w:rPr>
                      <w:rFonts w:hint="eastAsia" w:ascii="Times New Roman" w:hAnsi="Times New Roman" w:eastAsia="宋体" w:cs="Times New Roman"/>
                      <w:highlight w:val="none"/>
                      <w:u w:val="none" w:color="auto"/>
                      <w:lang w:val="en-US" w:eastAsia="zh-CN"/>
                    </w:rPr>
                    <w:t>良好</w:t>
                  </w:r>
                </w:p>
              </w:tc>
              <w:tc>
                <w:tcPr>
                  <w:tcW w:w="833" w:type="pct"/>
                  <w:noWrap w:val="0"/>
                  <w:vAlign w:val="center"/>
                </w:tcPr>
                <w:p w14:paraId="3A7F1D48">
                  <w:pPr>
                    <w:pStyle w:val="30"/>
                    <w:bidi w:val="0"/>
                    <w:jc w:val="center"/>
                    <w:rPr>
                      <w:highlight w:val="none"/>
                      <w:u w:val="none" w:color="auto"/>
                    </w:rPr>
                  </w:pPr>
                  <w:r>
                    <w:rPr>
                      <w:highlight w:val="none"/>
                      <w:u w:val="none" w:color="auto"/>
                    </w:rPr>
                    <w:t>达标</w:t>
                  </w:r>
                </w:p>
              </w:tc>
            </w:tr>
          </w:tbl>
          <w:p w14:paraId="3BD4316A">
            <w:pPr>
              <w:pStyle w:val="2"/>
              <w:bidi w:val="0"/>
              <w:rPr>
                <w:rFonts w:hint="default" w:ascii="Times New Roman" w:hAnsi="Times New Roman" w:eastAsia="宋体" w:cs="Times New Roman"/>
                <w:color w:val="auto"/>
                <w:highlight w:val="none"/>
                <w:u w:val="none" w:color="auto"/>
                <w:lang w:val="en-US" w:eastAsia="zh-CN"/>
              </w:rPr>
            </w:pPr>
            <w:bookmarkStart w:id="84" w:name="_Toc30976"/>
            <w:bookmarkStart w:id="85" w:name="_Toc25709"/>
            <w:bookmarkStart w:id="86" w:name="_Toc29674"/>
            <w:bookmarkStart w:id="87" w:name="_Toc21410"/>
            <w:bookmarkStart w:id="88" w:name="_Toc30171"/>
            <w:r>
              <w:rPr>
                <w:rFonts w:hint="default" w:ascii="Times New Roman" w:hAnsi="Times New Roman" w:eastAsia="宋体" w:cs="Times New Roman"/>
                <w:color w:val="auto"/>
                <w:highlight w:val="none"/>
                <w:u w:val="none" w:color="auto"/>
                <w:lang w:val="en-US" w:eastAsia="zh-CN"/>
              </w:rPr>
              <w:t>三、声环境质量现状</w:t>
            </w:r>
            <w:bookmarkEnd w:id="84"/>
            <w:bookmarkEnd w:id="85"/>
            <w:bookmarkEnd w:id="86"/>
            <w:bookmarkEnd w:id="87"/>
            <w:bookmarkEnd w:id="88"/>
          </w:p>
          <w:p w14:paraId="3E5C9A42">
            <w:pPr>
              <w:pStyle w:val="25"/>
              <w:bidi w:val="0"/>
              <w:rPr>
                <w:rFonts w:hint="default"/>
                <w:highlight w:val="none"/>
                <w:u w:val="none" w:color="auto"/>
              </w:rPr>
            </w:pPr>
            <w:r>
              <w:rPr>
                <w:rFonts w:hint="default"/>
                <w:highlight w:val="none"/>
                <w:u w:val="none" w:color="auto"/>
              </w:rPr>
              <w:t>根据《建设项目环境影响报告表编制技术指南》（污染影响类）（试行）</w:t>
            </w:r>
            <w:r>
              <w:rPr>
                <w:rFonts w:hint="eastAsia"/>
                <w:highlight w:val="none"/>
                <w:u w:val="none" w:color="auto"/>
                <w:lang w:val="en-US" w:eastAsia="zh-CN"/>
              </w:rPr>
              <w:t>要求</w:t>
            </w:r>
            <w:r>
              <w:rPr>
                <w:rFonts w:hint="default"/>
                <w:highlight w:val="none"/>
                <w:u w:val="none" w:color="auto"/>
              </w:rPr>
              <w:t>，</w:t>
            </w:r>
            <w:r>
              <w:rPr>
                <w:highlight w:val="none"/>
                <w:u w:val="none" w:color="auto"/>
              </w:rPr>
              <w:t>厂界外周边50米范围内存在声环境保护目标的建设项目，应监测保护目标声环境质量现状并评价达标情况。</w:t>
            </w:r>
            <w:r>
              <w:rPr>
                <w:rFonts w:hint="default"/>
                <w:highlight w:val="none"/>
                <w:u w:val="none" w:color="auto"/>
              </w:rPr>
              <w:t>项目周边50m范围内无敏感点，无需进行声环境现状监测。</w:t>
            </w:r>
          </w:p>
          <w:p w14:paraId="0586818B">
            <w:pPr>
              <w:pStyle w:val="2"/>
              <w:bidi w:val="0"/>
              <w:rPr>
                <w:rFonts w:hint="default" w:ascii="Times New Roman" w:hAnsi="Times New Roman" w:eastAsia="宋体" w:cs="Times New Roman"/>
                <w:color w:val="auto"/>
                <w:highlight w:val="none"/>
                <w:u w:val="none" w:color="auto"/>
                <w:lang w:val="en-US" w:eastAsia="zh-CN"/>
              </w:rPr>
            </w:pPr>
            <w:bookmarkStart w:id="89" w:name="_Toc7291"/>
            <w:bookmarkStart w:id="90" w:name="_Toc11281"/>
            <w:bookmarkStart w:id="91" w:name="_Toc16786"/>
            <w:bookmarkStart w:id="92" w:name="_Toc26370"/>
            <w:bookmarkStart w:id="93" w:name="_Toc1117"/>
            <w:r>
              <w:rPr>
                <w:rFonts w:hint="eastAsia" w:ascii="Times New Roman" w:hAnsi="Times New Roman" w:eastAsia="宋体" w:cs="Times New Roman"/>
                <w:color w:val="auto"/>
                <w:highlight w:val="none"/>
                <w:u w:val="none" w:color="auto"/>
                <w:lang w:val="en-US" w:eastAsia="zh-CN"/>
              </w:rPr>
              <w:t>四、</w:t>
            </w:r>
            <w:r>
              <w:rPr>
                <w:rFonts w:hint="default" w:ascii="Times New Roman" w:hAnsi="Times New Roman" w:eastAsia="宋体" w:cs="Times New Roman"/>
                <w:color w:val="auto"/>
                <w:highlight w:val="none"/>
                <w:u w:val="none" w:color="auto"/>
                <w:lang w:val="en-US" w:eastAsia="zh-CN"/>
              </w:rPr>
              <w:t>地下水、土壤环境质量现状</w:t>
            </w:r>
            <w:bookmarkEnd w:id="89"/>
            <w:bookmarkEnd w:id="90"/>
            <w:bookmarkEnd w:id="91"/>
            <w:bookmarkEnd w:id="92"/>
            <w:bookmarkEnd w:id="93"/>
          </w:p>
          <w:p w14:paraId="37B5B5E9">
            <w:pPr>
              <w:pStyle w:val="25"/>
              <w:bidi w:val="0"/>
              <w:rPr>
                <w:rFonts w:hint="eastAsia"/>
                <w:color w:val="auto"/>
                <w:highlight w:val="none"/>
                <w:u w:val="none" w:color="auto"/>
              </w:rPr>
            </w:pPr>
            <w:r>
              <w:rPr>
                <w:rFonts w:hint="eastAsia"/>
                <w:color w:val="auto"/>
                <w:highlight w:val="none"/>
                <w:u w:val="none" w:color="auto"/>
              </w:rPr>
              <w:t>根据《建设项目环境影响报告表编制技术指南（污染影响类）（试行）》中具体编制要求“原则上不开展环境质量现状调查。建设项目存在地下水、土壤环境污染途径的，应结合污染源、保护目标分布情况开展现状调查以留作背景值。”结合现场调查及工艺分析，本</w:t>
            </w:r>
            <w:r>
              <w:rPr>
                <w:rFonts w:hint="eastAsia"/>
                <w:color w:val="auto"/>
                <w:highlight w:val="none"/>
                <w:u w:val="none" w:color="auto"/>
                <w:lang w:val="en-US" w:eastAsia="zh-CN"/>
              </w:rPr>
              <w:t>项目</w:t>
            </w:r>
            <w:r>
              <w:rPr>
                <w:rFonts w:hint="eastAsia"/>
                <w:color w:val="auto"/>
                <w:highlight w:val="none"/>
                <w:u w:val="none" w:color="auto"/>
              </w:rPr>
              <w:t>位于</w:t>
            </w:r>
            <w:r>
              <w:rPr>
                <w:rFonts w:hint="eastAsia" w:ascii="Times New Roman" w:hAnsi="Times New Roman" w:eastAsia="宋体" w:cs="Times New Roman"/>
                <w:color w:val="auto"/>
                <w:kern w:val="2"/>
                <w:sz w:val="24"/>
                <w:szCs w:val="24"/>
                <w:highlight w:val="none"/>
                <w:u w:val="none" w:color="auto"/>
                <w:lang w:val="en-US" w:eastAsia="zh-CN" w:bidi="ar-SA"/>
              </w:rPr>
              <w:t>湖南省岳阳市岳阳县</w:t>
            </w:r>
            <w:r>
              <w:rPr>
                <w:rFonts w:hint="eastAsia" w:cs="Times New Roman"/>
                <w:color w:val="auto"/>
                <w:kern w:val="2"/>
                <w:sz w:val="24"/>
                <w:szCs w:val="24"/>
                <w:highlight w:val="none"/>
                <w:u w:val="none" w:color="auto"/>
                <w:lang w:val="en-US" w:eastAsia="zh-CN" w:bidi="ar-SA"/>
              </w:rPr>
              <w:t>新墙镇</w:t>
            </w:r>
            <w:r>
              <w:rPr>
                <w:rFonts w:hint="eastAsia"/>
                <w:color w:val="auto"/>
                <w:highlight w:val="none"/>
                <w:u w:val="none" w:color="auto"/>
              </w:rPr>
              <w:t>，</w:t>
            </w:r>
            <w:r>
              <w:rPr>
                <w:rFonts w:hint="eastAsia"/>
                <w:color w:val="auto"/>
                <w:highlight w:val="none"/>
                <w:u w:val="none" w:color="auto"/>
                <w:lang w:val="en-US" w:eastAsia="zh-CN"/>
              </w:rPr>
              <w:t>租赁已建厂房，</w:t>
            </w:r>
            <w:r>
              <w:rPr>
                <w:rFonts w:hint="eastAsia"/>
                <w:color w:val="auto"/>
                <w:highlight w:val="none"/>
                <w:u w:val="none" w:color="auto"/>
              </w:rPr>
              <w:t>生产车间</w:t>
            </w:r>
            <w:r>
              <w:rPr>
                <w:rFonts w:hint="eastAsia"/>
                <w:color w:val="auto"/>
                <w:highlight w:val="none"/>
                <w:u w:val="none" w:color="auto"/>
                <w:lang w:val="en-US" w:eastAsia="zh-CN"/>
              </w:rPr>
              <w:t>和危废暂存间要</w:t>
            </w:r>
            <w:r>
              <w:rPr>
                <w:rFonts w:hint="eastAsia"/>
                <w:color w:val="auto"/>
                <w:highlight w:val="none"/>
                <w:u w:val="none" w:color="auto"/>
              </w:rPr>
              <w:t>做好硬化及“三防”措施（防扬散、防流失、防渗漏）</w:t>
            </w:r>
            <w:r>
              <w:rPr>
                <w:rFonts w:hint="eastAsia"/>
                <w:color w:val="auto"/>
                <w:highlight w:val="none"/>
                <w:u w:val="none" w:color="auto"/>
                <w:lang w:eastAsia="zh-CN"/>
              </w:rPr>
              <w:t>，</w:t>
            </w:r>
            <w:r>
              <w:rPr>
                <w:rFonts w:hint="eastAsia"/>
                <w:color w:val="auto"/>
                <w:highlight w:val="none"/>
                <w:u w:val="none" w:color="auto"/>
                <w:lang w:val="en-US" w:eastAsia="zh-CN"/>
              </w:rPr>
              <w:t>项目不具备地面漫流和垂直入渗的途径，不存在土壤、地下水污染途径</w:t>
            </w:r>
            <w:r>
              <w:rPr>
                <w:rFonts w:hint="eastAsia"/>
                <w:color w:val="auto"/>
                <w:highlight w:val="none"/>
                <w:u w:val="none" w:color="auto"/>
              </w:rPr>
              <w:t>。</w:t>
            </w:r>
          </w:p>
          <w:p w14:paraId="47594D94">
            <w:pPr>
              <w:pStyle w:val="25"/>
              <w:bidi w:val="0"/>
              <w:rPr>
                <w:rFonts w:hint="eastAsia" w:eastAsia="宋体"/>
                <w:color w:val="auto"/>
                <w:highlight w:val="none"/>
                <w:u w:val="none" w:color="auto"/>
                <w:lang w:eastAsia="zh-CN"/>
              </w:rPr>
            </w:pPr>
            <w:r>
              <w:rPr>
                <w:rFonts w:hint="default"/>
                <w:color w:val="auto"/>
                <w:highlight w:val="none"/>
                <w:u w:val="none" w:color="auto"/>
              </w:rPr>
              <w:t>本项目500m</w:t>
            </w:r>
            <w:r>
              <w:rPr>
                <w:rFonts w:hint="default" w:ascii="Times New Roman" w:hAnsi="Times New Roman" w:eastAsia="宋体" w:cs="Times New Roman"/>
                <w:color w:val="auto"/>
                <w:highlight w:val="none"/>
                <w:u w:val="none" w:color="auto"/>
              </w:rPr>
              <w:t>范围内无地下水集中式饮用水水源和热水、矿泉水、温泉等特殊地下水资源，因此可不开展地下水、土壤环境质量现状调查工作。</w:t>
            </w:r>
          </w:p>
          <w:p w14:paraId="7A230C68">
            <w:pPr>
              <w:pStyle w:val="2"/>
              <w:bidi w:val="0"/>
              <w:rPr>
                <w:rFonts w:hint="default" w:ascii="Times New Roman" w:hAnsi="Times New Roman" w:eastAsia="宋体" w:cs="Times New Roman"/>
                <w:color w:val="auto"/>
                <w:highlight w:val="none"/>
                <w:u w:val="none" w:color="auto"/>
                <w:lang w:val="en-US" w:eastAsia="zh-CN"/>
              </w:rPr>
            </w:pPr>
            <w:bookmarkStart w:id="94" w:name="_Toc8451"/>
            <w:bookmarkStart w:id="95" w:name="_Toc26583"/>
            <w:bookmarkStart w:id="96" w:name="_Toc17269"/>
            <w:bookmarkStart w:id="97" w:name="_Toc15826"/>
            <w:bookmarkStart w:id="98" w:name="_Toc18267"/>
            <w:r>
              <w:rPr>
                <w:rFonts w:hint="eastAsia" w:ascii="Times New Roman" w:hAnsi="Times New Roman" w:eastAsia="宋体" w:cs="Times New Roman"/>
                <w:color w:val="auto"/>
                <w:highlight w:val="none"/>
                <w:u w:val="none" w:color="auto"/>
                <w:lang w:val="en-US" w:eastAsia="zh-CN"/>
              </w:rPr>
              <w:t>五</w:t>
            </w:r>
            <w:r>
              <w:rPr>
                <w:rFonts w:hint="default" w:ascii="Times New Roman" w:hAnsi="Times New Roman" w:eastAsia="宋体" w:cs="Times New Roman"/>
                <w:color w:val="auto"/>
                <w:highlight w:val="none"/>
                <w:u w:val="none" w:color="auto"/>
                <w:lang w:val="en-US" w:eastAsia="zh-CN"/>
              </w:rPr>
              <w:t>、生态环境质量现状与评价</w:t>
            </w:r>
            <w:bookmarkEnd w:id="94"/>
            <w:bookmarkEnd w:id="95"/>
            <w:bookmarkEnd w:id="96"/>
            <w:bookmarkEnd w:id="97"/>
            <w:bookmarkEnd w:id="98"/>
          </w:p>
          <w:p w14:paraId="02BC8292">
            <w:pPr>
              <w:pStyle w:val="25"/>
              <w:bidi w:val="0"/>
              <w:rPr>
                <w:rFonts w:hint="eastAsia"/>
                <w:color w:val="auto"/>
                <w:highlight w:val="none"/>
                <w:u w:val="none" w:color="auto"/>
              </w:rPr>
            </w:pPr>
            <w:r>
              <w:rPr>
                <w:rFonts w:hint="eastAsia"/>
                <w:color w:val="auto"/>
                <w:highlight w:val="none"/>
                <w:u w:val="none" w:color="auto"/>
              </w:rPr>
              <w:t>根据《建设项目环境影响报告表编制技术指南（污染影响类）（试行）》中具体编制要求“产业园区外建设项目新增用地且用地范围内含有生态环境敏感目标时，应进行生态调查。”</w:t>
            </w:r>
          </w:p>
          <w:p w14:paraId="08967E9D">
            <w:pPr>
              <w:pStyle w:val="25"/>
              <w:bidi w:val="0"/>
              <w:rPr>
                <w:rFonts w:hint="default" w:ascii="Times New Roman" w:hAnsi="Times New Roman" w:cs="Times New Roman"/>
                <w:color w:val="auto"/>
                <w:kern w:val="0"/>
                <w:szCs w:val="21"/>
                <w:highlight w:val="none"/>
                <w:u w:val="none" w:color="auto"/>
              </w:rPr>
            </w:pPr>
            <w:r>
              <w:rPr>
                <w:rStyle w:val="35"/>
                <w:rFonts w:hint="eastAsia"/>
                <w:highlight w:val="none"/>
                <w:u w:val="none" w:color="auto"/>
                <w:lang w:val="en-US" w:eastAsia="zh-CN"/>
              </w:rPr>
              <w:t>结合现场调查，本项目位于产业园区外，企业</w:t>
            </w:r>
            <w:r>
              <w:rPr>
                <w:rFonts w:hint="eastAsia"/>
                <w:color w:val="auto"/>
                <w:highlight w:val="none"/>
                <w:u w:val="none" w:color="auto"/>
                <w:lang w:val="en-US" w:eastAsia="zh-CN"/>
              </w:rPr>
              <w:t>位于</w:t>
            </w:r>
            <w:r>
              <w:rPr>
                <w:rFonts w:hint="eastAsia" w:ascii="Times New Roman" w:hAnsi="Times New Roman" w:eastAsia="宋体" w:cs="Times New Roman"/>
                <w:color w:val="auto"/>
                <w:kern w:val="2"/>
                <w:sz w:val="24"/>
                <w:szCs w:val="24"/>
                <w:highlight w:val="none"/>
                <w:u w:val="none" w:color="auto"/>
                <w:lang w:val="en-US" w:eastAsia="zh-CN" w:bidi="ar-SA"/>
              </w:rPr>
              <w:t>湖南省岳阳市岳阳县</w:t>
            </w:r>
            <w:r>
              <w:rPr>
                <w:rFonts w:hint="eastAsia" w:cs="Times New Roman"/>
                <w:color w:val="auto"/>
                <w:kern w:val="2"/>
                <w:sz w:val="24"/>
                <w:szCs w:val="24"/>
                <w:highlight w:val="none"/>
                <w:u w:val="none" w:color="auto"/>
                <w:lang w:val="en-US" w:eastAsia="zh-CN" w:bidi="ar-SA"/>
              </w:rPr>
              <w:t>新墙镇</w:t>
            </w:r>
            <w:r>
              <w:rPr>
                <w:rFonts w:hint="eastAsia"/>
                <w:color w:val="auto"/>
                <w:highlight w:val="none"/>
                <w:u w:val="none" w:color="auto"/>
                <w:lang w:val="en-US" w:eastAsia="zh-CN"/>
              </w:rPr>
              <w:t>，</w:t>
            </w:r>
            <w:r>
              <w:rPr>
                <w:rStyle w:val="35"/>
                <w:rFonts w:hint="eastAsia"/>
                <w:highlight w:val="none"/>
                <w:u w:val="none" w:color="auto"/>
                <w:lang w:val="en-US" w:eastAsia="zh-CN"/>
              </w:rPr>
              <w:t>用地范围内无生态环境保护目标，故不进行生态现状调查。</w:t>
            </w:r>
          </w:p>
        </w:tc>
      </w:tr>
      <w:tr w14:paraId="7AA5C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vAlign w:val="center"/>
          </w:tcPr>
          <w:p w14:paraId="29031A41">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4EAC96F3">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保护</w:t>
            </w:r>
          </w:p>
          <w:p w14:paraId="627D58FD">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目标</w:t>
            </w:r>
          </w:p>
        </w:tc>
        <w:tc>
          <w:tcPr>
            <w:tcW w:w="4751" w:type="pct"/>
            <w:tcBorders>
              <w:tl2br w:val="nil"/>
              <w:tr2bl w:val="nil"/>
            </w:tcBorders>
            <w:noWrap w:val="0"/>
            <w:vAlign w:val="center"/>
          </w:tcPr>
          <w:p w14:paraId="6255E099">
            <w:pPr>
              <w:pStyle w:val="25"/>
              <w:bidi w:val="0"/>
              <w:rPr>
                <w:rFonts w:hint="default" w:ascii="Times New Roman" w:hAnsi="Times New Roman" w:cs="Times New Roman"/>
                <w:color w:val="auto"/>
                <w:highlight w:val="none"/>
                <w:u w:val="none" w:color="auto"/>
              </w:rPr>
            </w:pPr>
            <w:r>
              <w:rPr>
                <w:rFonts w:hint="default"/>
                <w:color w:val="auto"/>
                <w:highlight w:val="none"/>
                <w:u w:val="none" w:color="auto"/>
              </w:rPr>
              <w:t>根据现场</w:t>
            </w:r>
            <w:r>
              <w:rPr>
                <w:rFonts w:hint="default"/>
                <w:color w:val="auto"/>
                <w:highlight w:val="none"/>
                <w:u w:val="none" w:color="auto"/>
                <w:lang w:val="en-US" w:eastAsia="zh-CN"/>
              </w:rPr>
              <w:t>勘查</w:t>
            </w:r>
            <w:r>
              <w:rPr>
                <w:rFonts w:hint="default"/>
                <w:color w:val="auto"/>
                <w:highlight w:val="none"/>
                <w:u w:val="none" w:color="auto"/>
              </w:rPr>
              <w:t>，本项目环境保护目标见下表。</w:t>
            </w:r>
          </w:p>
          <w:p w14:paraId="00BBA656">
            <w:pPr>
              <w:pStyle w:val="3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rPr>
              <w:t>表3-</w:t>
            </w:r>
            <w:r>
              <w:rPr>
                <w:rFonts w:hint="eastAsia" w:cs="Times New Roman"/>
                <w:b/>
                <w:bCs/>
                <w:color w:val="auto"/>
                <w:highlight w:val="none"/>
                <w:u w:val="none" w:color="auto"/>
                <w:lang w:val="en-US" w:eastAsia="zh-CN"/>
              </w:rPr>
              <w:t xml:space="preserve">4   </w:t>
            </w:r>
            <w:r>
              <w:rPr>
                <w:rFonts w:hint="default" w:ascii="Times New Roman" w:hAnsi="Times New Roman" w:cs="Times New Roman"/>
                <w:b/>
                <w:bCs/>
                <w:color w:val="auto"/>
                <w:highlight w:val="none"/>
                <w:u w:val="none" w:color="auto"/>
              </w:rPr>
              <w:t>项目周边环境空气保护目标一览表</w:t>
            </w:r>
          </w:p>
          <w:tbl>
            <w:tblPr>
              <w:tblStyle w:val="4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0"/>
              <w:gridCol w:w="1247"/>
              <w:gridCol w:w="1154"/>
              <w:gridCol w:w="311"/>
              <w:gridCol w:w="865"/>
              <w:gridCol w:w="487"/>
              <w:gridCol w:w="567"/>
              <w:gridCol w:w="531"/>
              <w:gridCol w:w="1764"/>
            </w:tblGrid>
            <w:tr w14:paraId="56EC1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86" w:type="pct"/>
                  <w:vMerge w:val="restart"/>
                  <w:tcBorders>
                    <w:tl2br w:val="nil"/>
                    <w:tr2bl w:val="nil"/>
                  </w:tcBorders>
                  <w:noWrap w:val="0"/>
                  <w:vAlign w:val="center"/>
                </w:tcPr>
                <w:p w14:paraId="576E89F1">
                  <w:pPr>
                    <w:pStyle w:val="30"/>
                    <w:autoSpaceDE w:val="0"/>
                    <w:autoSpaceDN w:val="0"/>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名称</w:t>
                  </w:r>
                </w:p>
              </w:tc>
              <w:tc>
                <w:tcPr>
                  <w:tcW w:w="1529" w:type="pct"/>
                  <w:gridSpan w:val="2"/>
                  <w:tcBorders>
                    <w:tl2br w:val="nil"/>
                    <w:tr2bl w:val="nil"/>
                  </w:tcBorders>
                  <w:noWrap w:val="0"/>
                  <w:vAlign w:val="center"/>
                </w:tcPr>
                <w:p w14:paraId="3DF45CCA">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坐标</w:t>
                  </w:r>
                </w:p>
              </w:tc>
              <w:tc>
                <w:tcPr>
                  <w:tcW w:w="198" w:type="pct"/>
                  <w:vMerge w:val="restart"/>
                  <w:tcBorders>
                    <w:tl2br w:val="nil"/>
                    <w:tr2bl w:val="nil"/>
                  </w:tcBorders>
                  <w:noWrap w:val="0"/>
                  <w:vAlign w:val="center"/>
                </w:tcPr>
                <w:p w14:paraId="24A40CB7">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保护</w:t>
                  </w:r>
                </w:p>
                <w:p w14:paraId="230F5629">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对象</w:t>
                  </w:r>
                </w:p>
              </w:tc>
              <w:tc>
                <w:tcPr>
                  <w:tcW w:w="551" w:type="pct"/>
                  <w:vMerge w:val="restart"/>
                  <w:tcBorders>
                    <w:tl2br w:val="nil"/>
                    <w:tr2bl w:val="nil"/>
                  </w:tcBorders>
                  <w:noWrap w:val="0"/>
                  <w:vAlign w:val="center"/>
                </w:tcPr>
                <w:p w14:paraId="3DA8A69F">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保护内容</w:t>
                  </w:r>
                </w:p>
              </w:tc>
              <w:tc>
                <w:tcPr>
                  <w:tcW w:w="310" w:type="pct"/>
                  <w:vMerge w:val="restart"/>
                  <w:tcBorders>
                    <w:tl2br w:val="nil"/>
                    <w:tr2bl w:val="nil"/>
                  </w:tcBorders>
                  <w:noWrap w:val="0"/>
                  <w:vAlign w:val="center"/>
                </w:tcPr>
                <w:p w14:paraId="15983AAB">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环境</w:t>
                  </w:r>
                </w:p>
                <w:p w14:paraId="0637B5A1">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功能</w:t>
                  </w:r>
                </w:p>
                <w:p w14:paraId="3089AFEA">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区</w:t>
                  </w:r>
                </w:p>
              </w:tc>
              <w:tc>
                <w:tcPr>
                  <w:tcW w:w="361" w:type="pct"/>
                  <w:vMerge w:val="restart"/>
                  <w:tcBorders>
                    <w:tl2br w:val="nil"/>
                    <w:tr2bl w:val="nil"/>
                  </w:tcBorders>
                  <w:noWrap w:val="0"/>
                  <w:vAlign w:val="center"/>
                </w:tcPr>
                <w:p w14:paraId="206AD142">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相对厂址方位</w:t>
                  </w:r>
                </w:p>
              </w:tc>
              <w:tc>
                <w:tcPr>
                  <w:tcW w:w="338" w:type="pct"/>
                  <w:vMerge w:val="restart"/>
                  <w:tcBorders>
                    <w:tl2br w:val="nil"/>
                    <w:tr2bl w:val="nil"/>
                  </w:tcBorders>
                  <w:noWrap w:val="0"/>
                  <w:vAlign w:val="center"/>
                </w:tcPr>
                <w:p w14:paraId="08CBD96D">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相对厂址距离m</w:t>
                  </w:r>
                </w:p>
              </w:tc>
              <w:tc>
                <w:tcPr>
                  <w:tcW w:w="1123" w:type="pct"/>
                  <w:vMerge w:val="restart"/>
                  <w:tcBorders>
                    <w:tl2br w:val="nil"/>
                    <w:tr2bl w:val="nil"/>
                  </w:tcBorders>
                  <w:noWrap w:val="0"/>
                  <w:vAlign w:val="center"/>
                </w:tcPr>
                <w:p w14:paraId="18AC1BF1">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保护级别</w:t>
                  </w:r>
                </w:p>
              </w:tc>
            </w:tr>
            <w:tr w14:paraId="7E55E5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586" w:type="pct"/>
                  <w:vMerge w:val="continue"/>
                  <w:tcBorders>
                    <w:tl2br w:val="nil"/>
                    <w:tr2bl w:val="nil"/>
                  </w:tcBorders>
                  <w:noWrap w:val="0"/>
                  <w:vAlign w:val="center"/>
                </w:tcPr>
                <w:p w14:paraId="3E43A4E7">
                  <w:pPr>
                    <w:pStyle w:val="30"/>
                    <w:autoSpaceDE w:val="0"/>
                    <w:autoSpaceDN w:val="0"/>
                    <w:bidi w:val="0"/>
                    <w:jc w:val="center"/>
                    <w:rPr>
                      <w:rFonts w:hint="default"/>
                      <w:color w:val="auto"/>
                      <w:highlight w:val="none"/>
                      <w:u w:val="none" w:color="auto"/>
                    </w:rPr>
                  </w:pPr>
                </w:p>
              </w:tc>
              <w:tc>
                <w:tcPr>
                  <w:tcW w:w="794" w:type="pct"/>
                  <w:tcBorders>
                    <w:tl2br w:val="nil"/>
                    <w:tr2bl w:val="nil"/>
                  </w:tcBorders>
                  <w:noWrap w:val="0"/>
                  <w:vAlign w:val="center"/>
                </w:tcPr>
                <w:p w14:paraId="5982D0CF">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X</w:t>
                  </w:r>
                </w:p>
              </w:tc>
              <w:tc>
                <w:tcPr>
                  <w:tcW w:w="734" w:type="pct"/>
                  <w:tcBorders>
                    <w:tl2br w:val="nil"/>
                    <w:tr2bl w:val="nil"/>
                  </w:tcBorders>
                  <w:noWrap w:val="0"/>
                  <w:vAlign w:val="center"/>
                </w:tcPr>
                <w:p w14:paraId="4B859F66">
                  <w:pPr>
                    <w:pStyle w:val="30"/>
                    <w:autoSpaceDE w:val="0"/>
                    <w:autoSpaceDN w:val="0"/>
                    <w:bidi w:val="0"/>
                    <w:jc w:val="center"/>
                    <w:rPr>
                      <w:rFonts w:hint="default"/>
                      <w:b/>
                      <w:bCs/>
                      <w:color w:val="auto"/>
                      <w:highlight w:val="none"/>
                      <w:u w:val="none" w:color="auto"/>
                    </w:rPr>
                  </w:pPr>
                  <w:r>
                    <w:rPr>
                      <w:rFonts w:hint="default"/>
                      <w:b/>
                      <w:bCs/>
                      <w:color w:val="auto"/>
                      <w:highlight w:val="none"/>
                      <w:u w:val="none" w:color="auto"/>
                    </w:rPr>
                    <w:t>Y</w:t>
                  </w:r>
                </w:p>
              </w:tc>
              <w:tc>
                <w:tcPr>
                  <w:tcW w:w="198" w:type="pct"/>
                  <w:vMerge w:val="continue"/>
                  <w:tcBorders>
                    <w:tl2br w:val="nil"/>
                    <w:tr2bl w:val="nil"/>
                  </w:tcBorders>
                  <w:noWrap w:val="0"/>
                  <w:vAlign w:val="center"/>
                </w:tcPr>
                <w:p w14:paraId="73FD6461">
                  <w:pPr>
                    <w:pStyle w:val="30"/>
                    <w:autoSpaceDE w:val="0"/>
                    <w:autoSpaceDN w:val="0"/>
                    <w:bidi w:val="0"/>
                    <w:jc w:val="center"/>
                    <w:rPr>
                      <w:rFonts w:hint="default"/>
                      <w:color w:val="auto"/>
                      <w:highlight w:val="none"/>
                      <w:u w:val="none" w:color="auto"/>
                    </w:rPr>
                  </w:pPr>
                </w:p>
              </w:tc>
              <w:tc>
                <w:tcPr>
                  <w:tcW w:w="551" w:type="pct"/>
                  <w:vMerge w:val="continue"/>
                  <w:tcBorders>
                    <w:tl2br w:val="nil"/>
                    <w:tr2bl w:val="nil"/>
                  </w:tcBorders>
                  <w:noWrap w:val="0"/>
                  <w:vAlign w:val="center"/>
                </w:tcPr>
                <w:p w14:paraId="0A8B4093">
                  <w:pPr>
                    <w:pStyle w:val="30"/>
                    <w:autoSpaceDE w:val="0"/>
                    <w:autoSpaceDN w:val="0"/>
                    <w:bidi w:val="0"/>
                    <w:jc w:val="center"/>
                    <w:rPr>
                      <w:rFonts w:hint="default"/>
                      <w:color w:val="auto"/>
                      <w:highlight w:val="none"/>
                      <w:u w:val="none" w:color="auto"/>
                    </w:rPr>
                  </w:pPr>
                </w:p>
              </w:tc>
              <w:tc>
                <w:tcPr>
                  <w:tcW w:w="310" w:type="pct"/>
                  <w:vMerge w:val="continue"/>
                  <w:tcBorders>
                    <w:tl2br w:val="nil"/>
                    <w:tr2bl w:val="nil"/>
                  </w:tcBorders>
                  <w:noWrap w:val="0"/>
                  <w:vAlign w:val="center"/>
                </w:tcPr>
                <w:p w14:paraId="3B889651">
                  <w:pPr>
                    <w:pStyle w:val="30"/>
                    <w:autoSpaceDE w:val="0"/>
                    <w:autoSpaceDN w:val="0"/>
                    <w:bidi w:val="0"/>
                    <w:jc w:val="center"/>
                    <w:rPr>
                      <w:rFonts w:hint="default"/>
                      <w:color w:val="auto"/>
                      <w:highlight w:val="none"/>
                      <w:u w:val="none" w:color="auto"/>
                    </w:rPr>
                  </w:pPr>
                </w:p>
              </w:tc>
              <w:tc>
                <w:tcPr>
                  <w:tcW w:w="361" w:type="pct"/>
                  <w:vMerge w:val="continue"/>
                  <w:tcBorders>
                    <w:tl2br w:val="nil"/>
                    <w:tr2bl w:val="nil"/>
                  </w:tcBorders>
                  <w:noWrap w:val="0"/>
                  <w:vAlign w:val="center"/>
                </w:tcPr>
                <w:p w14:paraId="7013CB79">
                  <w:pPr>
                    <w:pStyle w:val="30"/>
                    <w:autoSpaceDE w:val="0"/>
                    <w:autoSpaceDN w:val="0"/>
                    <w:bidi w:val="0"/>
                    <w:jc w:val="center"/>
                    <w:rPr>
                      <w:rFonts w:hint="default"/>
                      <w:color w:val="auto"/>
                      <w:highlight w:val="none"/>
                      <w:u w:val="none" w:color="auto"/>
                    </w:rPr>
                  </w:pPr>
                </w:p>
              </w:tc>
              <w:tc>
                <w:tcPr>
                  <w:tcW w:w="338" w:type="pct"/>
                  <w:vMerge w:val="continue"/>
                  <w:tcBorders>
                    <w:tl2br w:val="nil"/>
                    <w:tr2bl w:val="nil"/>
                  </w:tcBorders>
                  <w:noWrap w:val="0"/>
                  <w:vAlign w:val="center"/>
                </w:tcPr>
                <w:p w14:paraId="659370BA">
                  <w:pPr>
                    <w:pStyle w:val="30"/>
                    <w:autoSpaceDE w:val="0"/>
                    <w:autoSpaceDN w:val="0"/>
                    <w:bidi w:val="0"/>
                    <w:jc w:val="center"/>
                    <w:rPr>
                      <w:rFonts w:hint="default"/>
                      <w:color w:val="auto"/>
                      <w:highlight w:val="none"/>
                      <w:u w:val="none" w:color="auto"/>
                    </w:rPr>
                  </w:pPr>
                </w:p>
              </w:tc>
              <w:tc>
                <w:tcPr>
                  <w:tcW w:w="1123" w:type="pct"/>
                  <w:vMerge w:val="continue"/>
                  <w:tcBorders>
                    <w:tl2br w:val="nil"/>
                    <w:tr2bl w:val="nil"/>
                  </w:tcBorders>
                  <w:noWrap w:val="0"/>
                  <w:vAlign w:val="center"/>
                </w:tcPr>
                <w:p w14:paraId="1900DC04">
                  <w:pPr>
                    <w:pStyle w:val="30"/>
                    <w:autoSpaceDE w:val="0"/>
                    <w:autoSpaceDN w:val="0"/>
                    <w:bidi w:val="0"/>
                    <w:jc w:val="center"/>
                    <w:rPr>
                      <w:rFonts w:hint="default"/>
                      <w:color w:val="auto"/>
                      <w:highlight w:val="none"/>
                      <w:u w:val="none" w:color="auto"/>
                    </w:rPr>
                  </w:pPr>
                </w:p>
              </w:tc>
            </w:tr>
            <w:tr w14:paraId="1C4491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0DB1280A">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岳阳县第三中学</w:t>
                  </w:r>
                </w:p>
              </w:tc>
              <w:tc>
                <w:tcPr>
                  <w:tcW w:w="794" w:type="pct"/>
                  <w:tcBorders>
                    <w:tl2br w:val="nil"/>
                    <w:tr2bl w:val="nil"/>
                  </w:tcBorders>
                  <w:noWrap w:val="0"/>
                  <w:vAlign w:val="center"/>
                </w:tcPr>
                <w:p w14:paraId="7EA0F38C">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113.21232522</w:t>
                  </w:r>
                </w:p>
              </w:tc>
              <w:tc>
                <w:tcPr>
                  <w:tcW w:w="734" w:type="pct"/>
                  <w:tcBorders>
                    <w:tl2br w:val="nil"/>
                    <w:tr2bl w:val="nil"/>
                  </w:tcBorders>
                  <w:noWrap w:val="0"/>
                  <w:vAlign w:val="center"/>
                </w:tcPr>
                <w:p w14:paraId="3E501696">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29.12567063</w:t>
                  </w:r>
                </w:p>
              </w:tc>
              <w:tc>
                <w:tcPr>
                  <w:tcW w:w="198" w:type="pct"/>
                  <w:vMerge w:val="restart"/>
                  <w:tcBorders>
                    <w:tl2br w:val="nil"/>
                    <w:tr2bl w:val="nil"/>
                  </w:tcBorders>
                  <w:noWrap w:val="0"/>
                  <w:vAlign w:val="center"/>
                </w:tcPr>
                <w:p w14:paraId="171F0B42">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居民</w:t>
                  </w:r>
                </w:p>
              </w:tc>
              <w:tc>
                <w:tcPr>
                  <w:tcW w:w="551" w:type="pct"/>
                  <w:tcBorders>
                    <w:tl2br w:val="nil"/>
                    <w:tr2bl w:val="nil"/>
                  </w:tcBorders>
                  <w:noWrap w:val="0"/>
                  <w:vAlign w:val="center"/>
                </w:tcPr>
                <w:p w14:paraId="2AAE9E35">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约2000人</w:t>
                  </w:r>
                </w:p>
              </w:tc>
              <w:tc>
                <w:tcPr>
                  <w:tcW w:w="310" w:type="pct"/>
                  <w:vMerge w:val="restart"/>
                  <w:tcBorders>
                    <w:tl2br w:val="nil"/>
                    <w:tr2bl w:val="nil"/>
                  </w:tcBorders>
                  <w:noWrap w:val="0"/>
                  <w:vAlign w:val="center"/>
                </w:tcPr>
                <w:p w14:paraId="479F8277">
                  <w:pPr>
                    <w:pStyle w:val="30"/>
                    <w:autoSpaceDE w:val="0"/>
                    <w:autoSpaceDN w:val="0"/>
                    <w:bidi w:val="0"/>
                    <w:jc w:val="center"/>
                    <w:rPr>
                      <w:rFonts w:hint="default"/>
                      <w:color w:val="auto"/>
                      <w:highlight w:val="none"/>
                      <w:u w:val="none" w:color="auto"/>
                    </w:rPr>
                  </w:pPr>
                  <w:r>
                    <w:rPr>
                      <w:rFonts w:hint="default"/>
                      <w:color w:val="auto"/>
                      <w:highlight w:val="none"/>
                      <w:u w:val="none" w:color="auto"/>
                    </w:rPr>
                    <w:t>二类区</w:t>
                  </w:r>
                </w:p>
              </w:tc>
              <w:tc>
                <w:tcPr>
                  <w:tcW w:w="361" w:type="pct"/>
                  <w:tcBorders>
                    <w:tl2br w:val="nil"/>
                    <w:tr2bl w:val="nil"/>
                  </w:tcBorders>
                  <w:noWrap w:val="0"/>
                  <w:vAlign w:val="center"/>
                </w:tcPr>
                <w:p w14:paraId="4C55FA93">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东北</w:t>
                  </w:r>
                </w:p>
              </w:tc>
              <w:tc>
                <w:tcPr>
                  <w:tcW w:w="338" w:type="pct"/>
                  <w:tcBorders>
                    <w:tl2br w:val="nil"/>
                    <w:tr2bl w:val="nil"/>
                  </w:tcBorders>
                  <w:noWrap w:val="0"/>
                  <w:vAlign w:val="center"/>
                </w:tcPr>
                <w:p w14:paraId="4DA38D4B">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62</w:t>
                  </w:r>
                </w:p>
              </w:tc>
              <w:tc>
                <w:tcPr>
                  <w:tcW w:w="1123" w:type="pct"/>
                  <w:vMerge w:val="restart"/>
                  <w:tcBorders>
                    <w:tl2br w:val="nil"/>
                    <w:tr2bl w:val="nil"/>
                  </w:tcBorders>
                  <w:noWrap w:val="0"/>
                  <w:vAlign w:val="center"/>
                </w:tcPr>
                <w:p w14:paraId="0E17C3B6">
                  <w:pPr>
                    <w:pStyle w:val="30"/>
                    <w:keepNext w:val="0"/>
                    <w:keepLines w:val="0"/>
                    <w:pageBreakBefore w:val="0"/>
                    <w:widowControl w:val="0"/>
                    <w:kinsoku/>
                    <w:wordWrap w:val="0"/>
                    <w:overflowPunct/>
                    <w:topLinePunct/>
                    <w:autoSpaceDE/>
                    <w:autoSpaceDN/>
                    <w:bidi w:val="0"/>
                    <w:adjustRightInd/>
                    <w:snapToGrid/>
                    <w:jc w:val="center"/>
                    <w:textAlignment w:val="baseline"/>
                    <w:rPr>
                      <w:rFonts w:hint="default"/>
                      <w:color w:val="auto"/>
                      <w:highlight w:val="none"/>
                      <w:u w:val="none" w:color="auto"/>
                      <w:lang w:val="en-US" w:eastAsia="zh-CN"/>
                    </w:rPr>
                  </w:pPr>
                  <w:r>
                    <w:rPr>
                      <w:rFonts w:hint="default"/>
                      <w:color w:val="auto"/>
                      <w:highlight w:val="none"/>
                      <w:u w:val="none" w:color="auto"/>
                    </w:rPr>
                    <w:t>《环境空气质量标准》（GB3095-2012）中二级标准</w:t>
                  </w:r>
                </w:p>
              </w:tc>
            </w:tr>
            <w:tr w14:paraId="03B71A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447B3A25">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廖家</w:t>
                  </w:r>
                </w:p>
              </w:tc>
              <w:tc>
                <w:tcPr>
                  <w:tcW w:w="794" w:type="pct"/>
                  <w:tcBorders>
                    <w:tl2br w:val="nil"/>
                    <w:tr2bl w:val="nil"/>
                  </w:tcBorders>
                  <w:noWrap w:val="0"/>
                  <w:vAlign w:val="center"/>
                </w:tcPr>
                <w:p w14:paraId="005D1309">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113.21395345</w:t>
                  </w:r>
                </w:p>
              </w:tc>
              <w:tc>
                <w:tcPr>
                  <w:tcW w:w="734" w:type="pct"/>
                  <w:tcBorders>
                    <w:tl2br w:val="nil"/>
                    <w:tr2bl w:val="nil"/>
                  </w:tcBorders>
                  <w:noWrap w:val="0"/>
                  <w:vAlign w:val="center"/>
                </w:tcPr>
                <w:p w14:paraId="3F5C49D7">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29.12379243</w:t>
                  </w:r>
                </w:p>
              </w:tc>
              <w:tc>
                <w:tcPr>
                  <w:tcW w:w="198" w:type="pct"/>
                  <w:vMerge w:val="continue"/>
                  <w:tcBorders>
                    <w:tl2br w:val="nil"/>
                    <w:tr2bl w:val="nil"/>
                  </w:tcBorders>
                  <w:noWrap w:val="0"/>
                  <w:vAlign w:val="center"/>
                </w:tcPr>
                <w:p w14:paraId="656939AF">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466E707D">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约450</w:t>
                  </w:r>
                  <w:r>
                    <w:rPr>
                      <w:rFonts w:hint="default"/>
                      <w:color w:val="auto"/>
                      <w:highlight w:val="none"/>
                      <w:u w:val="none" w:color="auto"/>
                      <w:lang w:val="en-US" w:eastAsia="zh-CN"/>
                    </w:rPr>
                    <w:t>人</w:t>
                  </w:r>
                </w:p>
              </w:tc>
              <w:tc>
                <w:tcPr>
                  <w:tcW w:w="310" w:type="pct"/>
                  <w:vMerge w:val="continue"/>
                  <w:tcBorders>
                    <w:tl2br w:val="nil"/>
                    <w:tr2bl w:val="nil"/>
                  </w:tcBorders>
                  <w:noWrap w:val="0"/>
                  <w:vAlign w:val="center"/>
                </w:tcPr>
                <w:p w14:paraId="493AFB27">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5F3C8E9B">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w:t>
                  </w:r>
                </w:p>
              </w:tc>
              <w:tc>
                <w:tcPr>
                  <w:tcW w:w="338" w:type="pct"/>
                  <w:tcBorders>
                    <w:tl2br w:val="nil"/>
                    <w:tr2bl w:val="nil"/>
                  </w:tcBorders>
                  <w:noWrap w:val="0"/>
                  <w:vAlign w:val="center"/>
                </w:tcPr>
                <w:p w14:paraId="466E8768">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77</w:t>
                  </w:r>
                </w:p>
              </w:tc>
              <w:tc>
                <w:tcPr>
                  <w:tcW w:w="1123" w:type="pct"/>
                  <w:vMerge w:val="continue"/>
                  <w:tcBorders>
                    <w:tl2br w:val="nil"/>
                    <w:tr2bl w:val="nil"/>
                  </w:tcBorders>
                  <w:noWrap w:val="0"/>
                  <w:vAlign w:val="center"/>
                </w:tcPr>
                <w:p w14:paraId="07BA5418">
                  <w:pPr>
                    <w:pStyle w:val="30"/>
                    <w:autoSpaceDE w:val="0"/>
                    <w:autoSpaceDN w:val="0"/>
                    <w:bidi w:val="0"/>
                    <w:jc w:val="center"/>
                    <w:rPr>
                      <w:rFonts w:hint="default"/>
                      <w:color w:val="auto"/>
                      <w:highlight w:val="none"/>
                      <w:u w:val="none" w:color="auto"/>
                    </w:rPr>
                  </w:pPr>
                </w:p>
              </w:tc>
            </w:tr>
            <w:tr w14:paraId="75C48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2ADD26D8">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街背廖</w:t>
                  </w:r>
                </w:p>
              </w:tc>
              <w:tc>
                <w:tcPr>
                  <w:tcW w:w="794" w:type="pct"/>
                  <w:tcBorders>
                    <w:tl2br w:val="nil"/>
                    <w:tr2bl w:val="nil"/>
                  </w:tcBorders>
                  <w:noWrap w:val="0"/>
                  <w:vAlign w:val="center"/>
                </w:tcPr>
                <w:p w14:paraId="648EA62A">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113.21547461</w:t>
                  </w:r>
                </w:p>
              </w:tc>
              <w:tc>
                <w:tcPr>
                  <w:tcW w:w="734" w:type="pct"/>
                  <w:tcBorders>
                    <w:tl2br w:val="nil"/>
                    <w:tr2bl w:val="nil"/>
                  </w:tcBorders>
                  <w:noWrap w:val="0"/>
                  <w:vAlign w:val="center"/>
                </w:tcPr>
                <w:p w14:paraId="63F261F2">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29.12185814</w:t>
                  </w:r>
                </w:p>
              </w:tc>
              <w:tc>
                <w:tcPr>
                  <w:tcW w:w="198" w:type="pct"/>
                  <w:vMerge w:val="continue"/>
                  <w:tcBorders>
                    <w:tl2br w:val="nil"/>
                    <w:tr2bl w:val="nil"/>
                  </w:tcBorders>
                  <w:noWrap w:val="0"/>
                  <w:vAlign w:val="center"/>
                </w:tcPr>
                <w:p w14:paraId="0F459CE8">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36F3D27B">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约260人</w:t>
                  </w:r>
                </w:p>
              </w:tc>
              <w:tc>
                <w:tcPr>
                  <w:tcW w:w="310" w:type="pct"/>
                  <w:vMerge w:val="continue"/>
                  <w:tcBorders>
                    <w:tl2br w:val="nil"/>
                    <w:tr2bl w:val="nil"/>
                  </w:tcBorders>
                  <w:noWrap w:val="0"/>
                  <w:vAlign w:val="center"/>
                </w:tcPr>
                <w:p w14:paraId="2C4283CC">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72B929D4">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东南</w:t>
                  </w:r>
                </w:p>
              </w:tc>
              <w:tc>
                <w:tcPr>
                  <w:tcW w:w="338" w:type="pct"/>
                  <w:tcBorders>
                    <w:tl2br w:val="nil"/>
                    <w:tr2bl w:val="nil"/>
                  </w:tcBorders>
                  <w:noWrap w:val="0"/>
                  <w:vAlign w:val="center"/>
                </w:tcPr>
                <w:p w14:paraId="0B44B312">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261</w:t>
                  </w:r>
                </w:p>
              </w:tc>
              <w:tc>
                <w:tcPr>
                  <w:tcW w:w="1123" w:type="pct"/>
                  <w:vMerge w:val="continue"/>
                  <w:tcBorders>
                    <w:tl2br w:val="nil"/>
                    <w:tr2bl w:val="nil"/>
                  </w:tcBorders>
                  <w:noWrap w:val="0"/>
                  <w:vAlign w:val="center"/>
                </w:tcPr>
                <w:p w14:paraId="092846D9">
                  <w:pPr>
                    <w:pStyle w:val="30"/>
                    <w:autoSpaceDE w:val="0"/>
                    <w:autoSpaceDN w:val="0"/>
                    <w:bidi w:val="0"/>
                    <w:jc w:val="center"/>
                    <w:rPr>
                      <w:rFonts w:hint="default"/>
                      <w:color w:val="auto"/>
                      <w:highlight w:val="none"/>
                      <w:u w:val="none" w:color="auto"/>
                    </w:rPr>
                  </w:pPr>
                </w:p>
              </w:tc>
            </w:tr>
            <w:tr w14:paraId="1E0F4F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6B10BC3B">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上街</w:t>
                  </w:r>
                </w:p>
              </w:tc>
              <w:tc>
                <w:tcPr>
                  <w:tcW w:w="794" w:type="pct"/>
                  <w:tcBorders>
                    <w:tl2br w:val="nil"/>
                    <w:tr2bl w:val="nil"/>
                  </w:tcBorders>
                  <w:noWrap w:val="0"/>
                  <w:vAlign w:val="center"/>
                </w:tcPr>
                <w:p w14:paraId="6CE9517C">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113.20737609</w:t>
                  </w:r>
                </w:p>
              </w:tc>
              <w:tc>
                <w:tcPr>
                  <w:tcW w:w="734" w:type="pct"/>
                  <w:tcBorders>
                    <w:tl2br w:val="nil"/>
                    <w:tr2bl w:val="nil"/>
                  </w:tcBorders>
                  <w:noWrap w:val="0"/>
                  <w:vAlign w:val="center"/>
                </w:tcPr>
                <w:p w14:paraId="38B52ABE">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29.12437432</w:t>
                  </w:r>
                </w:p>
              </w:tc>
              <w:tc>
                <w:tcPr>
                  <w:tcW w:w="198" w:type="pct"/>
                  <w:vMerge w:val="continue"/>
                  <w:tcBorders>
                    <w:tl2br w:val="nil"/>
                    <w:tr2bl w:val="nil"/>
                  </w:tcBorders>
                  <w:noWrap w:val="0"/>
                  <w:vAlign w:val="center"/>
                </w:tcPr>
                <w:p w14:paraId="3D55D53F">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2A367D22">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约40人</w:t>
                  </w:r>
                </w:p>
              </w:tc>
              <w:tc>
                <w:tcPr>
                  <w:tcW w:w="310" w:type="pct"/>
                  <w:vMerge w:val="continue"/>
                  <w:tcBorders>
                    <w:tl2br w:val="nil"/>
                    <w:tr2bl w:val="nil"/>
                  </w:tcBorders>
                  <w:noWrap w:val="0"/>
                  <w:vAlign w:val="center"/>
                </w:tcPr>
                <w:p w14:paraId="2DF1DDE4">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7709369B">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西北</w:t>
                  </w:r>
                </w:p>
              </w:tc>
              <w:tc>
                <w:tcPr>
                  <w:tcW w:w="338" w:type="pct"/>
                  <w:tcBorders>
                    <w:tl2br w:val="nil"/>
                    <w:tr2bl w:val="nil"/>
                  </w:tcBorders>
                  <w:noWrap w:val="0"/>
                  <w:vAlign w:val="center"/>
                </w:tcPr>
                <w:p w14:paraId="7AB1C568">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362</w:t>
                  </w:r>
                </w:p>
              </w:tc>
              <w:tc>
                <w:tcPr>
                  <w:tcW w:w="1123" w:type="pct"/>
                  <w:vMerge w:val="continue"/>
                  <w:tcBorders>
                    <w:tl2br w:val="nil"/>
                    <w:tr2bl w:val="nil"/>
                  </w:tcBorders>
                  <w:noWrap w:val="0"/>
                  <w:vAlign w:val="center"/>
                </w:tcPr>
                <w:p w14:paraId="7F6FDECD">
                  <w:pPr>
                    <w:pStyle w:val="30"/>
                    <w:autoSpaceDE w:val="0"/>
                    <w:autoSpaceDN w:val="0"/>
                    <w:bidi w:val="0"/>
                    <w:jc w:val="center"/>
                    <w:rPr>
                      <w:rFonts w:hint="default"/>
                      <w:color w:val="auto"/>
                      <w:highlight w:val="none"/>
                      <w:u w:val="none" w:color="auto"/>
                    </w:rPr>
                  </w:pPr>
                </w:p>
              </w:tc>
            </w:tr>
            <w:tr w14:paraId="6212B2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3CB9F7C1">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1#片区</w:t>
                  </w:r>
                </w:p>
              </w:tc>
              <w:tc>
                <w:tcPr>
                  <w:tcW w:w="794" w:type="pct"/>
                  <w:tcBorders>
                    <w:tl2br w:val="nil"/>
                    <w:tr2bl w:val="nil"/>
                  </w:tcBorders>
                  <w:noWrap w:val="0"/>
                  <w:vAlign w:val="center"/>
                </w:tcPr>
                <w:p w14:paraId="4B17B97C">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113.20991488</w:t>
                  </w:r>
                </w:p>
              </w:tc>
              <w:tc>
                <w:tcPr>
                  <w:tcW w:w="734" w:type="pct"/>
                  <w:tcBorders>
                    <w:tl2br w:val="nil"/>
                    <w:tr2bl w:val="nil"/>
                  </w:tcBorders>
                  <w:noWrap w:val="0"/>
                  <w:vAlign w:val="center"/>
                </w:tcPr>
                <w:p w14:paraId="4A6971A1">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29.12538342</w:t>
                  </w:r>
                </w:p>
              </w:tc>
              <w:tc>
                <w:tcPr>
                  <w:tcW w:w="198" w:type="pct"/>
                  <w:vMerge w:val="continue"/>
                  <w:tcBorders>
                    <w:tl2br w:val="nil"/>
                    <w:tr2bl w:val="nil"/>
                  </w:tcBorders>
                  <w:noWrap w:val="0"/>
                  <w:vAlign w:val="center"/>
                </w:tcPr>
                <w:p w14:paraId="287A50E2">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34F35F17">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约134人</w:t>
                  </w:r>
                </w:p>
              </w:tc>
              <w:tc>
                <w:tcPr>
                  <w:tcW w:w="310" w:type="pct"/>
                  <w:vMerge w:val="continue"/>
                  <w:tcBorders>
                    <w:tl2br w:val="nil"/>
                    <w:tr2bl w:val="nil"/>
                  </w:tcBorders>
                  <w:noWrap w:val="0"/>
                  <w:vAlign w:val="center"/>
                </w:tcPr>
                <w:p w14:paraId="297BC5CA">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735748CC">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西北</w:t>
                  </w:r>
                </w:p>
              </w:tc>
              <w:tc>
                <w:tcPr>
                  <w:tcW w:w="338" w:type="pct"/>
                  <w:tcBorders>
                    <w:tl2br w:val="nil"/>
                    <w:tr2bl w:val="nil"/>
                  </w:tcBorders>
                  <w:noWrap w:val="0"/>
                  <w:vAlign w:val="center"/>
                </w:tcPr>
                <w:p w14:paraId="58FA5B59">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138</w:t>
                  </w:r>
                </w:p>
              </w:tc>
              <w:tc>
                <w:tcPr>
                  <w:tcW w:w="1123" w:type="pct"/>
                  <w:vMerge w:val="continue"/>
                  <w:tcBorders>
                    <w:tl2br w:val="nil"/>
                    <w:tr2bl w:val="nil"/>
                  </w:tcBorders>
                  <w:noWrap w:val="0"/>
                  <w:vAlign w:val="center"/>
                </w:tcPr>
                <w:p w14:paraId="6D21E56C">
                  <w:pPr>
                    <w:pStyle w:val="30"/>
                    <w:autoSpaceDE w:val="0"/>
                    <w:autoSpaceDN w:val="0"/>
                    <w:bidi w:val="0"/>
                    <w:jc w:val="center"/>
                    <w:rPr>
                      <w:rFonts w:hint="default"/>
                      <w:color w:val="auto"/>
                      <w:highlight w:val="none"/>
                      <w:u w:val="none" w:color="auto"/>
                    </w:rPr>
                  </w:pPr>
                </w:p>
              </w:tc>
            </w:tr>
            <w:tr w14:paraId="7FD3B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1C75438D">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2#片区</w:t>
                  </w:r>
                </w:p>
              </w:tc>
              <w:tc>
                <w:tcPr>
                  <w:tcW w:w="794" w:type="pct"/>
                  <w:tcBorders>
                    <w:tl2br w:val="nil"/>
                    <w:tr2bl w:val="nil"/>
                  </w:tcBorders>
                  <w:noWrap w:val="0"/>
                  <w:vAlign w:val="center"/>
                </w:tcPr>
                <w:p w14:paraId="20600957">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113.21222833</w:t>
                  </w:r>
                </w:p>
              </w:tc>
              <w:tc>
                <w:tcPr>
                  <w:tcW w:w="734" w:type="pct"/>
                  <w:tcBorders>
                    <w:tl2br w:val="nil"/>
                    <w:tr2bl w:val="nil"/>
                  </w:tcBorders>
                  <w:noWrap w:val="0"/>
                  <w:vAlign w:val="center"/>
                </w:tcPr>
                <w:p w14:paraId="2B81FFCB">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29.12008054</w:t>
                  </w:r>
                </w:p>
              </w:tc>
              <w:tc>
                <w:tcPr>
                  <w:tcW w:w="198" w:type="pct"/>
                  <w:vMerge w:val="continue"/>
                  <w:tcBorders>
                    <w:tl2br w:val="nil"/>
                    <w:tr2bl w:val="nil"/>
                  </w:tcBorders>
                  <w:noWrap w:val="0"/>
                  <w:vAlign w:val="center"/>
                </w:tcPr>
                <w:p w14:paraId="25B71CA9">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5F996DA7">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约126人</w:t>
                  </w:r>
                </w:p>
              </w:tc>
              <w:tc>
                <w:tcPr>
                  <w:tcW w:w="310" w:type="pct"/>
                  <w:vMerge w:val="continue"/>
                  <w:tcBorders>
                    <w:tl2br w:val="nil"/>
                    <w:tr2bl w:val="nil"/>
                  </w:tcBorders>
                  <w:noWrap w:val="0"/>
                  <w:vAlign w:val="center"/>
                </w:tcPr>
                <w:p w14:paraId="28A901AD">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2B22E401">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东南</w:t>
                  </w:r>
                </w:p>
              </w:tc>
              <w:tc>
                <w:tcPr>
                  <w:tcW w:w="338" w:type="pct"/>
                  <w:tcBorders>
                    <w:tl2br w:val="nil"/>
                    <w:tr2bl w:val="nil"/>
                  </w:tcBorders>
                  <w:noWrap w:val="0"/>
                  <w:vAlign w:val="center"/>
                </w:tcPr>
                <w:p w14:paraId="70102310">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421</w:t>
                  </w:r>
                </w:p>
              </w:tc>
              <w:tc>
                <w:tcPr>
                  <w:tcW w:w="1123" w:type="pct"/>
                  <w:vMerge w:val="continue"/>
                  <w:tcBorders>
                    <w:tl2br w:val="nil"/>
                    <w:tr2bl w:val="nil"/>
                  </w:tcBorders>
                  <w:noWrap w:val="0"/>
                  <w:vAlign w:val="center"/>
                </w:tcPr>
                <w:p w14:paraId="025FA45B">
                  <w:pPr>
                    <w:pStyle w:val="30"/>
                    <w:autoSpaceDE w:val="0"/>
                    <w:autoSpaceDN w:val="0"/>
                    <w:bidi w:val="0"/>
                    <w:jc w:val="center"/>
                    <w:rPr>
                      <w:rFonts w:hint="default"/>
                      <w:color w:val="auto"/>
                      <w:highlight w:val="none"/>
                      <w:u w:val="none" w:color="auto"/>
                    </w:rPr>
                  </w:pPr>
                </w:p>
              </w:tc>
            </w:tr>
            <w:tr w14:paraId="3276BE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63F50D54">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3#片区</w:t>
                  </w:r>
                </w:p>
              </w:tc>
              <w:tc>
                <w:tcPr>
                  <w:tcW w:w="794" w:type="pct"/>
                  <w:tcBorders>
                    <w:tl2br w:val="nil"/>
                    <w:tr2bl w:val="nil"/>
                  </w:tcBorders>
                  <w:noWrap w:val="0"/>
                  <w:vAlign w:val="center"/>
                </w:tcPr>
                <w:p w14:paraId="55140A8F">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113.20825415</w:t>
                  </w:r>
                </w:p>
              </w:tc>
              <w:tc>
                <w:tcPr>
                  <w:tcW w:w="734" w:type="pct"/>
                  <w:tcBorders>
                    <w:tl2br w:val="nil"/>
                    <w:tr2bl w:val="nil"/>
                  </w:tcBorders>
                  <w:noWrap w:val="0"/>
                  <w:vAlign w:val="center"/>
                </w:tcPr>
                <w:p w14:paraId="0184A0AD">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29.12090251</w:t>
                  </w:r>
                </w:p>
              </w:tc>
              <w:tc>
                <w:tcPr>
                  <w:tcW w:w="198" w:type="pct"/>
                  <w:vMerge w:val="continue"/>
                  <w:tcBorders>
                    <w:tl2br w:val="nil"/>
                    <w:tr2bl w:val="nil"/>
                  </w:tcBorders>
                  <w:noWrap w:val="0"/>
                  <w:vAlign w:val="center"/>
                </w:tcPr>
                <w:p w14:paraId="7843C920">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0CE08082">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约58人</w:t>
                  </w:r>
                </w:p>
              </w:tc>
              <w:tc>
                <w:tcPr>
                  <w:tcW w:w="310" w:type="pct"/>
                  <w:vMerge w:val="continue"/>
                  <w:tcBorders>
                    <w:tl2br w:val="nil"/>
                    <w:tr2bl w:val="nil"/>
                  </w:tcBorders>
                  <w:noWrap w:val="0"/>
                  <w:vAlign w:val="center"/>
                </w:tcPr>
                <w:p w14:paraId="26D79827">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56B1CF9E">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西南</w:t>
                  </w:r>
                </w:p>
              </w:tc>
              <w:tc>
                <w:tcPr>
                  <w:tcW w:w="338" w:type="pct"/>
                  <w:tcBorders>
                    <w:tl2br w:val="nil"/>
                    <w:tr2bl w:val="nil"/>
                  </w:tcBorders>
                  <w:noWrap w:val="0"/>
                  <w:vAlign w:val="center"/>
                </w:tcPr>
                <w:p w14:paraId="3B7F75F6">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480</w:t>
                  </w:r>
                </w:p>
              </w:tc>
              <w:tc>
                <w:tcPr>
                  <w:tcW w:w="1123" w:type="pct"/>
                  <w:vMerge w:val="continue"/>
                  <w:tcBorders>
                    <w:tl2br w:val="nil"/>
                    <w:tr2bl w:val="nil"/>
                  </w:tcBorders>
                  <w:noWrap w:val="0"/>
                  <w:vAlign w:val="center"/>
                </w:tcPr>
                <w:p w14:paraId="149E2A0B">
                  <w:pPr>
                    <w:pStyle w:val="30"/>
                    <w:autoSpaceDE w:val="0"/>
                    <w:autoSpaceDN w:val="0"/>
                    <w:bidi w:val="0"/>
                    <w:jc w:val="center"/>
                    <w:rPr>
                      <w:rFonts w:hint="default"/>
                      <w:color w:val="auto"/>
                      <w:highlight w:val="none"/>
                      <w:u w:val="none" w:color="auto"/>
                    </w:rPr>
                  </w:pPr>
                </w:p>
              </w:tc>
            </w:tr>
            <w:tr w14:paraId="132F3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0710B6D6">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4#片区</w:t>
                  </w:r>
                </w:p>
              </w:tc>
              <w:tc>
                <w:tcPr>
                  <w:tcW w:w="794" w:type="pct"/>
                  <w:tcBorders>
                    <w:tl2br w:val="nil"/>
                    <w:tr2bl w:val="nil"/>
                  </w:tcBorders>
                  <w:noWrap w:val="0"/>
                  <w:vAlign w:val="center"/>
                </w:tcPr>
                <w:p w14:paraId="258797B0">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113.21323593</w:t>
                  </w:r>
                </w:p>
              </w:tc>
              <w:tc>
                <w:tcPr>
                  <w:tcW w:w="734" w:type="pct"/>
                  <w:tcBorders>
                    <w:tl2br w:val="nil"/>
                    <w:tr2bl w:val="nil"/>
                  </w:tcBorders>
                  <w:noWrap w:val="0"/>
                  <w:vAlign w:val="center"/>
                </w:tcPr>
                <w:p w14:paraId="7F89AC55">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29.12689801</w:t>
                  </w:r>
                </w:p>
              </w:tc>
              <w:tc>
                <w:tcPr>
                  <w:tcW w:w="198" w:type="pct"/>
                  <w:vMerge w:val="continue"/>
                  <w:tcBorders>
                    <w:tl2br w:val="nil"/>
                    <w:tr2bl w:val="nil"/>
                  </w:tcBorders>
                  <w:noWrap w:val="0"/>
                  <w:vAlign w:val="center"/>
                </w:tcPr>
                <w:p w14:paraId="4C65D1E9">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17BB7964">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约21人</w:t>
                  </w:r>
                </w:p>
              </w:tc>
              <w:tc>
                <w:tcPr>
                  <w:tcW w:w="310" w:type="pct"/>
                  <w:vMerge w:val="continue"/>
                  <w:tcBorders>
                    <w:tl2br w:val="nil"/>
                    <w:tr2bl w:val="nil"/>
                  </w:tcBorders>
                  <w:noWrap w:val="0"/>
                  <w:vAlign w:val="center"/>
                </w:tcPr>
                <w:p w14:paraId="3486AEA4">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329CF867">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东北</w:t>
                  </w:r>
                </w:p>
              </w:tc>
              <w:tc>
                <w:tcPr>
                  <w:tcW w:w="338" w:type="pct"/>
                  <w:tcBorders>
                    <w:tl2br w:val="nil"/>
                    <w:tr2bl w:val="nil"/>
                  </w:tcBorders>
                  <w:noWrap w:val="0"/>
                  <w:vAlign w:val="center"/>
                </w:tcPr>
                <w:p w14:paraId="679F1A61">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495</w:t>
                  </w:r>
                </w:p>
              </w:tc>
              <w:tc>
                <w:tcPr>
                  <w:tcW w:w="1123" w:type="pct"/>
                  <w:vMerge w:val="continue"/>
                  <w:tcBorders>
                    <w:tl2br w:val="nil"/>
                    <w:tr2bl w:val="nil"/>
                  </w:tcBorders>
                  <w:noWrap w:val="0"/>
                  <w:vAlign w:val="center"/>
                </w:tcPr>
                <w:p w14:paraId="75C7061B">
                  <w:pPr>
                    <w:pStyle w:val="30"/>
                    <w:autoSpaceDE w:val="0"/>
                    <w:autoSpaceDN w:val="0"/>
                    <w:bidi w:val="0"/>
                    <w:jc w:val="center"/>
                    <w:rPr>
                      <w:rFonts w:hint="default"/>
                      <w:color w:val="auto"/>
                      <w:highlight w:val="none"/>
                      <w:u w:val="none" w:color="auto"/>
                    </w:rPr>
                  </w:pPr>
                </w:p>
              </w:tc>
            </w:tr>
            <w:tr w14:paraId="240DD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6" w:type="pct"/>
                  <w:tcBorders>
                    <w:tl2br w:val="nil"/>
                    <w:tr2bl w:val="nil"/>
                  </w:tcBorders>
                  <w:noWrap w:val="0"/>
                  <w:vAlign w:val="center"/>
                </w:tcPr>
                <w:p w14:paraId="117BC5F1">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5#片区</w:t>
                  </w:r>
                </w:p>
              </w:tc>
              <w:tc>
                <w:tcPr>
                  <w:tcW w:w="794" w:type="pct"/>
                  <w:tcBorders>
                    <w:tl2br w:val="nil"/>
                    <w:tr2bl w:val="nil"/>
                  </w:tcBorders>
                  <w:noWrap w:val="0"/>
                  <w:vAlign w:val="center"/>
                </w:tcPr>
                <w:p w14:paraId="69C83BC4">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113.20996789</w:t>
                  </w:r>
                </w:p>
              </w:tc>
              <w:tc>
                <w:tcPr>
                  <w:tcW w:w="734" w:type="pct"/>
                  <w:tcBorders>
                    <w:tl2br w:val="nil"/>
                    <w:tr2bl w:val="nil"/>
                  </w:tcBorders>
                  <w:noWrap w:val="0"/>
                  <w:vAlign w:val="center"/>
                </w:tcPr>
                <w:p w14:paraId="1E45A57E">
                  <w:pPr>
                    <w:pStyle w:val="30"/>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29.11888324</w:t>
                  </w:r>
                </w:p>
              </w:tc>
              <w:tc>
                <w:tcPr>
                  <w:tcW w:w="198" w:type="pct"/>
                  <w:vMerge w:val="continue"/>
                  <w:tcBorders>
                    <w:tl2br w:val="nil"/>
                    <w:tr2bl w:val="nil"/>
                  </w:tcBorders>
                  <w:noWrap w:val="0"/>
                  <w:vAlign w:val="center"/>
                </w:tcPr>
                <w:p w14:paraId="67D7C798">
                  <w:pPr>
                    <w:pStyle w:val="30"/>
                    <w:autoSpaceDE w:val="0"/>
                    <w:autoSpaceDN w:val="0"/>
                    <w:bidi w:val="0"/>
                    <w:jc w:val="center"/>
                    <w:rPr>
                      <w:rFonts w:hint="default"/>
                      <w:color w:val="auto"/>
                      <w:highlight w:val="none"/>
                      <w:u w:val="none" w:color="auto"/>
                      <w:lang w:val="en-US" w:eastAsia="zh-CN"/>
                    </w:rPr>
                  </w:pPr>
                </w:p>
              </w:tc>
              <w:tc>
                <w:tcPr>
                  <w:tcW w:w="551" w:type="pct"/>
                  <w:tcBorders>
                    <w:tl2br w:val="nil"/>
                    <w:tr2bl w:val="nil"/>
                  </w:tcBorders>
                  <w:noWrap w:val="0"/>
                  <w:vAlign w:val="center"/>
                </w:tcPr>
                <w:p w14:paraId="28E62C1F">
                  <w:pPr>
                    <w:pStyle w:val="30"/>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约36人</w:t>
                  </w:r>
                </w:p>
              </w:tc>
              <w:tc>
                <w:tcPr>
                  <w:tcW w:w="310" w:type="pct"/>
                  <w:vMerge w:val="continue"/>
                  <w:tcBorders>
                    <w:tl2br w:val="nil"/>
                    <w:tr2bl w:val="nil"/>
                  </w:tcBorders>
                  <w:noWrap w:val="0"/>
                  <w:vAlign w:val="center"/>
                </w:tcPr>
                <w:p w14:paraId="28D89E2F">
                  <w:pPr>
                    <w:pStyle w:val="30"/>
                    <w:autoSpaceDE w:val="0"/>
                    <w:autoSpaceDN w:val="0"/>
                    <w:bidi w:val="0"/>
                    <w:jc w:val="center"/>
                    <w:rPr>
                      <w:rFonts w:hint="default"/>
                      <w:color w:val="auto"/>
                      <w:highlight w:val="none"/>
                      <w:u w:val="none" w:color="auto"/>
                    </w:rPr>
                  </w:pPr>
                </w:p>
              </w:tc>
              <w:tc>
                <w:tcPr>
                  <w:tcW w:w="361" w:type="pct"/>
                  <w:tcBorders>
                    <w:tl2br w:val="nil"/>
                    <w:tr2bl w:val="nil"/>
                  </w:tcBorders>
                  <w:noWrap w:val="0"/>
                  <w:vAlign w:val="center"/>
                </w:tcPr>
                <w:p w14:paraId="41B0EFDE">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南</w:t>
                  </w:r>
                </w:p>
              </w:tc>
              <w:tc>
                <w:tcPr>
                  <w:tcW w:w="338" w:type="pct"/>
                  <w:tcBorders>
                    <w:tl2br w:val="nil"/>
                    <w:tr2bl w:val="nil"/>
                  </w:tcBorders>
                  <w:noWrap w:val="0"/>
                  <w:vAlign w:val="center"/>
                </w:tcPr>
                <w:p w14:paraId="5B5FD1BC">
                  <w:pPr>
                    <w:pStyle w:val="30"/>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498</w:t>
                  </w:r>
                </w:p>
              </w:tc>
              <w:tc>
                <w:tcPr>
                  <w:tcW w:w="1123" w:type="pct"/>
                  <w:vMerge w:val="continue"/>
                  <w:tcBorders>
                    <w:tl2br w:val="nil"/>
                    <w:tr2bl w:val="nil"/>
                  </w:tcBorders>
                  <w:noWrap w:val="0"/>
                  <w:vAlign w:val="center"/>
                </w:tcPr>
                <w:p w14:paraId="3D29F055">
                  <w:pPr>
                    <w:pStyle w:val="30"/>
                    <w:autoSpaceDE w:val="0"/>
                    <w:autoSpaceDN w:val="0"/>
                    <w:bidi w:val="0"/>
                    <w:jc w:val="center"/>
                    <w:rPr>
                      <w:rFonts w:hint="default"/>
                      <w:color w:val="auto"/>
                      <w:highlight w:val="none"/>
                      <w:u w:val="none" w:color="auto"/>
                    </w:rPr>
                  </w:pPr>
                </w:p>
              </w:tc>
            </w:tr>
          </w:tbl>
          <w:p w14:paraId="4F869145">
            <w:pPr>
              <w:pStyle w:val="42"/>
              <w:spacing w:before="31" w:line="223" w:lineRule="auto"/>
              <w:ind w:left="2619"/>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表3-</w:t>
            </w:r>
            <w:r>
              <w:rPr>
                <w:rFonts w:hint="eastAsia" w:ascii="Times New Roman" w:hAnsi="Times New Roman" w:cs="Times New Roman"/>
                <w:b/>
                <w:bCs/>
                <w:color w:val="auto"/>
                <w:kern w:val="0"/>
                <w:sz w:val="21"/>
                <w:szCs w:val="20"/>
                <w:highlight w:val="none"/>
                <w:u w:val="none" w:color="auto"/>
                <w:lang w:val="en-US" w:eastAsia="zh-CN" w:bidi="ar-SA"/>
              </w:rPr>
              <w:t xml:space="preserve">5   </w:t>
            </w:r>
            <w:r>
              <w:rPr>
                <w:rFonts w:hint="default" w:ascii="Times New Roman" w:hAnsi="Times New Roman" w:eastAsia="宋体" w:cs="Times New Roman"/>
                <w:b/>
                <w:bCs/>
                <w:color w:val="auto"/>
                <w:kern w:val="0"/>
                <w:sz w:val="21"/>
                <w:szCs w:val="20"/>
                <w:highlight w:val="none"/>
                <w:u w:val="none" w:color="auto"/>
                <w:lang w:val="en-US" w:eastAsia="zh-CN" w:bidi="ar-SA"/>
              </w:rPr>
              <w:t>其他环境要素保护目标</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90"/>
              <w:gridCol w:w="1038"/>
              <w:gridCol w:w="740"/>
              <w:gridCol w:w="1586"/>
              <w:gridCol w:w="1253"/>
              <w:gridCol w:w="2442"/>
            </w:tblGrid>
            <w:tr w14:paraId="602986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04" w:type="pct"/>
                  <w:tcBorders>
                    <w:tl2br w:val="nil"/>
                    <w:tr2bl w:val="nil"/>
                  </w:tcBorders>
                  <w:noWrap w:val="0"/>
                  <w:vAlign w:val="center"/>
                </w:tcPr>
                <w:p w14:paraId="3FB80F9A">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环境要素</w:t>
                  </w:r>
                </w:p>
              </w:tc>
              <w:tc>
                <w:tcPr>
                  <w:tcW w:w="661" w:type="pct"/>
                  <w:tcBorders>
                    <w:tl2br w:val="nil"/>
                    <w:tr2bl w:val="nil"/>
                  </w:tcBorders>
                  <w:noWrap w:val="0"/>
                  <w:vAlign w:val="center"/>
                </w:tcPr>
                <w:p w14:paraId="3FA1384E">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环境保护目标</w:t>
                  </w:r>
                </w:p>
              </w:tc>
              <w:tc>
                <w:tcPr>
                  <w:tcW w:w="471" w:type="pct"/>
                  <w:tcBorders>
                    <w:tl2br w:val="nil"/>
                    <w:tr2bl w:val="nil"/>
                  </w:tcBorders>
                  <w:noWrap w:val="0"/>
                  <w:vAlign w:val="center"/>
                </w:tcPr>
                <w:p w14:paraId="783166A9">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方位</w:t>
                  </w:r>
                </w:p>
              </w:tc>
              <w:tc>
                <w:tcPr>
                  <w:tcW w:w="1010" w:type="pct"/>
                  <w:tcBorders>
                    <w:tl2br w:val="nil"/>
                    <w:tr2bl w:val="nil"/>
                  </w:tcBorders>
                  <w:noWrap w:val="0"/>
                  <w:vAlign w:val="center"/>
                </w:tcPr>
                <w:p w14:paraId="44A0D27A">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与厂界最近距离</w:t>
                  </w:r>
                  <w:r>
                    <w:rPr>
                      <w:rFonts w:hint="eastAsia" w:eastAsia="宋体" w:cs="Times New Roman"/>
                      <w:b/>
                      <w:bCs/>
                      <w:color w:val="auto"/>
                      <w:highlight w:val="none"/>
                      <w:u w:val="none" w:color="auto"/>
                      <w:lang w:val="en-US" w:eastAsia="zh-CN"/>
                    </w:rPr>
                    <w:t>k</w:t>
                  </w:r>
                  <w:r>
                    <w:rPr>
                      <w:rFonts w:hint="default" w:ascii="Times New Roman" w:hAnsi="Times New Roman" w:cs="Times New Roman"/>
                      <w:b/>
                      <w:bCs/>
                      <w:color w:val="auto"/>
                      <w:highlight w:val="none"/>
                      <w:u w:val="none" w:color="auto"/>
                    </w:rPr>
                    <w:t>m</w:t>
                  </w:r>
                </w:p>
              </w:tc>
              <w:tc>
                <w:tcPr>
                  <w:tcW w:w="798" w:type="pct"/>
                  <w:tcBorders>
                    <w:tl2br w:val="nil"/>
                    <w:tr2bl w:val="nil"/>
                  </w:tcBorders>
                  <w:noWrap w:val="0"/>
                  <w:vAlign w:val="center"/>
                </w:tcPr>
                <w:p w14:paraId="68FB2DC5">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规模、功能</w:t>
                  </w:r>
                </w:p>
              </w:tc>
              <w:tc>
                <w:tcPr>
                  <w:tcW w:w="1554" w:type="pct"/>
                  <w:tcBorders>
                    <w:tl2br w:val="nil"/>
                    <w:tr2bl w:val="nil"/>
                  </w:tcBorders>
                  <w:noWrap w:val="0"/>
                  <w:vAlign w:val="center"/>
                </w:tcPr>
                <w:p w14:paraId="28B0ED85">
                  <w:pPr>
                    <w:pStyle w:val="27"/>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保护级别</w:t>
                  </w:r>
                </w:p>
              </w:tc>
            </w:tr>
            <w:tr w14:paraId="5FE54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vMerge w:val="restart"/>
                  <w:tcBorders>
                    <w:tl2br w:val="nil"/>
                    <w:tr2bl w:val="nil"/>
                  </w:tcBorders>
                  <w:noWrap w:val="0"/>
                  <w:vAlign w:val="center"/>
                </w:tcPr>
                <w:p w14:paraId="2A0B3647">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w:t>
                  </w:r>
                </w:p>
              </w:tc>
              <w:tc>
                <w:tcPr>
                  <w:tcW w:w="661" w:type="pct"/>
                  <w:tcBorders>
                    <w:tl2br w:val="nil"/>
                    <w:tr2bl w:val="nil"/>
                  </w:tcBorders>
                  <w:noWrap w:val="0"/>
                  <w:vAlign w:val="center"/>
                </w:tcPr>
                <w:p w14:paraId="2DE24017">
                  <w:pPr>
                    <w:pStyle w:val="27"/>
                    <w:autoSpaceDE w:val="0"/>
                    <w:autoSpaceDN w:val="0"/>
                    <w:bidi w:val="0"/>
                    <w:jc w:val="center"/>
                    <w:rPr>
                      <w:rFonts w:hint="default" w:ascii="Times New Roman" w:hAnsi="Times New Roman" w:cs="Times New Roman"/>
                      <w:color w:val="auto"/>
                      <w:highlight w:val="none"/>
                      <w:u w:val="none" w:color="auto"/>
                    </w:rPr>
                  </w:pPr>
                  <w:r>
                    <w:rPr>
                      <w:rFonts w:hint="eastAsia" w:eastAsia="宋体"/>
                      <w:color w:val="auto"/>
                      <w:szCs w:val="21"/>
                      <w:highlight w:val="none"/>
                      <w:u w:val="none" w:color="auto"/>
                      <w:lang w:val="en-US" w:eastAsia="zh-CN"/>
                    </w:rPr>
                    <w:t>新墙</w:t>
                  </w:r>
                  <w:r>
                    <w:rPr>
                      <w:rFonts w:hint="eastAsia"/>
                      <w:color w:val="auto"/>
                      <w:szCs w:val="21"/>
                      <w:highlight w:val="none"/>
                      <w:u w:val="none" w:color="auto"/>
                    </w:rPr>
                    <w:t>河</w:t>
                  </w:r>
                </w:p>
              </w:tc>
              <w:tc>
                <w:tcPr>
                  <w:tcW w:w="471" w:type="pct"/>
                  <w:tcBorders>
                    <w:tl2br w:val="nil"/>
                    <w:tr2bl w:val="nil"/>
                  </w:tcBorders>
                  <w:noWrap w:val="0"/>
                  <w:vAlign w:val="center"/>
                </w:tcPr>
                <w:p w14:paraId="359F1684">
                  <w:pPr>
                    <w:pStyle w:val="27"/>
                    <w:autoSpaceDE w:val="0"/>
                    <w:autoSpaceDN w:val="0"/>
                    <w:bidi w:val="0"/>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北</w:t>
                  </w:r>
                </w:p>
              </w:tc>
              <w:tc>
                <w:tcPr>
                  <w:tcW w:w="1010" w:type="pct"/>
                  <w:tcBorders>
                    <w:tl2br w:val="nil"/>
                    <w:tr2bl w:val="nil"/>
                  </w:tcBorders>
                  <w:noWrap w:val="0"/>
                  <w:vAlign w:val="center"/>
                </w:tcPr>
                <w:p w14:paraId="70A62760">
                  <w:pPr>
                    <w:pStyle w:val="27"/>
                    <w:autoSpaceDE w:val="0"/>
                    <w:autoSpaceDN w:val="0"/>
                    <w:bidi w:val="0"/>
                    <w:jc w:val="center"/>
                    <w:rPr>
                      <w:rFonts w:hint="default" w:ascii="Times New Roman" w:hAnsi="Times New Roman" w:cs="Times New Roman"/>
                      <w:color w:val="auto"/>
                      <w:highlight w:val="none"/>
                      <w:u w:val="none" w:color="auto"/>
                      <w:lang w:val="en-US"/>
                    </w:rPr>
                  </w:pPr>
                  <w:r>
                    <w:rPr>
                      <w:rFonts w:hint="eastAsia" w:eastAsia="宋体" w:cs="Times New Roman"/>
                      <w:color w:val="auto"/>
                      <w:highlight w:val="none"/>
                      <w:u w:val="none" w:color="auto"/>
                      <w:lang w:val="en-US" w:eastAsia="zh-CN"/>
                    </w:rPr>
                    <w:t>1.5</w:t>
                  </w:r>
                </w:p>
              </w:tc>
              <w:tc>
                <w:tcPr>
                  <w:tcW w:w="798" w:type="pct"/>
                  <w:tcBorders>
                    <w:tl2br w:val="nil"/>
                    <w:tr2bl w:val="nil"/>
                  </w:tcBorders>
                  <w:noWrap w:val="0"/>
                  <w:vAlign w:val="center"/>
                </w:tcPr>
                <w:p w14:paraId="136A8BF2">
                  <w:pPr>
                    <w:pStyle w:val="27"/>
                    <w:autoSpaceDE w:val="0"/>
                    <w:autoSpaceDN w:val="0"/>
                    <w:bidi w:val="0"/>
                    <w:jc w:val="center"/>
                    <w:rPr>
                      <w:rFonts w:hint="eastAsia"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渔业用水</w:t>
                  </w:r>
                </w:p>
              </w:tc>
              <w:tc>
                <w:tcPr>
                  <w:tcW w:w="1554" w:type="pct"/>
                  <w:vMerge w:val="restart"/>
                  <w:tcBorders>
                    <w:tl2br w:val="nil"/>
                    <w:tr2bl w:val="nil"/>
                  </w:tcBorders>
                  <w:noWrap w:val="0"/>
                  <w:vAlign w:val="center"/>
                </w:tcPr>
                <w:p w14:paraId="73AD175D">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zCs w:val="21"/>
                      <w:highlight w:val="none"/>
                      <w:u w:val="none" w:color="auto"/>
                    </w:rPr>
                    <w:t>《地表水环境质量标准》（GB3838-2002）中Ⅲ类</w:t>
                  </w:r>
                </w:p>
              </w:tc>
            </w:tr>
            <w:tr w14:paraId="2C698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vMerge w:val="continue"/>
                  <w:tcBorders>
                    <w:tl2br w:val="nil"/>
                    <w:tr2bl w:val="nil"/>
                  </w:tcBorders>
                  <w:noWrap w:val="0"/>
                  <w:vAlign w:val="center"/>
                </w:tcPr>
                <w:p w14:paraId="6C008018">
                  <w:pPr>
                    <w:pStyle w:val="27"/>
                    <w:autoSpaceDE w:val="0"/>
                    <w:autoSpaceDN w:val="0"/>
                    <w:bidi w:val="0"/>
                    <w:jc w:val="center"/>
                    <w:rPr>
                      <w:rFonts w:hint="default" w:ascii="Times New Roman" w:hAnsi="Times New Roman" w:cs="Times New Roman"/>
                      <w:color w:val="auto"/>
                      <w:highlight w:val="none"/>
                      <w:u w:val="none" w:color="auto"/>
                    </w:rPr>
                  </w:pPr>
                </w:p>
              </w:tc>
              <w:tc>
                <w:tcPr>
                  <w:tcW w:w="661" w:type="pct"/>
                  <w:tcBorders>
                    <w:tl2br w:val="nil"/>
                    <w:tr2bl w:val="nil"/>
                  </w:tcBorders>
                  <w:noWrap w:val="0"/>
                  <w:vAlign w:val="center"/>
                </w:tcPr>
                <w:p w14:paraId="5C7ABF12">
                  <w:pPr>
                    <w:pStyle w:val="27"/>
                    <w:autoSpaceDE w:val="0"/>
                    <w:autoSpaceDN w:val="0"/>
                    <w:bidi w:val="0"/>
                    <w:jc w:val="center"/>
                    <w:rPr>
                      <w:rFonts w:hint="eastAsia" w:eastAsia="宋体"/>
                      <w:color w:val="auto"/>
                      <w:szCs w:val="21"/>
                      <w:highlight w:val="none"/>
                      <w:u w:val="none" w:color="auto"/>
                      <w:lang w:val="en-US" w:eastAsia="zh-CN"/>
                    </w:rPr>
                  </w:pPr>
                  <w:r>
                    <w:rPr>
                      <w:rFonts w:ascii="Times New Roman" w:hAnsi="Times New Roman" w:eastAsia="宋体" w:cs="Times New Roman"/>
                      <w:szCs w:val="21"/>
                      <w:highlight w:val="none"/>
                      <w:u w:val="none" w:color="auto"/>
                    </w:rPr>
                    <w:t>新墙水库</w:t>
                  </w:r>
                </w:p>
              </w:tc>
              <w:tc>
                <w:tcPr>
                  <w:tcW w:w="471" w:type="pct"/>
                  <w:tcBorders>
                    <w:tl2br w:val="nil"/>
                    <w:tr2bl w:val="nil"/>
                  </w:tcBorders>
                  <w:noWrap w:val="0"/>
                  <w:vAlign w:val="center"/>
                </w:tcPr>
                <w:p w14:paraId="34B96737">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东南</w:t>
                  </w:r>
                </w:p>
              </w:tc>
              <w:tc>
                <w:tcPr>
                  <w:tcW w:w="1010" w:type="pct"/>
                  <w:tcBorders>
                    <w:tl2br w:val="nil"/>
                    <w:tr2bl w:val="nil"/>
                  </w:tcBorders>
                  <w:noWrap w:val="0"/>
                  <w:vAlign w:val="center"/>
                </w:tcPr>
                <w:p w14:paraId="09F1EB35">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1.35</w:t>
                  </w:r>
                </w:p>
              </w:tc>
              <w:tc>
                <w:tcPr>
                  <w:tcW w:w="798" w:type="pct"/>
                  <w:tcBorders>
                    <w:tl2br w:val="nil"/>
                    <w:tr2bl w:val="nil"/>
                  </w:tcBorders>
                  <w:noWrap w:val="0"/>
                  <w:vAlign w:val="center"/>
                </w:tcPr>
                <w:p w14:paraId="36232421">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渔业用水</w:t>
                  </w:r>
                </w:p>
              </w:tc>
              <w:tc>
                <w:tcPr>
                  <w:tcW w:w="1554" w:type="pct"/>
                  <w:vMerge w:val="continue"/>
                  <w:tcBorders>
                    <w:tl2br w:val="nil"/>
                    <w:tr2bl w:val="nil"/>
                  </w:tcBorders>
                  <w:noWrap w:val="0"/>
                  <w:vAlign w:val="center"/>
                </w:tcPr>
                <w:p w14:paraId="1FA31B11">
                  <w:pPr>
                    <w:pStyle w:val="27"/>
                    <w:autoSpaceDE w:val="0"/>
                    <w:autoSpaceDN w:val="0"/>
                    <w:bidi w:val="0"/>
                    <w:jc w:val="center"/>
                    <w:rPr>
                      <w:rFonts w:hint="default" w:ascii="Times New Roman" w:hAnsi="Times New Roman" w:cs="Times New Roman"/>
                      <w:color w:val="auto"/>
                      <w:szCs w:val="21"/>
                      <w:highlight w:val="none"/>
                      <w:u w:val="none" w:color="auto"/>
                    </w:rPr>
                  </w:pPr>
                </w:p>
              </w:tc>
            </w:tr>
            <w:tr w14:paraId="56CA8B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vMerge w:val="continue"/>
                  <w:tcBorders>
                    <w:tl2br w:val="nil"/>
                    <w:tr2bl w:val="nil"/>
                  </w:tcBorders>
                  <w:noWrap w:val="0"/>
                  <w:vAlign w:val="center"/>
                </w:tcPr>
                <w:p w14:paraId="4B9A2E78">
                  <w:pPr>
                    <w:pStyle w:val="27"/>
                    <w:autoSpaceDE w:val="0"/>
                    <w:autoSpaceDN w:val="0"/>
                    <w:bidi w:val="0"/>
                    <w:jc w:val="center"/>
                    <w:rPr>
                      <w:rFonts w:hint="default" w:ascii="Times New Roman" w:hAnsi="Times New Roman" w:cs="Times New Roman"/>
                      <w:color w:val="auto"/>
                      <w:highlight w:val="none"/>
                      <w:u w:val="none" w:color="auto"/>
                    </w:rPr>
                  </w:pPr>
                </w:p>
              </w:tc>
              <w:tc>
                <w:tcPr>
                  <w:tcW w:w="661" w:type="pct"/>
                  <w:vMerge w:val="restart"/>
                  <w:tcBorders>
                    <w:tl2br w:val="nil"/>
                    <w:tr2bl w:val="nil"/>
                  </w:tcBorders>
                  <w:noWrap w:val="0"/>
                  <w:vAlign w:val="center"/>
                </w:tcPr>
                <w:p w14:paraId="51D70716">
                  <w:pPr>
                    <w:pStyle w:val="27"/>
                    <w:autoSpaceDE w:val="0"/>
                    <w:autoSpaceDN w:val="0"/>
                    <w:bidi w:val="0"/>
                    <w:jc w:val="center"/>
                    <w:rPr>
                      <w:rFonts w:hint="eastAsia" w:ascii="Times New Roman" w:hAnsi="Times New Roman" w:eastAsia="宋体" w:cs="Times New Roman"/>
                      <w:szCs w:val="21"/>
                      <w:highlight w:val="none"/>
                      <w:u w:val="none" w:color="auto"/>
                      <w:lang w:val="en-US" w:eastAsia="zh-CN"/>
                    </w:rPr>
                  </w:pPr>
                  <w:r>
                    <w:rPr>
                      <w:rFonts w:hint="eastAsia" w:eastAsia="宋体" w:cs="Times New Roman"/>
                      <w:szCs w:val="21"/>
                      <w:highlight w:val="none"/>
                      <w:u w:val="none" w:color="auto"/>
                      <w:lang w:val="en-US" w:eastAsia="zh-CN"/>
                    </w:rPr>
                    <w:t>周边水塘</w:t>
                  </w:r>
                </w:p>
              </w:tc>
              <w:tc>
                <w:tcPr>
                  <w:tcW w:w="471" w:type="pct"/>
                  <w:tcBorders>
                    <w:tl2br w:val="nil"/>
                    <w:tr2bl w:val="nil"/>
                  </w:tcBorders>
                  <w:noWrap w:val="0"/>
                  <w:vAlign w:val="center"/>
                </w:tcPr>
                <w:p w14:paraId="4BC41DAD">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东</w:t>
                  </w:r>
                </w:p>
              </w:tc>
              <w:tc>
                <w:tcPr>
                  <w:tcW w:w="1010" w:type="pct"/>
                  <w:tcBorders>
                    <w:tl2br w:val="nil"/>
                    <w:tr2bl w:val="nil"/>
                  </w:tcBorders>
                  <w:noWrap w:val="0"/>
                  <w:vAlign w:val="center"/>
                </w:tcPr>
                <w:p w14:paraId="7790684F">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0.78</w:t>
                  </w:r>
                </w:p>
              </w:tc>
              <w:tc>
                <w:tcPr>
                  <w:tcW w:w="798" w:type="pct"/>
                  <w:tcBorders>
                    <w:tl2br w:val="nil"/>
                    <w:tr2bl w:val="nil"/>
                  </w:tcBorders>
                  <w:noWrap w:val="0"/>
                  <w:vAlign w:val="center"/>
                </w:tcPr>
                <w:p w14:paraId="718C5A15">
                  <w:pPr>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渔业用水</w:t>
                  </w:r>
                </w:p>
              </w:tc>
              <w:tc>
                <w:tcPr>
                  <w:tcW w:w="1554" w:type="pct"/>
                  <w:vMerge w:val="continue"/>
                  <w:tcBorders>
                    <w:tl2br w:val="nil"/>
                    <w:tr2bl w:val="nil"/>
                  </w:tcBorders>
                  <w:noWrap w:val="0"/>
                  <w:vAlign w:val="center"/>
                </w:tcPr>
                <w:p w14:paraId="3688D216">
                  <w:pPr>
                    <w:pStyle w:val="27"/>
                    <w:autoSpaceDE w:val="0"/>
                    <w:autoSpaceDN w:val="0"/>
                    <w:bidi w:val="0"/>
                    <w:jc w:val="center"/>
                    <w:rPr>
                      <w:rFonts w:hint="default" w:ascii="Times New Roman" w:hAnsi="Times New Roman" w:cs="Times New Roman"/>
                      <w:color w:val="auto"/>
                      <w:szCs w:val="21"/>
                      <w:highlight w:val="none"/>
                      <w:u w:val="none" w:color="auto"/>
                    </w:rPr>
                  </w:pPr>
                </w:p>
              </w:tc>
            </w:tr>
            <w:tr w14:paraId="31D84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vMerge w:val="continue"/>
                  <w:tcBorders>
                    <w:tl2br w:val="nil"/>
                    <w:tr2bl w:val="nil"/>
                  </w:tcBorders>
                  <w:noWrap w:val="0"/>
                  <w:vAlign w:val="center"/>
                </w:tcPr>
                <w:p w14:paraId="15CD7E95">
                  <w:pPr>
                    <w:pStyle w:val="27"/>
                    <w:autoSpaceDE w:val="0"/>
                    <w:autoSpaceDN w:val="0"/>
                    <w:bidi w:val="0"/>
                    <w:jc w:val="center"/>
                    <w:rPr>
                      <w:rFonts w:hint="default" w:ascii="Times New Roman" w:hAnsi="Times New Roman" w:cs="Times New Roman"/>
                      <w:color w:val="auto"/>
                      <w:highlight w:val="none"/>
                      <w:u w:val="none" w:color="auto"/>
                    </w:rPr>
                  </w:pPr>
                </w:p>
              </w:tc>
              <w:tc>
                <w:tcPr>
                  <w:tcW w:w="661" w:type="pct"/>
                  <w:vMerge w:val="continue"/>
                  <w:tcBorders>
                    <w:tl2br w:val="nil"/>
                    <w:tr2bl w:val="nil"/>
                  </w:tcBorders>
                  <w:noWrap w:val="0"/>
                  <w:vAlign w:val="center"/>
                </w:tcPr>
                <w:p w14:paraId="5DF0A657">
                  <w:pPr>
                    <w:pStyle w:val="27"/>
                    <w:autoSpaceDE w:val="0"/>
                    <w:autoSpaceDN w:val="0"/>
                    <w:bidi w:val="0"/>
                    <w:jc w:val="center"/>
                    <w:rPr>
                      <w:rFonts w:hint="eastAsia" w:eastAsia="宋体" w:cs="Times New Roman"/>
                      <w:szCs w:val="21"/>
                      <w:highlight w:val="none"/>
                      <w:u w:val="none" w:color="auto"/>
                      <w:lang w:val="en-US" w:eastAsia="zh-CN"/>
                    </w:rPr>
                  </w:pPr>
                </w:p>
              </w:tc>
              <w:tc>
                <w:tcPr>
                  <w:tcW w:w="471" w:type="pct"/>
                  <w:tcBorders>
                    <w:tl2br w:val="nil"/>
                    <w:tr2bl w:val="nil"/>
                  </w:tcBorders>
                  <w:noWrap w:val="0"/>
                  <w:vAlign w:val="center"/>
                </w:tcPr>
                <w:p w14:paraId="467EEA83">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南</w:t>
                  </w:r>
                </w:p>
              </w:tc>
              <w:tc>
                <w:tcPr>
                  <w:tcW w:w="1010" w:type="pct"/>
                  <w:tcBorders>
                    <w:tl2br w:val="nil"/>
                    <w:tr2bl w:val="nil"/>
                  </w:tcBorders>
                  <w:noWrap w:val="0"/>
                  <w:vAlign w:val="center"/>
                </w:tcPr>
                <w:p w14:paraId="666CFC8B">
                  <w:pPr>
                    <w:pStyle w:val="27"/>
                    <w:autoSpaceDE w:val="0"/>
                    <w:autoSpaceDN w:val="0"/>
                    <w:bidi w:val="0"/>
                    <w:jc w:val="center"/>
                    <w:rPr>
                      <w:rFonts w:hint="default"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0.25</w:t>
                  </w:r>
                </w:p>
              </w:tc>
              <w:tc>
                <w:tcPr>
                  <w:tcW w:w="798" w:type="pct"/>
                  <w:tcBorders>
                    <w:tl2br w:val="nil"/>
                    <w:tr2bl w:val="nil"/>
                  </w:tcBorders>
                  <w:noWrap w:val="0"/>
                  <w:vAlign w:val="center"/>
                </w:tcPr>
                <w:p w14:paraId="1BE3324E">
                  <w:pPr>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渔业用水</w:t>
                  </w:r>
                </w:p>
              </w:tc>
              <w:tc>
                <w:tcPr>
                  <w:tcW w:w="1554" w:type="pct"/>
                  <w:vMerge w:val="continue"/>
                  <w:tcBorders>
                    <w:tl2br w:val="nil"/>
                    <w:tr2bl w:val="nil"/>
                  </w:tcBorders>
                  <w:noWrap w:val="0"/>
                  <w:vAlign w:val="center"/>
                </w:tcPr>
                <w:p w14:paraId="3D181A29">
                  <w:pPr>
                    <w:pStyle w:val="27"/>
                    <w:autoSpaceDE w:val="0"/>
                    <w:autoSpaceDN w:val="0"/>
                    <w:bidi w:val="0"/>
                    <w:jc w:val="center"/>
                    <w:rPr>
                      <w:rFonts w:hint="default" w:ascii="Times New Roman" w:hAnsi="Times New Roman" w:cs="Times New Roman"/>
                      <w:color w:val="auto"/>
                      <w:szCs w:val="21"/>
                      <w:highlight w:val="none"/>
                      <w:u w:val="none" w:color="auto"/>
                    </w:rPr>
                  </w:pPr>
                </w:p>
              </w:tc>
            </w:tr>
            <w:tr w14:paraId="2E821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tcBorders>
                    <w:tl2br w:val="nil"/>
                    <w:tr2bl w:val="nil"/>
                  </w:tcBorders>
                  <w:noWrap w:val="0"/>
                  <w:vAlign w:val="center"/>
                </w:tcPr>
                <w:p w14:paraId="1E3F5791">
                  <w:pPr>
                    <w:pStyle w:val="27"/>
                    <w:autoSpaceDE w:val="0"/>
                    <w:autoSpaceDN w:val="0"/>
                    <w:bidi w:val="0"/>
                    <w:jc w:val="center"/>
                    <w:rPr>
                      <w:rFonts w:hint="eastAsia"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农田</w:t>
                  </w:r>
                </w:p>
              </w:tc>
              <w:tc>
                <w:tcPr>
                  <w:tcW w:w="661" w:type="pct"/>
                  <w:tcBorders>
                    <w:tl2br w:val="nil"/>
                    <w:tr2bl w:val="nil"/>
                  </w:tcBorders>
                  <w:noWrap w:val="0"/>
                  <w:vAlign w:val="center"/>
                </w:tcPr>
                <w:p w14:paraId="7B25FB41">
                  <w:pPr>
                    <w:pStyle w:val="27"/>
                    <w:autoSpaceDE w:val="0"/>
                    <w:autoSpaceDN w:val="0"/>
                    <w:bidi w:val="0"/>
                    <w:jc w:val="center"/>
                    <w:rPr>
                      <w:rFonts w:hint="eastAsia"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周边农田</w:t>
                  </w:r>
                </w:p>
              </w:tc>
              <w:tc>
                <w:tcPr>
                  <w:tcW w:w="471" w:type="pct"/>
                  <w:tcBorders>
                    <w:tl2br w:val="nil"/>
                    <w:tr2bl w:val="nil"/>
                  </w:tcBorders>
                  <w:noWrap w:val="0"/>
                  <w:vAlign w:val="center"/>
                </w:tcPr>
                <w:p w14:paraId="55D5EB9D">
                  <w:pPr>
                    <w:pStyle w:val="27"/>
                    <w:autoSpaceDE w:val="0"/>
                    <w:autoSpaceDN w:val="0"/>
                    <w:bidi w:val="0"/>
                    <w:jc w:val="center"/>
                    <w:rPr>
                      <w:rFonts w:hint="eastAsia"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北</w:t>
                  </w:r>
                </w:p>
              </w:tc>
              <w:tc>
                <w:tcPr>
                  <w:tcW w:w="1010" w:type="pct"/>
                  <w:tcBorders>
                    <w:tl2br w:val="nil"/>
                    <w:tr2bl w:val="nil"/>
                  </w:tcBorders>
                  <w:noWrap w:val="0"/>
                  <w:vAlign w:val="center"/>
                </w:tcPr>
                <w:p w14:paraId="1BA04B2E">
                  <w:pPr>
                    <w:pStyle w:val="27"/>
                    <w:autoSpaceDE w:val="0"/>
                    <w:autoSpaceDN w:val="0"/>
                    <w:bidi w:val="0"/>
                    <w:jc w:val="center"/>
                    <w:rPr>
                      <w:rFonts w:hint="default"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0.94</w:t>
                  </w:r>
                </w:p>
              </w:tc>
              <w:tc>
                <w:tcPr>
                  <w:tcW w:w="798" w:type="pct"/>
                  <w:tcBorders>
                    <w:tl2br w:val="nil"/>
                    <w:tr2bl w:val="nil"/>
                  </w:tcBorders>
                  <w:noWrap w:val="0"/>
                  <w:vAlign w:val="center"/>
                </w:tcPr>
                <w:p w14:paraId="7F9F010E">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1"/>
                      <w:szCs w:val="21"/>
                      <w:highlight w:val="none"/>
                      <w:u w:val="none" w:color="auto"/>
                      <w:lang w:eastAsia="en-US"/>
                    </w:rPr>
                    <w:t>基本农田</w:t>
                  </w:r>
                </w:p>
              </w:tc>
              <w:tc>
                <w:tcPr>
                  <w:tcW w:w="1554" w:type="pct"/>
                  <w:tcBorders>
                    <w:tl2br w:val="nil"/>
                    <w:tr2bl w:val="nil"/>
                  </w:tcBorders>
                  <w:noWrap w:val="0"/>
                  <w:vAlign w:val="center"/>
                </w:tcPr>
                <w:p w14:paraId="61346C2B">
                  <w:pPr>
                    <w:pStyle w:val="27"/>
                    <w:autoSpaceDE w:val="0"/>
                    <w:autoSpaceDN w:val="0"/>
                    <w:bidi w:val="0"/>
                    <w:jc w:val="center"/>
                    <w:rPr>
                      <w:rFonts w:hint="eastAsia"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w:t>
                  </w:r>
                </w:p>
              </w:tc>
            </w:tr>
            <w:tr w14:paraId="4BC71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4" w:type="pct"/>
                  <w:tcBorders>
                    <w:tl2br w:val="nil"/>
                    <w:tr2bl w:val="nil"/>
                  </w:tcBorders>
                  <w:noWrap w:val="0"/>
                  <w:vAlign w:val="center"/>
                </w:tcPr>
                <w:p w14:paraId="408AF91C">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w:t>
                  </w:r>
                </w:p>
              </w:tc>
              <w:tc>
                <w:tcPr>
                  <w:tcW w:w="4495" w:type="pct"/>
                  <w:gridSpan w:val="5"/>
                  <w:tcBorders>
                    <w:tl2br w:val="nil"/>
                    <w:tr2bl w:val="nil"/>
                  </w:tcBorders>
                  <w:noWrap w:val="0"/>
                  <w:vAlign w:val="center"/>
                </w:tcPr>
                <w:p w14:paraId="0C3280EA">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厂界</w:t>
                  </w:r>
                  <w:r>
                    <w:rPr>
                      <w:rFonts w:hint="eastAsia" w:eastAsia="宋体" w:cs="Times New Roman"/>
                      <w:color w:val="auto"/>
                      <w:highlight w:val="none"/>
                      <w:u w:val="none" w:color="auto"/>
                      <w:lang w:val="en-US" w:eastAsia="zh-CN"/>
                    </w:rPr>
                    <w:t>外</w:t>
                  </w:r>
                  <w:r>
                    <w:rPr>
                      <w:rFonts w:hint="default" w:ascii="Times New Roman" w:hAnsi="Times New Roman" w:cs="Times New Roman"/>
                      <w:color w:val="auto"/>
                      <w:highlight w:val="none"/>
                      <w:u w:val="none" w:color="auto"/>
                    </w:rPr>
                    <w:t>500米范围内无地下水集中式、分散式饮用式水源和热水、矿泉水、温泉等特殊地下水资源</w:t>
                  </w:r>
                </w:p>
              </w:tc>
            </w:tr>
            <w:tr w14:paraId="7D131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04" w:type="pct"/>
                  <w:tcBorders>
                    <w:tl2br w:val="nil"/>
                    <w:tr2bl w:val="nil"/>
                  </w:tcBorders>
                  <w:noWrap w:val="0"/>
                  <w:vAlign w:val="center"/>
                </w:tcPr>
                <w:p w14:paraId="162358C5">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4495" w:type="pct"/>
                  <w:gridSpan w:val="5"/>
                  <w:tcBorders>
                    <w:tl2br w:val="nil"/>
                    <w:tr2bl w:val="nil"/>
                  </w:tcBorders>
                  <w:noWrap w:val="0"/>
                  <w:vAlign w:val="center"/>
                </w:tcPr>
                <w:p w14:paraId="223C09F0">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厂界外</w:t>
                  </w:r>
                  <w:r>
                    <w:rPr>
                      <w:rFonts w:hint="eastAsia" w:eastAsia="宋体" w:cs="Times New Roman"/>
                      <w:color w:val="auto"/>
                      <w:highlight w:val="none"/>
                      <w:u w:val="none" w:color="auto"/>
                      <w:lang w:val="en-US" w:eastAsia="zh-CN"/>
                    </w:rPr>
                    <w:t>50</w:t>
                  </w:r>
                  <w:r>
                    <w:rPr>
                      <w:rFonts w:hint="default" w:ascii="Times New Roman" w:hAnsi="Times New Roman" w:cs="Times New Roman"/>
                      <w:color w:val="auto"/>
                      <w:highlight w:val="none"/>
                      <w:u w:val="none" w:color="auto"/>
                    </w:rPr>
                    <w:t>米范围内无声环境敏感保护目标</w:t>
                  </w:r>
                </w:p>
              </w:tc>
            </w:tr>
            <w:tr w14:paraId="21DBC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04" w:type="pct"/>
                  <w:tcBorders>
                    <w:tl2br w:val="nil"/>
                    <w:tr2bl w:val="nil"/>
                  </w:tcBorders>
                  <w:noWrap w:val="0"/>
                  <w:vAlign w:val="center"/>
                </w:tcPr>
                <w:p w14:paraId="557647C9">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生态环境</w:t>
                  </w:r>
                </w:p>
              </w:tc>
              <w:tc>
                <w:tcPr>
                  <w:tcW w:w="4495" w:type="pct"/>
                  <w:gridSpan w:val="5"/>
                  <w:tcBorders>
                    <w:tl2br w:val="nil"/>
                    <w:tr2bl w:val="nil"/>
                  </w:tcBorders>
                  <w:noWrap w:val="0"/>
                  <w:vAlign w:val="center"/>
                </w:tcPr>
                <w:p w14:paraId="453D3993">
                  <w:pPr>
                    <w:pStyle w:val="27"/>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评价范围内无珍稀、濒危等生态保护目标</w:t>
                  </w:r>
                </w:p>
              </w:tc>
            </w:tr>
          </w:tbl>
          <w:p w14:paraId="75ED0484">
            <w:pPr>
              <w:adjustRightInd w:val="0"/>
              <w:snapToGrid w:val="0"/>
              <w:jc w:val="center"/>
              <w:rPr>
                <w:rFonts w:hint="default" w:ascii="Times New Roman" w:hAnsi="Times New Roman" w:cs="Times New Roman"/>
                <w:color w:val="auto"/>
                <w:kern w:val="0"/>
                <w:szCs w:val="21"/>
                <w:highlight w:val="none"/>
                <w:u w:val="none" w:color="auto"/>
              </w:rPr>
            </w:pPr>
          </w:p>
        </w:tc>
      </w:tr>
      <w:tr w14:paraId="36706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48" w:type="pct"/>
            <w:tcBorders>
              <w:tl2br w:val="nil"/>
              <w:tr2bl w:val="nil"/>
            </w:tcBorders>
            <w:noWrap w:val="0"/>
            <w:tcMar>
              <w:left w:w="28" w:type="dxa"/>
              <w:right w:w="28" w:type="dxa"/>
            </w:tcMar>
            <w:vAlign w:val="center"/>
          </w:tcPr>
          <w:p w14:paraId="6C11B51E">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污染</w:t>
            </w:r>
          </w:p>
          <w:p w14:paraId="514FE8FD">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物排</w:t>
            </w:r>
          </w:p>
          <w:p w14:paraId="2EF80522">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放控</w:t>
            </w:r>
          </w:p>
          <w:p w14:paraId="0D1E2B0F">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制标</w:t>
            </w:r>
          </w:p>
          <w:p w14:paraId="51865DBE">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准</w:t>
            </w:r>
          </w:p>
        </w:tc>
        <w:tc>
          <w:tcPr>
            <w:tcW w:w="4751" w:type="pct"/>
            <w:tcBorders>
              <w:tl2br w:val="nil"/>
              <w:tr2bl w:val="nil"/>
            </w:tcBorders>
            <w:noWrap w:val="0"/>
            <w:vAlign w:val="center"/>
          </w:tcPr>
          <w:p w14:paraId="626AD88D">
            <w:pPr>
              <w:spacing w:line="360" w:lineRule="auto"/>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color w:val="auto"/>
                <w:sz w:val="24"/>
                <w:highlight w:val="none"/>
                <w:u w:val="none" w:color="auto"/>
              </w:rPr>
              <w:t>1、</w:t>
            </w:r>
            <w:r>
              <w:rPr>
                <w:rFonts w:hint="default" w:ascii="Times New Roman" w:hAnsi="Times New Roman" w:cs="Times New Roman"/>
                <w:b/>
                <w:bCs/>
                <w:color w:val="auto"/>
                <w:kern w:val="0"/>
                <w:sz w:val="24"/>
                <w:highlight w:val="none"/>
                <w:u w:val="none" w:color="auto"/>
              </w:rPr>
              <w:t>废气排放标准</w:t>
            </w:r>
          </w:p>
          <w:p w14:paraId="597D15D5">
            <w:pPr>
              <w:pStyle w:val="25"/>
              <w:bidi w:val="0"/>
              <w:rPr>
                <w:rFonts w:hint="default"/>
                <w:highlight w:val="none"/>
                <w:u w:val="none" w:color="auto"/>
                <w:lang w:val="en-US" w:eastAsia="zh-CN"/>
              </w:rPr>
            </w:pPr>
            <w:r>
              <w:rPr>
                <w:rFonts w:hint="eastAsia"/>
                <w:highlight w:val="none"/>
                <w:u w:val="none" w:color="auto"/>
                <w:lang w:val="en-US" w:eastAsia="zh-CN"/>
              </w:rPr>
              <w:t>有组织废气：焚烧炉废气执行《湖南省工业炉窑大气污染综合治理实施方案》附件</w:t>
            </w:r>
            <w:r>
              <w:rPr>
                <w:rFonts w:hint="default"/>
                <w:highlight w:val="none"/>
                <w:u w:val="none" w:color="auto"/>
                <w:lang w:val="en-US" w:eastAsia="zh-CN"/>
              </w:rPr>
              <w:t>1</w:t>
            </w:r>
            <w:r>
              <w:rPr>
                <w:rFonts w:hint="eastAsia"/>
                <w:highlight w:val="none"/>
                <w:u w:val="none" w:color="auto"/>
                <w:lang w:val="en-US" w:eastAsia="zh-CN"/>
              </w:rPr>
              <w:t>中相关排放限值，</w:t>
            </w:r>
            <w:r>
              <w:rPr>
                <w:rFonts w:hint="default"/>
                <w:highlight w:val="none"/>
                <w:u w:val="none" w:color="auto"/>
                <w:lang w:val="en-US" w:eastAsia="zh-CN"/>
              </w:rPr>
              <w:t>详</w:t>
            </w:r>
            <w:r>
              <w:rPr>
                <w:rFonts w:hint="default"/>
                <w:highlight w:val="none"/>
                <w:u w:val="none" w:color="auto"/>
              </w:rPr>
              <w:t>见</w:t>
            </w:r>
            <w:r>
              <w:rPr>
                <w:rFonts w:hint="eastAsia"/>
                <w:highlight w:val="none"/>
                <w:u w:val="none" w:color="auto"/>
                <w:lang w:val="en-US" w:eastAsia="zh-CN"/>
              </w:rPr>
              <w:t>下</w:t>
            </w:r>
            <w:r>
              <w:rPr>
                <w:rFonts w:hint="default"/>
                <w:highlight w:val="none"/>
                <w:u w:val="none" w:color="auto"/>
              </w:rPr>
              <w:t>表</w:t>
            </w:r>
            <w:r>
              <w:rPr>
                <w:rFonts w:hint="eastAsia"/>
                <w:highlight w:val="none"/>
                <w:u w:val="none" w:color="auto"/>
                <w:lang w:val="en-US" w:eastAsia="zh-CN"/>
              </w:rPr>
              <w:t>。</w:t>
            </w:r>
          </w:p>
          <w:p w14:paraId="3ACE1304">
            <w:pPr>
              <w:pStyle w:val="30"/>
              <w:bidi w:val="0"/>
              <w:jc w:val="center"/>
              <w:rPr>
                <w:rFonts w:hint="default" w:ascii="Times New Roman" w:hAnsi="Times New Roman" w:cs="Times New Roman"/>
                <w:b/>
                <w:bCs/>
                <w:color w:val="auto"/>
                <w:szCs w:val="16"/>
                <w:highlight w:val="none"/>
                <w:u w:val="none" w:color="auto"/>
              </w:rPr>
            </w:pPr>
            <w:r>
              <w:rPr>
                <w:rFonts w:hint="default"/>
                <w:b/>
                <w:bCs/>
                <w:highlight w:val="none"/>
                <w:u w:val="none" w:color="auto"/>
              </w:rPr>
              <w:t>表3-</w:t>
            </w:r>
            <w:r>
              <w:rPr>
                <w:rFonts w:hint="eastAsia"/>
                <w:b/>
                <w:bCs/>
                <w:highlight w:val="none"/>
                <w:u w:val="none" w:color="auto"/>
                <w:lang w:val="en-US" w:eastAsia="zh-CN"/>
              </w:rPr>
              <w:t>6   焚烧炉废气污染物排放标准</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79"/>
              <w:gridCol w:w="2635"/>
              <w:gridCol w:w="2635"/>
            </w:tblGrid>
            <w:tr w14:paraId="5F01C0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42" w:type="pct"/>
                  <w:tcBorders>
                    <w:tl2br w:val="nil"/>
                    <w:tr2bl w:val="nil"/>
                  </w:tcBorders>
                  <w:vAlign w:val="center"/>
                </w:tcPr>
                <w:p w14:paraId="5E7D4AF2">
                  <w:pPr>
                    <w:pStyle w:val="30"/>
                    <w:jc w:val="center"/>
                    <w:rPr>
                      <w:b/>
                      <w:bCs/>
                      <w:highlight w:val="none"/>
                      <w:u w:val="none" w:color="auto"/>
                    </w:rPr>
                  </w:pPr>
                  <w:r>
                    <w:rPr>
                      <w:rFonts w:hint="eastAsia"/>
                      <w:b/>
                      <w:bCs/>
                      <w:highlight w:val="none"/>
                      <w:u w:val="none" w:color="auto"/>
                    </w:rPr>
                    <w:t>污染物</w:t>
                  </w:r>
                </w:p>
              </w:tc>
              <w:tc>
                <w:tcPr>
                  <w:tcW w:w="1678" w:type="pct"/>
                  <w:tcBorders>
                    <w:tl2br w:val="nil"/>
                    <w:tr2bl w:val="nil"/>
                  </w:tcBorders>
                  <w:vAlign w:val="center"/>
                </w:tcPr>
                <w:p w14:paraId="07B1047A">
                  <w:pPr>
                    <w:pStyle w:val="30"/>
                    <w:jc w:val="center"/>
                    <w:rPr>
                      <w:rFonts w:hint="default" w:eastAsia="宋体"/>
                      <w:b/>
                      <w:bCs/>
                      <w:highlight w:val="none"/>
                      <w:u w:val="none" w:color="auto"/>
                      <w:lang w:val="en-US" w:eastAsia="zh-CN"/>
                    </w:rPr>
                  </w:pPr>
                  <w:r>
                    <w:rPr>
                      <w:rFonts w:hint="eastAsia"/>
                      <w:b/>
                      <w:bCs/>
                      <w:highlight w:val="none"/>
                      <w:u w:val="none" w:color="auto"/>
                      <w:lang w:val="en-US" w:eastAsia="zh-CN"/>
                    </w:rPr>
                    <w:t>最高允许排放浓度</w:t>
                  </w:r>
                </w:p>
              </w:tc>
              <w:tc>
                <w:tcPr>
                  <w:tcW w:w="1678" w:type="pct"/>
                  <w:tcBorders>
                    <w:tl2br w:val="nil"/>
                    <w:tr2bl w:val="nil"/>
                  </w:tcBorders>
                  <w:vAlign w:val="center"/>
                </w:tcPr>
                <w:p w14:paraId="5B157F07">
                  <w:pPr>
                    <w:pStyle w:val="30"/>
                    <w:jc w:val="center"/>
                    <w:rPr>
                      <w:rFonts w:hint="default" w:eastAsia="宋体"/>
                      <w:b/>
                      <w:bCs/>
                      <w:highlight w:val="none"/>
                      <w:u w:val="none" w:color="auto"/>
                      <w:lang w:val="en-US" w:eastAsia="zh-CN"/>
                    </w:rPr>
                  </w:pPr>
                  <w:r>
                    <w:rPr>
                      <w:rFonts w:hint="eastAsia"/>
                      <w:b/>
                      <w:bCs/>
                      <w:highlight w:val="none"/>
                      <w:u w:val="none" w:color="auto"/>
                      <w:lang w:val="en-US" w:eastAsia="zh-CN"/>
                    </w:rPr>
                    <w:t>排气筒高度</w:t>
                  </w:r>
                </w:p>
              </w:tc>
            </w:tr>
            <w:tr w14:paraId="345B0E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42" w:type="pct"/>
                  <w:tcBorders>
                    <w:tl2br w:val="nil"/>
                    <w:tr2bl w:val="nil"/>
                  </w:tcBorders>
                  <w:vAlign w:val="center"/>
                </w:tcPr>
                <w:p w14:paraId="6C4BBF24">
                  <w:pPr>
                    <w:pStyle w:val="30"/>
                    <w:jc w:val="center"/>
                    <w:rPr>
                      <w:highlight w:val="none"/>
                      <w:u w:val="none" w:color="auto"/>
                    </w:rPr>
                  </w:pPr>
                  <w:r>
                    <w:rPr>
                      <w:highlight w:val="none"/>
                      <w:u w:val="none" w:color="auto"/>
                    </w:rPr>
                    <w:t>颗粒物</w:t>
                  </w:r>
                </w:p>
              </w:tc>
              <w:tc>
                <w:tcPr>
                  <w:tcW w:w="1678" w:type="pct"/>
                  <w:tcBorders>
                    <w:tl2br w:val="nil"/>
                    <w:tr2bl w:val="nil"/>
                  </w:tcBorders>
                  <w:vAlign w:val="center"/>
                </w:tcPr>
                <w:p w14:paraId="30F0C283">
                  <w:pPr>
                    <w:pStyle w:val="30"/>
                    <w:jc w:val="center"/>
                    <w:rPr>
                      <w:highlight w:val="none"/>
                      <w:u w:val="none" w:color="auto"/>
                    </w:rPr>
                  </w:pPr>
                  <w:r>
                    <w:rPr>
                      <w:rFonts w:hint="eastAsia"/>
                      <w:highlight w:val="none"/>
                      <w:u w:val="none" w:color="auto"/>
                    </w:rPr>
                    <w:t>30mg/m</w:t>
                  </w:r>
                  <w:r>
                    <w:rPr>
                      <w:rFonts w:hint="eastAsia"/>
                      <w:highlight w:val="none"/>
                      <w:u w:val="none" w:color="auto"/>
                      <w:vertAlign w:val="superscript"/>
                    </w:rPr>
                    <w:t>3</w:t>
                  </w:r>
                </w:p>
              </w:tc>
              <w:tc>
                <w:tcPr>
                  <w:tcW w:w="1678" w:type="pct"/>
                  <w:vMerge w:val="restart"/>
                  <w:tcBorders>
                    <w:tl2br w:val="nil"/>
                    <w:tr2bl w:val="nil"/>
                  </w:tcBorders>
                  <w:vAlign w:val="center"/>
                </w:tcPr>
                <w:p w14:paraId="2170DC72">
                  <w:pPr>
                    <w:pStyle w:val="30"/>
                    <w:jc w:val="center"/>
                    <w:rPr>
                      <w:rFonts w:hint="default" w:eastAsia="宋体"/>
                      <w:highlight w:val="none"/>
                      <w:u w:val="none" w:color="auto"/>
                      <w:lang w:val="en-US" w:eastAsia="zh-CN"/>
                    </w:rPr>
                  </w:pPr>
                  <w:r>
                    <w:rPr>
                      <w:rFonts w:hint="eastAsia"/>
                      <w:highlight w:val="none"/>
                      <w:u w:val="none" w:color="auto"/>
                      <w:lang w:val="en-US" w:eastAsia="zh-CN"/>
                    </w:rPr>
                    <w:t>15m</w:t>
                  </w:r>
                </w:p>
              </w:tc>
            </w:tr>
            <w:tr w14:paraId="47CC5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42" w:type="pct"/>
                  <w:tcBorders>
                    <w:tl2br w:val="nil"/>
                    <w:tr2bl w:val="nil"/>
                  </w:tcBorders>
                  <w:vAlign w:val="center"/>
                </w:tcPr>
                <w:p w14:paraId="394A192D">
                  <w:pPr>
                    <w:pStyle w:val="30"/>
                    <w:jc w:val="center"/>
                    <w:rPr>
                      <w:highlight w:val="none"/>
                      <w:u w:val="none" w:color="auto"/>
                    </w:rPr>
                  </w:pPr>
                  <w:r>
                    <w:rPr>
                      <w:rFonts w:hint="eastAsia"/>
                      <w:highlight w:val="none"/>
                      <w:u w:val="none" w:color="auto"/>
                    </w:rPr>
                    <w:t>二氧化硫</w:t>
                  </w:r>
                </w:p>
              </w:tc>
              <w:tc>
                <w:tcPr>
                  <w:tcW w:w="1678" w:type="pct"/>
                  <w:tcBorders>
                    <w:tl2br w:val="nil"/>
                    <w:tr2bl w:val="nil"/>
                  </w:tcBorders>
                  <w:vAlign w:val="center"/>
                </w:tcPr>
                <w:p w14:paraId="6AB4A278">
                  <w:pPr>
                    <w:pStyle w:val="30"/>
                    <w:jc w:val="center"/>
                    <w:rPr>
                      <w:highlight w:val="none"/>
                      <w:u w:val="none" w:color="auto"/>
                    </w:rPr>
                  </w:pPr>
                  <w:r>
                    <w:rPr>
                      <w:rFonts w:hint="eastAsia"/>
                      <w:highlight w:val="none"/>
                      <w:u w:val="none" w:color="auto"/>
                    </w:rPr>
                    <w:t>200mg/m</w:t>
                  </w:r>
                  <w:r>
                    <w:rPr>
                      <w:rFonts w:hint="eastAsia"/>
                      <w:highlight w:val="none"/>
                      <w:u w:val="none" w:color="auto"/>
                      <w:vertAlign w:val="superscript"/>
                    </w:rPr>
                    <w:t>3</w:t>
                  </w:r>
                </w:p>
              </w:tc>
              <w:tc>
                <w:tcPr>
                  <w:tcW w:w="1678" w:type="pct"/>
                  <w:vMerge w:val="continue"/>
                  <w:tcBorders>
                    <w:tl2br w:val="nil"/>
                    <w:tr2bl w:val="nil"/>
                  </w:tcBorders>
                  <w:vAlign w:val="center"/>
                </w:tcPr>
                <w:p w14:paraId="205BAB9B">
                  <w:pPr>
                    <w:pStyle w:val="30"/>
                    <w:jc w:val="center"/>
                    <w:rPr>
                      <w:rFonts w:hint="eastAsia"/>
                      <w:highlight w:val="none"/>
                      <w:u w:val="none" w:color="auto"/>
                    </w:rPr>
                  </w:pPr>
                </w:p>
              </w:tc>
            </w:tr>
            <w:tr w14:paraId="6717F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642" w:type="pct"/>
                  <w:tcBorders>
                    <w:tl2br w:val="nil"/>
                    <w:tr2bl w:val="nil"/>
                  </w:tcBorders>
                  <w:vAlign w:val="center"/>
                </w:tcPr>
                <w:p w14:paraId="39F1508B">
                  <w:pPr>
                    <w:pStyle w:val="30"/>
                    <w:jc w:val="center"/>
                    <w:rPr>
                      <w:highlight w:val="none"/>
                      <w:u w:val="none" w:color="auto"/>
                    </w:rPr>
                  </w:pPr>
                  <w:r>
                    <w:rPr>
                      <w:rFonts w:hint="eastAsia"/>
                      <w:highlight w:val="none"/>
                      <w:u w:val="none" w:color="auto"/>
                    </w:rPr>
                    <w:t>氮氧化物</w:t>
                  </w:r>
                </w:p>
              </w:tc>
              <w:tc>
                <w:tcPr>
                  <w:tcW w:w="1678" w:type="pct"/>
                  <w:tcBorders>
                    <w:tl2br w:val="nil"/>
                    <w:tr2bl w:val="nil"/>
                  </w:tcBorders>
                  <w:vAlign w:val="center"/>
                </w:tcPr>
                <w:p w14:paraId="79ABB51E">
                  <w:pPr>
                    <w:pStyle w:val="30"/>
                    <w:jc w:val="center"/>
                    <w:rPr>
                      <w:highlight w:val="none"/>
                      <w:u w:val="none" w:color="auto"/>
                    </w:rPr>
                  </w:pPr>
                  <w:r>
                    <w:rPr>
                      <w:rFonts w:hint="eastAsia"/>
                      <w:highlight w:val="none"/>
                      <w:u w:val="none" w:color="auto"/>
                      <w:lang w:val="en-US" w:eastAsia="zh-CN"/>
                    </w:rPr>
                    <w:t>3</w:t>
                  </w:r>
                  <w:r>
                    <w:rPr>
                      <w:rFonts w:hint="eastAsia"/>
                      <w:highlight w:val="none"/>
                      <w:u w:val="none" w:color="auto"/>
                    </w:rPr>
                    <w:t>00mg/m</w:t>
                  </w:r>
                  <w:r>
                    <w:rPr>
                      <w:rFonts w:hint="eastAsia"/>
                      <w:highlight w:val="none"/>
                      <w:u w:val="none" w:color="auto"/>
                      <w:vertAlign w:val="superscript"/>
                    </w:rPr>
                    <w:t>3</w:t>
                  </w:r>
                </w:p>
              </w:tc>
              <w:tc>
                <w:tcPr>
                  <w:tcW w:w="1678" w:type="pct"/>
                  <w:vMerge w:val="continue"/>
                  <w:tcBorders>
                    <w:tl2br w:val="nil"/>
                    <w:tr2bl w:val="nil"/>
                  </w:tcBorders>
                  <w:vAlign w:val="center"/>
                </w:tcPr>
                <w:p w14:paraId="1374E87B">
                  <w:pPr>
                    <w:pStyle w:val="30"/>
                    <w:jc w:val="center"/>
                    <w:rPr>
                      <w:rFonts w:hint="eastAsia"/>
                      <w:highlight w:val="none"/>
                      <w:u w:val="none" w:color="auto"/>
                    </w:rPr>
                  </w:pPr>
                </w:p>
              </w:tc>
            </w:tr>
          </w:tbl>
          <w:p w14:paraId="1C6F3EB3">
            <w:pPr>
              <w:pStyle w:val="25"/>
              <w:keepNext w:val="0"/>
              <w:keepLines w:val="0"/>
              <w:pageBreakBefore w:val="0"/>
              <w:widowControl w:val="0"/>
              <w:kinsoku/>
              <w:wordWrap w:val="0"/>
              <w:overflowPunct/>
              <w:topLinePunct/>
              <w:autoSpaceDE/>
              <w:autoSpaceDN/>
              <w:bidi w:val="0"/>
              <w:adjustRightInd/>
              <w:snapToGrid/>
              <w:textAlignment w:val="auto"/>
              <w:rPr>
                <w:highlight w:val="none"/>
                <w:u w:val="none" w:color="auto"/>
              </w:rPr>
            </w:pPr>
            <w:r>
              <w:rPr>
                <w:rFonts w:hint="eastAsia"/>
                <w:highlight w:val="none"/>
                <w:u w:val="none" w:color="auto"/>
                <w:lang w:val="en-US" w:eastAsia="zh-CN"/>
              </w:rPr>
              <w:t>无组织废气：</w:t>
            </w:r>
            <w:r>
              <w:rPr>
                <w:rFonts w:hint="default"/>
                <w:highlight w:val="none"/>
                <w:u w:val="none" w:color="auto"/>
                <w:lang w:eastAsia="zh-CN"/>
              </w:rPr>
              <w:t>厂区内</w:t>
            </w:r>
            <w:r>
              <w:rPr>
                <w:rFonts w:hint="default"/>
                <w:highlight w:val="none"/>
                <w:u w:val="none" w:color="auto"/>
                <w:lang w:val="en-US" w:eastAsia="zh-CN"/>
              </w:rPr>
              <w:t>VOCs无组织排放</w:t>
            </w:r>
            <w:r>
              <w:rPr>
                <w:rFonts w:hint="eastAsia"/>
                <w:highlight w:val="none"/>
                <w:u w:val="none" w:color="auto"/>
                <w:lang w:val="en-US" w:eastAsia="zh-CN"/>
              </w:rPr>
              <w:t>执</w:t>
            </w:r>
            <w:r>
              <w:rPr>
                <w:rStyle w:val="35"/>
                <w:rFonts w:hint="eastAsia"/>
                <w:highlight w:val="none"/>
                <w:u w:val="none" w:color="auto"/>
                <w:lang w:val="en-US" w:eastAsia="zh-CN"/>
              </w:rPr>
              <w:t>行《</w:t>
            </w:r>
            <w:r>
              <w:rPr>
                <w:rStyle w:val="35"/>
                <w:rFonts w:hint="eastAsia"/>
                <w:highlight w:val="none"/>
                <w:u w:val="none" w:color="auto"/>
              </w:rPr>
              <w:t>挥发性有机物无组织排放控制标准</w:t>
            </w:r>
            <w:r>
              <w:rPr>
                <w:rStyle w:val="35"/>
                <w:rFonts w:hint="eastAsia"/>
                <w:highlight w:val="none"/>
                <w:u w:val="none" w:color="auto"/>
                <w:lang w:val="en-US" w:eastAsia="zh-CN"/>
              </w:rPr>
              <w:t>》（GB37822-2019）标准</w:t>
            </w:r>
            <w:r>
              <w:rPr>
                <w:rStyle w:val="35"/>
                <w:rFonts w:hint="default"/>
                <w:highlight w:val="none"/>
                <w:u w:val="none" w:color="auto"/>
                <w:lang w:val="en-US" w:eastAsia="zh-CN"/>
              </w:rPr>
              <w:t>要求</w:t>
            </w:r>
            <w:r>
              <w:rPr>
                <w:rFonts w:hint="eastAsia"/>
                <w:highlight w:val="none"/>
                <w:u w:val="none" w:color="auto"/>
                <w:lang w:val="en-US" w:eastAsia="zh-CN"/>
              </w:rPr>
              <w:t>；厂界非甲烷总烃执行《大气污染物综合排放标准》（GB16297-1996）；恶臭（以臭气浓度为表征）执行《恶臭污染物排放标准》（</w:t>
            </w:r>
            <w:r>
              <w:rPr>
                <w:rFonts w:hint="default"/>
                <w:highlight w:val="none"/>
                <w:u w:val="none" w:color="auto"/>
                <w:lang w:val="en-US" w:eastAsia="zh-CN"/>
              </w:rPr>
              <w:t>GB14554-1993</w:t>
            </w:r>
            <w:r>
              <w:rPr>
                <w:rFonts w:hint="eastAsia"/>
                <w:highlight w:val="none"/>
                <w:u w:val="none" w:color="auto"/>
                <w:lang w:val="en-US" w:eastAsia="zh-CN"/>
              </w:rPr>
              <w:t>）</w:t>
            </w:r>
            <w:r>
              <w:rPr>
                <w:rFonts w:hint="default"/>
                <w:highlight w:val="none"/>
                <w:u w:val="none" w:color="auto"/>
                <w:lang w:val="en-US" w:eastAsia="zh-CN"/>
              </w:rPr>
              <w:t>2</w:t>
            </w:r>
            <w:r>
              <w:rPr>
                <w:rFonts w:hint="eastAsia"/>
                <w:highlight w:val="none"/>
                <w:u w:val="none" w:color="auto"/>
                <w:lang w:val="en-US" w:eastAsia="zh-CN"/>
              </w:rPr>
              <w:t>级标准，详见下表。</w:t>
            </w:r>
          </w:p>
          <w:p w14:paraId="383C573F">
            <w:pPr>
              <w:pStyle w:val="30"/>
              <w:bidi w:val="0"/>
              <w:jc w:val="center"/>
              <w:rPr>
                <w:rFonts w:hint="default"/>
                <w:highlight w:val="none"/>
                <w:u w:val="none" w:color="auto"/>
                <w:lang w:val="en-US" w:eastAsia="zh-CN"/>
              </w:rPr>
            </w:pPr>
            <w:r>
              <w:rPr>
                <w:rFonts w:hint="eastAsia"/>
                <w:b/>
                <w:bCs/>
                <w:highlight w:val="none"/>
                <w:u w:val="none" w:color="auto"/>
                <w:lang w:val="en-US" w:eastAsia="zh-CN"/>
              </w:rPr>
              <w:t>表3-7   《</w:t>
            </w:r>
            <w:r>
              <w:rPr>
                <w:rFonts w:hint="eastAsia"/>
                <w:b/>
                <w:bCs/>
                <w:highlight w:val="none"/>
                <w:u w:val="none" w:color="auto"/>
              </w:rPr>
              <w:t>挥发性有机物无组织排放控制标准</w:t>
            </w:r>
            <w:r>
              <w:rPr>
                <w:rFonts w:hint="eastAsia"/>
                <w:b/>
                <w:bCs/>
                <w:highlight w:val="none"/>
                <w:u w:val="none" w:color="auto"/>
                <w:lang w:val="en-US" w:eastAsia="zh-CN"/>
              </w:rPr>
              <w:t>》(GB37822-2019)</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586"/>
              <w:gridCol w:w="2578"/>
              <w:gridCol w:w="2377"/>
            </w:tblGrid>
            <w:tr w14:paraId="012F5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3" w:type="pct"/>
                  <w:tcBorders>
                    <w:tl2br w:val="nil"/>
                    <w:tr2bl w:val="nil"/>
                  </w:tcBorders>
                  <w:vAlign w:val="center"/>
                </w:tcPr>
                <w:p w14:paraId="7A174536">
                  <w:pPr>
                    <w:pStyle w:val="30"/>
                    <w:bidi w:val="0"/>
                    <w:jc w:val="center"/>
                    <w:rPr>
                      <w:rFonts w:hint="eastAsia"/>
                      <w:b/>
                      <w:bCs/>
                      <w:highlight w:val="none"/>
                      <w:u w:val="none" w:color="auto"/>
                      <w:lang w:val="en-US" w:eastAsia="zh-CN"/>
                    </w:rPr>
                  </w:pPr>
                  <w:r>
                    <w:rPr>
                      <w:rFonts w:hint="eastAsia"/>
                      <w:b/>
                      <w:bCs/>
                      <w:highlight w:val="none"/>
                      <w:u w:val="none" w:color="auto"/>
                      <w:lang w:val="en-US" w:eastAsia="zh-CN"/>
                    </w:rPr>
                    <w:t>污染物</w:t>
                  </w:r>
                </w:p>
              </w:tc>
              <w:tc>
                <w:tcPr>
                  <w:tcW w:w="1010" w:type="pct"/>
                  <w:tcBorders>
                    <w:tl2br w:val="nil"/>
                    <w:tr2bl w:val="nil"/>
                  </w:tcBorders>
                  <w:vAlign w:val="center"/>
                </w:tcPr>
                <w:p w14:paraId="3C1ABC7D">
                  <w:pPr>
                    <w:pStyle w:val="30"/>
                    <w:bidi w:val="0"/>
                    <w:jc w:val="center"/>
                    <w:rPr>
                      <w:rFonts w:hint="eastAsia" w:eastAsia="宋体"/>
                      <w:b/>
                      <w:bCs/>
                      <w:highlight w:val="none"/>
                      <w:u w:val="none" w:color="auto"/>
                      <w:lang w:val="en-US" w:eastAsia="zh-CN"/>
                    </w:rPr>
                  </w:pPr>
                  <w:r>
                    <w:rPr>
                      <w:rFonts w:hint="eastAsia"/>
                      <w:b/>
                      <w:bCs/>
                      <w:highlight w:val="none"/>
                      <w:u w:val="none" w:color="auto"/>
                      <w:lang w:val="en-US" w:eastAsia="zh-CN"/>
                    </w:rPr>
                    <w:t>特别排放限值（mg/m</w:t>
                  </w:r>
                  <w:r>
                    <w:rPr>
                      <w:rFonts w:hint="eastAsia"/>
                      <w:b/>
                      <w:bCs/>
                      <w:highlight w:val="none"/>
                      <w:u w:val="none" w:color="auto"/>
                      <w:vertAlign w:val="superscript"/>
                      <w:lang w:val="en-US" w:eastAsia="zh-CN"/>
                    </w:rPr>
                    <w:t>3</w:t>
                  </w:r>
                  <w:r>
                    <w:rPr>
                      <w:rFonts w:hint="eastAsia"/>
                      <w:b/>
                      <w:bCs/>
                      <w:highlight w:val="none"/>
                      <w:u w:val="none" w:color="auto"/>
                      <w:lang w:val="en-US" w:eastAsia="zh-CN"/>
                    </w:rPr>
                    <w:t>）</w:t>
                  </w:r>
                </w:p>
              </w:tc>
              <w:tc>
                <w:tcPr>
                  <w:tcW w:w="1642" w:type="pct"/>
                  <w:tcBorders>
                    <w:tl2br w:val="nil"/>
                    <w:tr2bl w:val="nil"/>
                  </w:tcBorders>
                  <w:vAlign w:val="center"/>
                </w:tcPr>
                <w:p w14:paraId="455CB941">
                  <w:pPr>
                    <w:pStyle w:val="30"/>
                    <w:bidi w:val="0"/>
                    <w:jc w:val="center"/>
                    <w:rPr>
                      <w:rFonts w:hint="eastAsia" w:eastAsia="宋体"/>
                      <w:b/>
                      <w:bCs/>
                      <w:highlight w:val="none"/>
                      <w:u w:val="none" w:color="auto"/>
                      <w:lang w:val="en-US" w:eastAsia="zh-CN"/>
                    </w:rPr>
                  </w:pPr>
                  <w:r>
                    <w:rPr>
                      <w:rFonts w:hint="eastAsia"/>
                      <w:b/>
                      <w:bCs/>
                      <w:highlight w:val="none"/>
                      <w:u w:val="none" w:color="auto"/>
                      <w:lang w:val="en-US" w:eastAsia="zh-CN"/>
                    </w:rPr>
                    <w:t>限值含义</w:t>
                  </w:r>
                </w:p>
              </w:tc>
              <w:tc>
                <w:tcPr>
                  <w:tcW w:w="1514" w:type="pct"/>
                  <w:tcBorders>
                    <w:tl2br w:val="nil"/>
                    <w:tr2bl w:val="nil"/>
                  </w:tcBorders>
                  <w:vAlign w:val="center"/>
                </w:tcPr>
                <w:p w14:paraId="76A98B86">
                  <w:pPr>
                    <w:pStyle w:val="30"/>
                    <w:bidi w:val="0"/>
                    <w:jc w:val="center"/>
                    <w:rPr>
                      <w:rFonts w:hint="default"/>
                      <w:b/>
                      <w:bCs/>
                      <w:highlight w:val="none"/>
                      <w:u w:val="none" w:color="auto"/>
                    </w:rPr>
                  </w:pPr>
                  <w:r>
                    <w:rPr>
                      <w:rFonts w:hint="default"/>
                      <w:b/>
                      <w:bCs/>
                      <w:highlight w:val="none"/>
                      <w:u w:val="none" w:color="auto"/>
                    </w:rPr>
                    <w:t>无组织排放监控位置</w:t>
                  </w:r>
                </w:p>
              </w:tc>
            </w:tr>
            <w:tr w14:paraId="58766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vMerge w:val="restart"/>
                  <w:tcBorders>
                    <w:tl2br w:val="nil"/>
                    <w:tr2bl w:val="nil"/>
                  </w:tcBorders>
                  <w:vAlign w:val="center"/>
                </w:tcPr>
                <w:p w14:paraId="33B2AB97">
                  <w:pPr>
                    <w:pStyle w:val="30"/>
                    <w:bidi w:val="0"/>
                    <w:jc w:val="center"/>
                    <w:rPr>
                      <w:rFonts w:hint="default"/>
                      <w:b w:val="0"/>
                      <w:bCs w:val="0"/>
                      <w:highlight w:val="none"/>
                      <w:u w:val="none" w:color="auto"/>
                      <w:lang w:val="en-US" w:eastAsia="zh-CN"/>
                    </w:rPr>
                  </w:pPr>
                  <w:r>
                    <w:rPr>
                      <w:rFonts w:hint="eastAsia"/>
                      <w:b w:val="0"/>
                      <w:bCs w:val="0"/>
                      <w:highlight w:val="none"/>
                      <w:u w:val="none" w:color="auto"/>
                      <w:lang w:val="en-US" w:eastAsia="zh-CN"/>
                    </w:rPr>
                    <w:t>NMHC</w:t>
                  </w:r>
                </w:p>
              </w:tc>
              <w:tc>
                <w:tcPr>
                  <w:tcW w:w="1010" w:type="pct"/>
                  <w:tcBorders>
                    <w:tl2br w:val="nil"/>
                    <w:tr2bl w:val="nil"/>
                  </w:tcBorders>
                  <w:vAlign w:val="center"/>
                </w:tcPr>
                <w:p w14:paraId="3BC08F03">
                  <w:pPr>
                    <w:pStyle w:val="30"/>
                    <w:bidi w:val="0"/>
                    <w:jc w:val="center"/>
                    <w:rPr>
                      <w:rFonts w:hint="default"/>
                      <w:b w:val="0"/>
                      <w:bCs w:val="0"/>
                      <w:highlight w:val="none"/>
                      <w:u w:val="none" w:color="auto"/>
                      <w:lang w:val="en-US" w:eastAsia="zh-CN"/>
                    </w:rPr>
                  </w:pPr>
                  <w:r>
                    <w:rPr>
                      <w:rFonts w:hint="eastAsia"/>
                      <w:b w:val="0"/>
                      <w:bCs w:val="0"/>
                      <w:highlight w:val="none"/>
                      <w:u w:val="none" w:color="auto"/>
                      <w:lang w:val="en-US" w:eastAsia="zh-CN"/>
                    </w:rPr>
                    <w:t>6</w:t>
                  </w:r>
                </w:p>
              </w:tc>
              <w:tc>
                <w:tcPr>
                  <w:tcW w:w="1642" w:type="pct"/>
                  <w:tcBorders>
                    <w:tl2br w:val="nil"/>
                    <w:tr2bl w:val="nil"/>
                  </w:tcBorders>
                  <w:vAlign w:val="center"/>
                </w:tcPr>
                <w:p w14:paraId="683208A3">
                  <w:pPr>
                    <w:pStyle w:val="30"/>
                    <w:bidi w:val="0"/>
                    <w:jc w:val="center"/>
                    <w:rPr>
                      <w:rFonts w:hint="default"/>
                      <w:b w:val="0"/>
                      <w:bCs w:val="0"/>
                      <w:highlight w:val="none"/>
                      <w:u w:val="none" w:color="auto"/>
                      <w:lang w:val="en-US" w:eastAsia="zh-CN"/>
                    </w:rPr>
                  </w:pPr>
                  <w:r>
                    <w:rPr>
                      <w:rFonts w:hint="default"/>
                      <w:b w:val="0"/>
                      <w:bCs w:val="0"/>
                      <w:highlight w:val="none"/>
                      <w:u w:val="none" w:color="auto"/>
                      <w:lang w:val="en-US" w:eastAsia="zh-CN"/>
                    </w:rPr>
                    <w:t>监控点处1h平均浓度值</w:t>
                  </w:r>
                </w:p>
              </w:tc>
              <w:tc>
                <w:tcPr>
                  <w:tcW w:w="1514" w:type="pct"/>
                  <w:vMerge w:val="restart"/>
                  <w:tcBorders>
                    <w:tl2br w:val="nil"/>
                    <w:tr2bl w:val="nil"/>
                  </w:tcBorders>
                  <w:vAlign w:val="center"/>
                </w:tcPr>
                <w:p w14:paraId="1A8D4ADC">
                  <w:pPr>
                    <w:pStyle w:val="30"/>
                    <w:bidi w:val="0"/>
                    <w:jc w:val="center"/>
                    <w:rPr>
                      <w:rFonts w:hint="default"/>
                      <w:b w:val="0"/>
                      <w:bCs w:val="0"/>
                      <w:highlight w:val="none"/>
                      <w:u w:val="none" w:color="auto"/>
                    </w:rPr>
                  </w:pPr>
                  <w:r>
                    <w:rPr>
                      <w:rFonts w:hint="eastAsia"/>
                      <w:highlight w:val="none"/>
                      <w:u w:val="none" w:color="auto"/>
                    </w:rPr>
                    <w:t>在厂房外设置监控点</w:t>
                  </w:r>
                </w:p>
              </w:tc>
            </w:tr>
            <w:tr w14:paraId="75BFE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pct"/>
                  <w:vMerge w:val="continue"/>
                  <w:tcBorders>
                    <w:tl2br w:val="nil"/>
                    <w:tr2bl w:val="nil"/>
                  </w:tcBorders>
                  <w:vAlign w:val="center"/>
                </w:tcPr>
                <w:p w14:paraId="16D9B453">
                  <w:pPr>
                    <w:pStyle w:val="30"/>
                    <w:bidi w:val="0"/>
                    <w:jc w:val="center"/>
                    <w:rPr>
                      <w:rFonts w:hint="eastAsia"/>
                      <w:b w:val="0"/>
                      <w:bCs w:val="0"/>
                      <w:highlight w:val="none"/>
                      <w:u w:val="none" w:color="auto"/>
                      <w:lang w:val="en-US" w:eastAsia="zh-CN"/>
                    </w:rPr>
                  </w:pPr>
                </w:p>
              </w:tc>
              <w:tc>
                <w:tcPr>
                  <w:tcW w:w="1010" w:type="pct"/>
                  <w:tcBorders>
                    <w:tl2br w:val="nil"/>
                    <w:tr2bl w:val="nil"/>
                  </w:tcBorders>
                  <w:vAlign w:val="center"/>
                </w:tcPr>
                <w:p w14:paraId="0ECE788E">
                  <w:pPr>
                    <w:pStyle w:val="30"/>
                    <w:bidi w:val="0"/>
                    <w:jc w:val="center"/>
                    <w:rPr>
                      <w:rFonts w:hint="default"/>
                      <w:b w:val="0"/>
                      <w:bCs w:val="0"/>
                      <w:highlight w:val="none"/>
                      <w:u w:val="none" w:color="auto"/>
                      <w:lang w:val="en-US" w:eastAsia="zh-CN"/>
                    </w:rPr>
                  </w:pPr>
                  <w:r>
                    <w:rPr>
                      <w:rFonts w:hint="eastAsia"/>
                      <w:b w:val="0"/>
                      <w:bCs w:val="0"/>
                      <w:highlight w:val="none"/>
                      <w:u w:val="none" w:color="auto"/>
                      <w:lang w:val="en-US" w:eastAsia="zh-CN"/>
                    </w:rPr>
                    <w:t>20</w:t>
                  </w:r>
                </w:p>
              </w:tc>
              <w:tc>
                <w:tcPr>
                  <w:tcW w:w="1642" w:type="pct"/>
                  <w:tcBorders>
                    <w:tl2br w:val="nil"/>
                    <w:tr2bl w:val="nil"/>
                  </w:tcBorders>
                  <w:vAlign w:val="center"/>
                </w:tcPr>
                <w:p w14:paraId="731A7267">
                  <w:pPr>
                    <w:pStyle w:val="30"/>
                    <w:bidi w:val="0"/>
                    <w:jc w:val="center"/>
                    <w:rPr>
                      <w:rFonts w:hint="default"/>
                      <w:b w:val="0"/>
                      <w:bCs w:val="0"/>
                      <w:highlight w:val="none"/>
                      <w:u w:val="none" w:color="auto"/>
                      <w:lang w:val="en-US" w:eastAsia="zh-CN"/>
                    </w:rPr>
                  </w:pPr>
                  <w:r>
                    <w:rPr>
                      <w:rFonts w:hint="default"/>
                      <w:b w:val="0"/>
                      <w:bCs w:val="0"/>
                      <w:highlight w:val="none"/>
                      <w:u w:val="none" w:color="auto"/>
                      <w:lang w:val="en-US" w:eastAsia="zh-CN"/>
                    </w:rPr>
                    <w:t>监控点处任意一次浓度值</w:t>
                  </w:r>
                </w:p>
              </w:tc>
              <w:tc>
                <w:tcPr>
                  <w:tcW w:w="1514" w:type="pct"/>
                  <w:vMerge w:val="continue"/>
                  <w:tcBorders>
                    <w:tl2br w:val="nil"/>
                    <w:tr2bl w:val="nil"/>
                  </w:tcBorders>
                  <w:vAlign w:val="center"/>
                </w:tcPr>
                <w:p w14:paraId="129DD2F4">
                  <w:pPr>
                    <w:pStyle w:val="30"/>
                    <w:bidi w:val="0"/>
                    <w:jc w:val="center"/>
                    <w:rPr>
                      <w:rFonts w:hint="default"/>
                      <w:b w:val="0"/>
                      <w:bCs w:val="0"/>
                      <w:highlight w:val="none"/>
                      <w:u w:val="none" w:color="auto"/>
                    </w:rPr>
                  </w:pPr>
                </w:p>
              </w:tc>
            </w:tr>
          </w:tbl>
          <w:p w14:paraId="507F27F6">
            <w:pPr>
              <w:pStyle w:val="30"/>
              <w:bidi w:val="0"/>
              <w:jc w:val="center"/>
              <w:rPr>
                <w:rFonts w:hint="eastAsia"/>
                <w:b/>
                <w:bCs/>
                <w:highlight w:val="none"/>
                <w:u w:val="none" w:color="auto"/>
                <w:lang w:val="en-US" w:eastAsia="zh-CN"/>
              </w:rPr>
            </w:pPr>
            <w:r>
              <w:rPr>
                <w:rFonts w:hint="eastAsia"/>
                <w:b/>
                <w:bCs/>
                <w:highlight w:val="none"/>
                <w:u w:val="none" w:color="auto"/>
                <w:lang w:val="en-US" w:eastAsia="zh-CN"/>
              </w:rPr>
              <w:t>表3-8   《大气污染物综合排放标准》（GB16297-1996）</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2855"/>
              <w:gridCol w:w="2381"/>
            </w:tblGrid>
            <w:tr w14:paraId="4DF42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17" w:type="dxa"/>
                  <w:vMerge w:val="restart"/>
                  <w:tcBorders>
                    <w:tl2br w:val="nil"/>
                    <w:tr2bl w:val="nil"/>
                  </w:tcBorders>
                  <w:vAlign w:val="center"/>
                </w:tcPr>
                <w:p w14:paraId="6086A440">
                  <w:pPr>
                    <w:pStyle w:val="33"/>
                    <w:jc w:val="center"/>
                    <w:rPr>
                      <w:rFonts w:hint="default"/>
                      <w:highlight w:val="none"/>
                      <w:u w:val="none" w:color="auto"/>
                      <w:vertAlign w:val="baseline"/>
                      <w:lang w:val="en-US" w:eastAsia="zh-CN"/>
                    </w:rPr>
                  </w:pPr>
                  <w:r>
                    <w:rPr>
                      <w:rFonts w:hint="eastAsia"/>
                      <w:highlight w:val="none"/>
                      <w:u w:val="none" w:color="auto"/>
                      <w:vertAlign w:val="baseline"/>
                      <w:lang w:val="en-US" w:eastAsia="zh-CN"/>
                    </w:rPr>
                    <w:t>污染物</w:t>
                  </w:r>
                </w:p>
              </w:tc>
              <w:tc>
                <w:tcPr>
                  <w:tcW w:w="5236" w:type="dxa"/>
                  <w:gridSpan w:val="2"/>
                  <w:tcBorders>
                    <w:tl2br w:val="nil"/>
                    <w:tr2bl w:val="nil"/>
                  </w:tcBorders>
                </w:tcPr>
                <w:p w14:paraId="38562CAC">
                  <w:pPr>
                    <w:pStyle w:val="33"/>
                    <w:rPr>
                      <w:rFonts w:hint="default"/>
                      <w:highlight w:val="none"/>
                      <w:u w:val="none" w:color="auto"/>
                      <w:vertAlign w:val="baseline"/>
                      <w:lang w:val="en-US" w:eastAsia="zh-CN"/>
                    </w:rPr>
                  </w:pPr>
                  <w:r>
                    <w:rPr>
                      <w:rFonts w:hint="default"/>
                      <w:highlight w:val="none"/>
                      <w:u w:val="none" w:color="auto"/>
                      <w:vertAlign w:val="baseline"/>
                      <w:lang w:val="en-US" w:eastAsia="zh-CN"/>
                    </w:rPr>
                    <w:t>无组织排放监控浓度限值</w:t>
                  </w:r>
                </w:p>
              </w:tc>
            </w:tr>
            <w:tr w14:paraId="77F37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17" w:type="dxa"/>
                  <w:vMerge w:val="continue"/>
                  <w:tcBorders>
                    <w:tl2br w:val="nil"/>
                    <w:tr2bl w:val="nil"/>
                  </w:tcBorders>
                </w:tcPr>
                <w:p w14:paraId="6010EAC4">
                  <w:pPr>
                    <w:pStyle w:val="33"/>
                    <w:rPr>
                      <w:rFonts w:hint="eastAsia"/>
                      <w:highlight w:val="none"/>
                      <w:u w:val="none" w:color="auto"/>
                      <w:vertAlign w:val="baseline"/>
                      <w:lang w:val="en-US" w:eastAsia="zh-CN"/>
                    </w:rPr>
                  </w:pPr>
                </w:p>
              </w:tc>
              <w:tc>
                <w:tcPr>
                  <w:tcW w:w="2855" w:type="dxa"/>
                  <w:tcBorders>
                    <w:tl2br w:val="nil"/>
                    <w:tr2bl w:val="nil"/>
                  </w:tcBorders>
                </w:tcPr>
                <w:p w14:paraId="25BF0296">
                  <w:pPr>
                    <w:pStyle w:val="33"/>
                    <w:rPr>
                      <w:rFonts w:hint="default"/>
                      <w:highlight w:val="none"/>
                      <w:u w:val="none" w:color="auto"/>
                      <w:vertAlign w:val="baseline"/>
                      <w:lang w:val="en-US" w:eastAsia="zh-CN"/>
                    </w:rPr>
                  </w:pPr>
                  <w:r>
                    <w:rPr>
                      <w:rFonts w:hint="eastAsia"/>
                      <w:highlight w:val="none"/>
                      <w:u w:val="none" w:color="auto"/>
                      <w:vertAlign w:val="baseline"/>
                      <w:lang w:val="en-US" w:eastAsia="zh-CN"/>
                    </w:rPr>
                    <w:t>监控点</w:t>
                  </w:r>
                </w:p>
              </w:tc>
              <w:tc>
                <w:tcPr>
                  <w:tcW w:w="2381" w:type="dxa"/>
                  <w:tcBorders>
                    <w:tl2br w:val="nil"/>
                    <w:tr2bl w:val="nil"/>
                  </w:tcBorders>
                </w:tcPr>
                <w:p w14:paraId="39D950EE">
                  <w:pPr>
                    <w:pStyle w:val="33"/>
                    <w:rPr>
                      <w:rFonts w:hint="default"/>
                      <w:highlight w:val="none"/>
                      <w:u w:val="none" w:color="auto"/>
                      <w:vertAlign w:val="baseline"/>
                      <w:lang w:val="en-US" w:eastAsia="zh-CN"/>
                    </w:rPr>
                  </w:pPr>
                  <w:r>
                    <w:rPr>
                      <w:rFonts w:hint="eastAsia"/>
                      <w:highlight w:val="none"/>
                      <w:u w:val="none" w:color="auto"/>
                      <w:vertAlign w:val="baseline"/>
                      <w:lang w:val="en-US" w:eastAsia="zh-CN"/>
                    </w:rPr>
                    <w:t>浓度</w:t>
                  </w:r>
                  <w:r>
                    <w:rPr>
                      <w:rFonts w:hint="eastAsia"/>
                      <w:b/>
                      <w:bCs/>
                      <w:highlight w:val="none"/>
                      <w:u w:val="none" w:color="auto"/>
                      <w:lang w:val="en-US" w:eastAsia="zh-CN"/>
                    </w:rPr>
                    <w:t>（mg/m</w:t>
                  </w:r>
                  <w:r>
                    <w:rPr>
                      <w:rFonts w:hint="eastAsia"/>
                      <w:b/>
                      <w:bCs/>
                      <w:highlight w:val="none"/>
                      <w:u w:val="none" w:color="auto"/>
                      <w:vertAlign w:val="superscript"/>
                      <w:lang w:val="en-US" w:eastAsia="zh-CN"/>
                    </w:rPr>
                    <w:t>3</w:t>
                  </w:r>
                  <w:r>
                    <w:rPr>
                      <w:rFonts w:hint="eastAsia"/>
                      <w:b/>
                      <w:bCs/>
                      <w:highlight w:val="none"/>
                      <w:u w:val="none" w:color="auto"/>
                      <w:lang w:val="en-US" w:eastAsia="zh-CN"/>
                    </w:rPr>
                    <w:t>）</w:t>
                  </w:r>
                </w:p>
              </w:tc>
            </w:tr>
            <w:tr w14:paraId="624A5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17" w:type="dxa"/>
                  <w:tcBorders>
                    <w:tl2br w:val="nil"/>
                    <w:tr2bl w:val="nil"/>
                  </w:tcBorders>
                </w:tcPr>
                <w:p w14:paraId="5F8B50BF">
                  <w:pPr>
                    <w:pStyle w:val="33"/>
                    <w:rPr>
                      <w:rFonts w:hint="default"/>
                      <w:highlight w:val="none"/>
                      <w:u w:val="none" w:color="auto"/>
                      <w:vertAlign w:val="baseline"/>
                      <w:lang w:val="en-US" w:eastAsia="zh-CN"/>
                    </w:rPr>
                  </w:pPr>
                  <w:r>
                    <w:rPr>
                      <w:rFonts w:hint="eastAsia"/>
                      <w:b w:val="0"/>
                      <w:bCs w:val="0"/>
                      <w:highlight w:val="none"/>
                      <w:u w:val="none" w:color="auto"/>
                      <w:lang w:val="en-US" w:eastAsia="zh-CN"/>
                    </w:rPr>
                    <w:t>非甲烷总烃</w:t>
                  </w:r>
                </w:p>
              </w:tc>
              <w:tc>
                <w:tcPr>
                  <w:tcW w:w="2855" w:type="dxa"/>
                  <w:tcBorders>
                    <w:tl2br w:val="nil"/>
                    <w:tr2bl w:val="nil"/>
                  </w:tcBorders>
                </w:tcPr>
                <w:p w14:paraId="67329D7E">
                  <w:pPr>
                    <w:pStyle w:val="33"/>
                    <w:rPr>
                      <w:rFonts w:hint="default"/>
                      <w:b w:val="0"/>
                      <w:bCs/>
                      <w:highlight w:val="none"/>
                      <w:u w:val="none" w:color="auto"/>
                      <w:vertAlign w:val="baseline"/>
                      <w:lang w:val="en-US" w:eastAsia="zh-CN"/>
                    </w:rPr>
                  </w:pPr>
                  <w:r>
                    <w:rPr>
                      <w:rFonts w:hint="default"/>
                      <w:b w:val="0"/>
                      <w:bCs/>
                      <w:highlight w:val="none"/>
                      <w:u w:val="none" w:color="auto"/>
                      <w:vertAlign w:val="baseline"/>
                      <w:lang w:val="en-US" w:eastAsia="zh-CN"/>
                    </w:rPr>
                    <w:t>周界外浓度最高点</w:t>
                  </w:r>
                </w:p>
              </w:tc>
              <w:tc>
                <w:tcPr>
                  <w:tcW w:w="2381" w:type="dxa"/>
                  <w:tcBorders>
                    <w:tl2br w:val="nil"/>
                    <w:tr2bl w:val="nil"/>
                  </w:tcBorders>
                </w:tcPr>
                <w:p w14:paraId="40DF63BF">
                  <w:pPr>
                    <w:pStyle w:val="33"/>
                    <w:rPr>
                      <w:rFonts w:hint="default"/>
                      <w:b w:val="0"/>
                      <w:bCs/>
                      <w:highlight w:val="none"/>
                      <w:u w:val="none" w:color="auto"/>
                      <w:vertAlign w:val="baseline"/>
                      <w:lang w:val="en-US" w:eastAsia="zh-CN"/>
                    </w:rPr>
                  </w:pPr>
                  <w:r>
                    <w:rPr>
                      <w:rFonts w:hint="eastAsia"/>
                      <w:b w:val="0"/>
                      <w:bCs/>
                      <w:highlight w:val="none"/>
                      <w:u w:val="none" w:color="auto"/>
                      <w:vertAlign w:val="baseline"/>
                      <w:lang w:val="en-US" w:eastAsia="zh-CN"/>
                    </w:rPr>
                    <w:t>4.0</w:t>
                  </w:r>
                </w:p>
              </w:tc>
            </w:tr>
          </w:tbl>
          <w:p w14:paraId="638D1187">
            <w:pPr>
              <w:pStyle w:val="30"/>
              <w:bidi w:val="0"/>
              <w:jc w:val="center"/>
              <w:rPr>
                <w:rFonts w:hint="eastAsia"/>
                <w:b/>
                <w:bCs/>
                <w:highlight w:val="none"/>
                <w:u w:val="none" w:color="auto"/>
                <w:lang w:val="en-US" w:eastAsia="zh-CN"/>
              </w:rPr>
            </w:pPr>
            <w:r>
              <w:rPr>
                <w:rFonts w:hint="eastAsia"/>
                <w:b/>
                <w:bCs/>
                <w:highlight w:val="none"/>
                <w:u w:val="none" w:color="auto"/>
                <w:lang w:val="en-US" w:eastAsia="zh-CN"/>
              </w:rPr>
              <w:t>表3-9   恶臭废气污染物排放标准（</w:t>
            </w:r>
            <w:r>
              <w:rPr>
                <w:rFonts w:hint="default"/>
                <w:b/>
                <w:bCs/>
                <w:highlight w:val="none"/>
                <w:u w:val="none" w:color="auto"/>
                <w:lang w:val="en-US" w:eastAsia="zh-CN"/>
              </w:rPr>
              <w:t>GB14554-1993</w:t>
            </w:r>
            <w:r>
              <w:rPr>
                <w:rFonts w:hint="eastAsia"/>
                <w:b/>
                <w:bCs/>
                <w:highlight w:val="none"/>
                <w:u w:val="none" w:color="auto"/>
                <w:lang w:val="en-US" w:eastAsia="zh-CN"/>
              </w:rPr>
              <w:t>）</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2786"/>
              <w:gridCol w:w="3331"/>
            </w:tblGrid>
            <w:tr w14:paraId="2A829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6" w:type="dxa"/>
                  <w:tcBorders>
                    <w:tl2br w:val="nil"/>
                    <w:tr2bl w:val="nil"/>
                  </w:tcBorders>
                  <w:vAlign w:val="center"/>
                </w:tcPr>
                <w:p w14:paraId="05EC5D04">
                  <w:pPr>
                    <w:pStyle w:val="30"/>
                    <w:bidi w:val="0"/>
                    <w:ind w:firstLine="0" w:firstLineChars="0"/>
                    <w:jc w:val="center"/>
                    <w:rPr>
                      <w:rFonts w:hint="default"/>
                      <w:highlight w:val="none"/>
                      <w:u w:val="none" w:color="auto"/>
                      <w:lang w:val="en-US" w:eastAsia="zh-CN"/>
                    </w:rPr>
                  </w:pPr>
                  <w:r>
                    <w:rPr>
                      <w:rFonts w:hint="eastAsia"/>
                      <w:b/>
                      <w:bCs/>
                      <w:highlight w:val="none"/>
                      <w:u w:val="none" w:color="auto"/>
                      <w:lang w:val="en-US" w:eastAsia="zh-CN"/>
                    </w:rPr>
                    <w:t>污染物</w:t>
                  </w:r>
                </w:p>
              </w:tc>
              <w:tc>
                <w:tcPr>
                  <w:tcW w:w="2786" w:type="dxa"/>
                  <w:tcBorders>
                    <w:tl2br w:val="nil"/>
                    <w:tr2bl w:val="nil"/>
                  </w:tcBorders>
                  <w:vAlign w:val="center"/>
                </w:tcPr>
                <w:p w14:paraId="4D7D2356">
                  <w:pPr>
                    <w:pStyle w:val="30"/>
                    <w:bidi w:val="0"/>
                    <w:ind w:firstLine="0" w:firstLineChars="0"/>
                    <w:jc w:val="center"/>
                    <w:rPr>
                      <w:rFonts w:hint="default"/>
                      <w:highlight w:val="none"/>
                      <w:u w:val="none" w:color="auto"/>
                      <w:lang w:val="en-US" w:eastAsia="zh-CN"/>
                    </w:rPr>
                  </w:pPr>
                  <w:r>
                    <w:rPr>
                      <w:rFonts w:hint="default"/>
                      <w:b/>
                      <w:bCs/>
                      <w:highlight w:val="none"/>
                      <w:u w:val="none" w:color="auto"/>
                    </w:rPr>
                    <w:t>最高允许排放监控浓度限值</w:t>
                  </w:r>
                </w:p>
              </w:tc>
              <w:tc>
                <w:tcPr>
                  <w:tcW w:w="3331" w:type="dxa"/>
                  <w:tcBorders>
                    <w:tl2br w:val="nil"/>
                    <w:tr2bl w:val="nil"/>
                  </w:tcBorders>
                  <w:vAlign w:val="center"/>
                </w:tcPr>
                <w:p w14:paraId="2CCD236C">
                  <w:pPr>
                    <w:pStyle w:val="30"/>
                    <w:bidi w:val="0"/>
                    <w:ind w:firstLine="0" w:firstLineChars="0"/>
                    <w:jc w:val="center"/>
                    <w:rPr>
                      <w:rFonts w:hint="default"/>
                      <w:highlight w:val="none"/>
                      <w:u w:val="none" w:color="auto"/>
                      <w:lang w:val="en-US" w:eastAsia="zh-CN"/>
                    </w:rPr>
                  </w:pPr>
                  <w:r>
                    <w:rPr>
                      <w:rFonts w:hint="default"/>
                      <w:b/>
                      <w:bCs/>
                      <w:highlight w:val="none"/>
                      <w:u w:val="none" w:color="auto"/>
                    </w:rPr>
                    <w:t>污染物排放监控位置及要求</w:t>
                  </w:r>
                </w:p>
              </w:tc>
            </w:tr>
            <w:tr w14:paraId="6C7C5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36" w:type="dxa"/>
                  <w:tcBorders>
                    <w:tl2br w:val="nil"/>
                    <w:tr2bl w:val="nil"/>
                  </w:tcBorders>
                  <w:vAlign w:val="center"/>
                </w:tcPr>
                <w:p w14:paraId="0A96580A">
                  <w:pPr>
                    <w:pStyle w:val="30"/>
                    <w:bidi w:val="0"/>
                    <w:jc w:val="center"/>
                    <w:rPr>
                      <w:rFonts w:hint="default"/>
                      <w:highlight w:val="none"/>
                      <w:u w:val="none" w:color="auto"/>
                      <w:lang w:val="en-US" w:eastAsia="zh-CN"/>
                    </w:rPr>
                  </w:pPr>
                  <w:r>
                    <w:rPr>
                      <w:rFonts w:hint="eastAsia"/>
                      <w:highlight w:val="none"/>
                      <w:u w:val="none" w:color="auto"/>
                      <w:lang w:val="en-US" w:eastAsia="zh-CN"/>
                    </w:rPr>
                    <w:t>臭气浓度</w:t>
                  </w:r>
                </w:p>
              </w:tc>
              <w:tc>
                <w:tcPr>
                  <w:tcW w:w="2786" w:type="dxa"/>
                  <w:tcBorders>
                    <w:tl2br w:val="nil"/>
                    <w:tr2bl w:val="nil"/>
                  </w:tcBorders>
                  <w:vAlign w:val="center"/>
                </w:tcPr>
                <w:p w14:paraId="76040F94">
                  <w:pPr>
                    <w:pStyle w:val="30"/>
                    <w:bidi w:val="0"/>
                    <w:jc w:val="center"/>
                    <w:rPr>
                      <w:rFonts w:hint="default"/>
                      <w:highlight w:val="none"/>
                      <w:u w:val="none" w:color="auto"/>
                      <w:lang w:val="en-US" w:eastAsia="zh-CN"/>
                    </w:rPr>
                  </w:pPr>
                  <w:r>
                    <w:rPr>
                      <w:rFonts w:hint="eastAsia"/>
                      <w:highlight w:val="none"/>
                      <w:u w:val="none" w:color="auto"/>
                      <w:lang w:val="en-US" w:eastAsia="zh-CN"/>
                    </w:rPr>
                    <w:t>20（无量纲）</w:t>
                  </w:r>
                </w:p>
              </w:tc>
              <w:tc>
                <w:tcPr>
                  <w:tcW w:w="3331" w:type="dxa"/>
                  <w:tcBorders>
                    <w:tl2br w:val="nil"/>
                    <w:tr2bl w:val="nil"/>
                  </w:tcBorders>
                  <w:vAlign w:val="center"/>
                </w:tcPr>
                <w:p w14:paraId="0896FD9F">
                  <w:pPr>
                    <w:pStyle w:val="30"/>
                    <w:bidi w:val="0"/>
                    <w:jc w:val="center"/>
                    <w:rPr>
                      <w:rFonts w:hint="default"/>
                      <w:highlight w:val="none"/>
                      <w:u w:val="none" w:color="auto"/>
                      <w:lang w:val="en-US" w:eastAsia="zh-CN"/>
                    </w:rPr>
                  </w:pPr>
                  <w:r>
                    <w:rPr>
                      <w:rFonts w:hint="eastAsia"/>
                      <w:highlight w:val="none"/>
                      <w:u w:val="none" w:color="auto"/>
                      <w:lang w:val="en-US" w:eastAsia="zh-CN"/>
                    </w:rPr>
                    <w:t>厂界</w:t>
                  </w:r>
                </w:p>
              </w:tc>
            </w:tr>
          </w:tbl>
          <w:p w14:paraId="36B6B562">
            <w:pPr>
              <w:pStyle w:val="25"/>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2、废水排放标准</w:t>
            </w:r>
          </w:p>
          <w:p w14:paraId="6A00DB2C">
            <w:pPr>
              <w:pStyle w:val="25"/>
              <w:bidi w:val="0"/>
              <w:rPr>
                <w:rFonts w:hint="default"/>
                <w:highlight w:val="none"/>
                <w:u w:val="none" w:color="auto"/>
                <w:lang w:val="en-US" w:eastAsia="zh-CN"/>
              </w:rPr>
            </w:pPr>
            <w:r>
              <w:rPr>
                <w:rFonts w:hint="default"/>
                <w:highlight w:val="none"/>
                <w:u w:val="none" w:color="auto"/>
                <w:lang w:eastAsia="zh-CN"/>
              </w:rPr>
              <w:t>项目废水</w:t>
            </w:r>
            <w:r>
              <w:rPr>
                <w:rFonts w:hint="default"/>
                <w:highlight w:val="none"/>
                <w:u w:val="none" w:color="auto"/>
                <w:lang w:val="en-US" w:eastAsia="zh-CN"/>
              </w:rPr>
              <w:t>主要为生活</w:t>
            </w:r>
            <w:r>
              <w:rPr>
                <w:rFonts w:hint="eastAsia"/>
                <w:highlight w:val="none"/>
                <w:u w:val="none" w:color="auto"/>
                <w:lang w:val="en-US" w:eastAsia="zh-CN"/>
              </w:rPr>
              <w:t>污水</w:t>
            </w:r>
            <w:r>
              <w:rPr>
                <w:rFonts w:hint="default"/>
                <w:highlight w:val="none"/>
                <w:u w:val="none" w:color="auto"/>
                <w:lang w:val="en-US" w:eastAsia="zh-CN"/>
              </w:rPr>
              <w:t>，生活</w:t>
            </w:r>
            <w:r>
              <w:rPr>
                <w:rFonts w:hint="eastAsia"/>
                <w:highlight w:val="none"/>
                <w:u w:val="none" w:color="auto"/>
                <w:lang w:val="en-US" w:eastAsia="zh-CN"/>
              </w:rPr>
              <w:t>污水经三级化粪池处理后用作农肥；水膜除尘用水循环使用，</w:t>
            </w:r>
            <w:r>
              <w:rPr>
                <w:rFonts w:hint="default"/>
                <w:highlight w:val="none"/>
                <w:u w:val="none" w:color="auto"/>
                <w:lang w:val="en-US" w:eastAsia="zh-CN"/>
              </w:rPr>
              <w:t>不外排</w:t>
            </w:r>
            <w:r>
              <w:rPr>
                <w:rFonts w:hint="eastAsia"/>
                <w:highlight w:val="none"/>
                <w:u w:val="none" w:color="auto"/>
                <w:lang w:val="en-US" w:eastAsia="zh-CN"/>
              </w:rPr>
              <w:t>。</w:t>
            </w:r>
          </w:p>
          <w:p w14:paraId="015CC6ED">
            <w:pPr>
              <w:pStyle w:val="25"/>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rPr>
              <w:t>、</w:t>
            </w:r>
            <w:r>
              <w:rPr>
                <w:rFonts w:hint="default" w:ascii="Times New Roman" w:hAnsi="Times New Roman" w:cs="Times New Roman"/>
                <w:b/>
                <w:bCs/>
                <w:color w:val="auto"/>
                <w:highlight w:val="none"/>
                <w:u w:val="none" w:color="auto"/>
                <w:lang w:val="en-US" w:eastAsia="zh-CN"/>
              </w:rPr>
              <w:t>噪声</w:t>
            </w:r>
            <w:r>
              <w:rPr>
                <w:rFonts w:hint="default" w:ascii="Times New Roman" w:hAnsi="Times New Roman" w:cs="Times New Roman"/>
                <w:b/>
                <w:bCs/>
                <w:color w:val="auto"/>
                <w:highlight w:val="none"/>
                <w:u w:val="none" w:color="auto"/>
              </w:rPr>
              <w:t>排放标准</w:t>
            </w:r>
          </w:p>
          <w:p w14:paraId="28FC009D">
            <w:pPr>
              <w:pStyle w:val="25"/>
              <w:bidi w:val="0"/>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本项目</w:t>
            </w:r>
            <w:r>
              <w:rPr>
                <w:rFonts w:hint="default" w:ascii="Times New Roman" w:hAnsi="Times New Roman" w:cs="Times New Roman"/>
                <w:color w:val="auto"/>
                <w:highlight w:val="none"/>
                <w:u w:val="none" w:color="auto"/>
              </w:rPr>
              <w:t>噪声执行《工业企业厂界环境噪声排放标准》（GB12348-2008）中的</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类标准。</w:t>
            </w:r>
          </w:p>
          <w:p w14:paraId="6619546F">
            <w:pPr>
              <w:pStyle w:val="30"/>
              <w:bidi w:val="0"/>
              <w:jc w:val="center"/>
              <w:rPr>
                <w:rFonts w:hint="default" w:ascii="Times New Roman" w:hAnsi="Times New Roman" w:eastAsia="宋体" w:cs="Times New Roman"/>
                <w:b/>
                <w:bCs/>
                <w:color w:val="auto"/>
                <w:kern w:val="2"/>
                <w:szCs w:val="24"/>
                <w:highlight w:val="none"/>
                <w:u w:val="none" w:color="auto"/>
                <w:lang w:val="en-US" w:eastAsia="zh-CN" w:bidi="en-US"/>
              </w:rPr>
            </w:pPr>
            <w:r>
              <w:rPr>
                <w:rFonts w:hint="default" w:ascii="Times New Roman" w:hAnsi="Times New Roman" w:cs="Times New Roman"/>
                <w:b/>
                <w:bCs/>
                <w:color w:val="auto"/>
                <w:highlight w:val="none"/>
                <w:u w:val="none" w:color="auto"/>
                <w:lang w:val="en-US" w:eastAsia="zh-CN"/>
              </w:rPr>
              <w:t>表3-</w:t>
            </w:r>
            <w:r>
              <w:rPr>
                <w:rFonts w:hint="eastAsia" w:cs="Times New Roman"/>
                <w:b/>
                <w:bCs/>
                <w:color w:val="auto"/>
                <w:highlight w:val="none"/>
                <w:u w:val="none" w:color="auto"/>
                <w:lang w:val="en-US" w:eastAsia="zh-CN"/>
              </w:rPr>
              <w:t xml:space="preserve">10   </w:t>
            </w:r>
            <w:r>
              <w:rPr>
                <w:rFonts w:hint="default" w:ascii="Times New Roman" w:hAnsi="Times New Roman" w:cs="Times New Roman"/>
                <w:b/>
                <w:bCs/>
                <w:color w:val="auto"/>
                <w:highlight w:val="none"/>
                <w:u w:val="none" w:color="auto"/>
                <w:lang w:val="en-US" w:eastAsia="zh-CN"/>
              </w:rPr>
              <w:t>噪声排放标准限值表</w:t>
            </w:r>
          </w:p>
          <w:tbl>
            <w:tblPr>
              <w:tblStyle w:val="4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66"/>
              <w:gridCol w:w="1016"/>
              <w:gridCol w:w="4167"/>
            </w:tblGrid>
            <w:tr w14:paraId="056C00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698" w:type="pct"/>
                  <w:tcBorders>
                    <w:tl2br w:val="nil"/>
                    <w:tr2bl w:val="nil"/>
                  </w:tcBorders>
                  <w:noWrap w:val="0"/>
                  <w:vAlign w:val="center"/>
                </w:tcPr>
                <w:p w14:paraId="04AD6274">
                  <w:pPr>
                    <w:pStyle w:val="30"/>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限值</w:t>
                  </w:r>
                </w:p>
              </w:tc>
              <w:tc>
                <w:tcPr>
                  <w:tcW w:w="647" w:type="pct"/>
                  <w:vMerge w:val="restart"/>
                  <w:tcBorders>
                    <w:tl2br w:val="nil"/>
                    <w:tr2bl w:val="nil"/>
                  </w:tcBorders>
                  <w:noWrap w:val="0"/>
                  <w:vAlign w:val="center"/>
                </w:tcPr>
                <w:p w14:paraId="49FD0B8D">
                  <w:pPr>
                    <w:pStyle w:val="30"/>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单位</w:t>
                  </w:r>
                </w:p>
              </w:tc>
              <w:tc>
                <w:tcPr>
                  <w:tcW w:w="2654" w:type="pct"/>
                  <w:vMerge w:val="restart"/>
                  <w:tcBorders>
                    <w:tl2br w:val="nil"/>
                    <w:tr2bl w:val="nil"/>
                  </w:tcBorders>
                  <w:noWrap w:val="0"/>
                  <w:vAlign w:val="center"/>
                </w:tcPr>
                <w:p w14:paraId="514DECE0">
                  <w:pPr>
                    <w:pStyle w:val="30"/>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标准</w:t>
                  </w:r>
                </w:p>
              </w:tc>
            </w:tr>
            <w:tr w14:paraId="38EA12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98" w:type="pct"/>
                  <w:tcBorders>
                    <w:tl2br w:val="nil"/>
                    <w:tr2bl w:val="nil"/>
                  </w:tcBorders>
                  <w:noWrap w:val="0"/>
                  <w:vAlign w:val="center"/>
                </w:tcPr>
                <w:p w14:paraId="04DFE592">
                  <w:pPr>
                    <w:pStyle w:val="30"/>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昼间</w:t>
                  </w:r>
                </w:p>
              </w:tc>
              <w:tc>
                <w:tcPr>
                  <w:tcW w:w="647" w:type="pct"/>
                  <w:vMerge w:val="continue"/>
                  <w:tcBorders>
                    <w:tl2br w:val="nil"/>
                    <w:tr2bl w:val="nil"/>
                  </w:tcBorders>
                  <w:noWrap w:val="0"/>
                  <w:vAlign w:val="center"/>
                </w:tcPr>
                <w:p w14:paraId="47987E26">
                  <w:pPr>
                    <w:pStyle w:val="30"/>
                    <w:autoSpaceDE w:val="0"/>
                    <w:autoSpaceDN w:val="0"/>
                    <w:bidi w:val="0"/>
                    <w:jc w:val="center"/>
                    <w:rPr>
                      <w:rFonts w:hint="default" w:ascii="Times New Roman" w:hAnsi="Times New Roman" w:cs="Times New Roman"/>
                      <w:color w:val="auto"/>
                      <w:highlight w:val="none"/>
                      <w:u w:val="none" w:color="auto"/>
                    </w:rPr>
                  </w:pPr>
                </w:p>
              </w:tc>
              <w:tc>
                <w:tcPr>
                  <w:tcW w:w="2654" w:type="pct"/>
                  <w:vMerge w:val="continue"/>
                  <w:tcBorders>
                    <w:tl2br w:val="nil"/>
                    <w:tr2bl w:val="nil"/>
                  </w:tcBorders>
                  <w:noWrap w:val="0"/>
                  <w:vAlign w:val="center"/>
                </w:tcPr>
                <w:p w14:paraId="021BC096">
                  <w:pPr>
                    <w:pStyle w:val="30"/>
                    <w:autoSpaceDE w:val="0"/>
                    <w:autoSpaceDN w:val="0"/>
                    <w:bidi w:val="0"/>
                    <w:jc w:val="center"/>
                    <w:rPr>
                      <w:rFonts w:hint="default" w:ascii="Times New Roman" w:hAnsi="Times New Roman" w:cs="Times New Roman"/>
                      <w:color w:val="auto"/>
                      <w:highlight w:val="none"/>
                      <w:u w:val="none" w:color="auto"/>
                    </w:rPr>
                  </w:pPr>
                </w:p>
              </w:tc>
            </w:tr>
            <w:tr w14:paraId="5D08E9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98" w:type="pct"/>
                  <w:tcBorders>
                    <w:tl2br w:val="nil"/>
                    <w:tr2bl w:val="nil"/>
                  </w:tcBorders>
                  <w:noWrap w:val="0"/>
                  <w:vAlign w:val="center"/>
                </w:tcPr>
                <w:p w14:paraId="4329AD55">
                  <w:pPr>
                    <w:pStyle w:val="30"/>
                    <w:autoSpaceDE w:val="0"/>
                    <w:autoSpaceDN w:val="0"/>
                    <w:bidi w:val="0"/>
                    <w:jc w:val="center"/>
                    <w:rPr>
                      <w:rFonts w:hint="eastAsia"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6</w:t>
                  </w:r>
                  <w:r>
                    <w:rPr>
                      <w:rFonts w:hint="eastAsia" w:cs="Times New Roman"/>
                      <w:color w:val="auto"/>
                      <w:highlight w:val="none"/>
                      <w:u w:val="none" w:color="auto"/>
                      <w:lang w:val="en-US" w:eastAsia="zh-CN"/>
                    </w:rPr>
                    <w:t>0</w:t>
                  </w:r>
                </w:p>
              </w:tc>
              <w:tc>
                <w:tcPr>
                  <w:tcW w:w="647" w:type="pct"/>
                  <w:tcBorders>
                    <w:tl2br w:val="nil"/>
                    <w:tr2bl w:val="nil"/>
                  </w:tcBorders>
                  <w:noWrap w:val="0"/>
                  <w:vAlign w:val="center"/>
                </w:tcPr>
                <w:p w14:paraId="555807CD">
                  <w:pPr>
                    <w:pStyle w:val="30"/>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dB（A）</w:t>
                  </w:r>
                </w:p>
              </w:tc>
              <w:tc>
                <w:tcPr>
                  <w:tcW w:w="2654" w:type="pct"/>
                  <w:tcBorders>
                    <w:tl2br w:val="nil"/>
                    <w:tr2bl w:val="nil"/>
                  </w:tcBorders>
                  <w:noWrap w:val="0"/>
                  <w:vAlign w:val="center"/>
                </w:tcPr>
                <w:p w14:paraId="2AFB2527">
                  <w:pPr>
                    <w:pStyle w:val="30"/>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《工业企业厂界环境噪声排放标准》（GB12348-2008）</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类标准</w:t>
                  </w:r>
                </w:p>
              </w:tc>
            </w:tr>
          </w:tbl>
          <w:p w14:paraId="560A31F8">
            <w:pPr>
              <w:pStyle w:val="25"/>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rPr>
              <w:t>、</w:t>
            </w:r>
            <w:r>
              <w:rPr>
                <w:rFonts w:hint="default" w:ascii="Times New Roman" w:hAnsi="Times New Roman" w:cs="Times New Roman"/>
                <w:b/>
                <w:bCs/>
                <w:color w:val="auto"/>
                <w:highlight w:val="none"/>
                <w:u w:val="none" w:color="auto"/>
                <w:lang w:val="en-US" w:eastAsia="zh-CN"/>
              </w:rPr>
              <w:t>固废</w:t>
            </w:r>
            <w:r>
              <w:rPr>
                <w:rFonts w:hint="default" w:ascii="Times New Roman" w:hAnsi="Times New Roman" w:cs="Times New Roman"/>
                <w:b/>
                <w:bCs/>
                <w:color w:val="auto"/>
                <w:highlight w:val="none"/>
                <w:u w:val="none" w:color="auto"/>
              </w:rPr>
              <w:t>排放标准</w:t>
            </w:r>
          </w:p>
          <w:p w14:paraId="102EAF97">
            <w:pPr>
              <w:pStyle w:val="25"/>
              <w:keepNext w:val="0"/>
              <w:keepLines w:val="0"/>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kern w:val="0"/>
                <w:szCs w:val="21"/>
                <w:highlight w:val="none"/>
                <w:u w:val="none" w:color="auto"/>
                <w:lang w:val="en-US" w:eastAsia="zh-CN"/>
              </w:rPr>
            </w:pPr>
            <w:r>
              <w:rPr>
                <w:rFonts w:hint="eastAsia" w:cs="Times New Roman"/>
                <w:color w:val="auto"/>
                <w:kern w:val="0"/>
                <w:szCs w:val="21"/>
                <w:highlight w:val="none"/>
                <w:u w:val="none" w:color="auto"/>
                <w:lang w:val="en-US" w:eastAsia="zh-CN"/>
              </w:rPr>
              <w:t>项目</w:t>
            </w:r>
            <w:r>
              <w:rPr>
                <w:rFonts w:hint="default" w:ascii="Times New Roman" w:hAnsi="Times New Roman" w:cs="Times New Roman"/>
                <w:color w:val="auto"/>
                <w:highlight w:val="none"/>
                <w:u w:val="none" w:color="auto"/>
              </w:rPr>
              <w:t>一般固体废物贮存执行《一般工业固体废物贮存和填埋污染控制标准》（GB18599-2020）中有关要求；危险废物贮存执行《危险废物贮存污染控制标准》（GB18597-2023）中有关要求</w:t>
            </w:r>
            <w:r>
              <w:rPr>
                <w:rFonts w:hint="eastAsia" w:cs="Times New Roman"/>
                <w:color w:val="auto"/>
                <w:kern w:val="0"/>
                <w:szCs w:val="21"/>
                <w:highlight w:val="none"/>
                <w:u w:val="none" w:color="auto"/>
                <w:lang w:val="en-US" w:eastAsia="zh-CN"/>
              </w:rPr>
              <w:t>。</w:t>
            </w:r>
          </w:p>
        </w:tc>
      </w:tr>
      <w:tr w14:paraId="1162D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Borders>
              <w:tl2br w:val="nil"/>
              <w:tr2bl w:val="nil"/>
            </w:tcBorders>
            <w:noWrap w:val="0"/>
            <w:tcMar>
              <w:left w:w="28" w:type="dxa"/>
              <w:right w:w="28" w:type="dxa"/>
            </w:tcMar>
            <w:vAlign w:val="center"/>
          </w:tcPr>
          <w:p w14:paraId="3A9423A0">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总量</w:t>
            </w:r>
          </w:p>
          <w:p w14:paraId="05515AFB">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控制</w:t>
            </w:r>
          </w:p>
          <w:p w14:paraId="7C0E2663">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指标</w:t>
            </w:r>
          </w:p>
        </w:tc>
        <w:tc>
          <w:tcPr>
            <w:tcW w:w="4751" w:type="pct"/>
            <w:tcBorders>
              <w:tl2br w:val="nil"/>
              <w:tr2bl w:val="nil"/>
            </w:tcBorders>
            <w:noWrap w:val="0"/>
            <w:vAlign w:val="center"/>
          </w:tcPr>
          <w:p w14:paraId="146041B4">
            <w:pPr>
              <w:widowControl w:val="0"/>
              <w:wordWrap w:val="0"/>
              <w:topLinePunct/>
              <w:spacing w:line="360" w:lineRule="auto"/>
              <w:ind w:firstLine="480" w:firstLineChars="200"/>
              <w:jc w:val="both"/>
              <w:rPr>
                <w:rFonts w:ascii="Times New Roman" w:hAnsi="Times New Roman" w:eastAsia="宋体" w:cs="Times New Roman"/>
                <w:kern w:val="0"/>
                <w:sz w:val="24"/>
                <w:szCs w:val="24"/>
                <w:highlight w:val="none"/>
                <w:u w:val="none" w:color="auto"/>
                <w:lang w:val="en-US" w:eastAsia="zh-CN" w:bidi="ar-SA"/>
              </w:rPr>
            </w:pPr>
            <w:r>
              <w:rPr>
                <w:rFonts w:hint="eastAsia" w:ascii="Times New Roman" w:hAnsi="Times New Roman" w:eastAsia="宋体" w:cs="Times New Roman"/>
                <w:kern w:val="0"/>
                <w:sz w:val="24"/>
                <w:szCs w:val="24"/>
                <w:highlight w:val="none"/>
                <w:u w:val="none" w:color="auto"/>
                <w:lang w:val="en-US" w:eastAsia="zh-CN" w:bidi="ar-SA"/>
              </w:rPr>
              <w:t>本项目为新建</w:t>
            </w:r>
            <w:r>
              <w:rPr>
                <w:rFonts w:hint="eastAsia" w:cs="Times New Roman"/>
                <w:kern w:val="0"/>
                <w:sz w:val="24"/>
                <w:szCs w:val="24"/>
                <w:highlight w:val="none"/>
                <w:u w:val="none" w:color="auto"/>
                <w:lang w:val="en-US" w:eastAsia="zh-CN" w:bidi="ar-SA"/>
              </w:rPr>
              <w:t>（补办）</w:t>
            </w:r>
            <w:r>
              <w:rPr>
                <w:rFonts w:hint="eastAsia" w:ascii="Times New Roman" w:hAnsi="Times New Roman" w:eastAsia="宋体" w:cs="Times New Roman"/>
                <w:kern w:val="0"/>
                <w:sz w:val="24"/>
                <w:szCs w:val="24"/>
                <w:highlight w:val="none"/>
                <w:u w:val="none" w:color="auto"/>
                <w:lang w:val="en-US" w:eastAsia="zh-CN" w:bidi="ar-SA"/>
              </w:rPr>
              <w:t>项目，建设单位应根据本项目废气、废水和固体废物等污染物的排放量，根据国家相关技术规范要求以及本项目污染物排放特点，确定各项污染物排放总量控制指标。</w:t>
            </w:r>
          </w:p>
          <w:p w14:paraId="7DF1B9FC">
            <w:pPr>
              <w:widowControl w:val="0"/>
              <w:wordWrap w:val="0"/>
              <w:topLinePunct/>
              <w:spacing w:line="360" w:lineRule="auto"/>
              <w:ind w:firstLine="480" w:firstLineChars="200"/>
              <w:jc w:val="both"/>
              <w:rPr>
                <w:rFonts w:ascii="Times New Roman" w:hAnsi="Times New Roman" w:eastAsia="宋体" w:cs="Times New Roman"/>
                <w:kern w:val="0"/>
                <w:sz w:val="24"/>
                <w:szCs w:val="24"/>
                <w:highlight w:val="none"/>
                <w:u w:val="none" w:color="auto"/>
                <w:lang w:val="en-US" w:eastAsia="zh-CN" w:bidi="ar-SA"/>
              </w:rPr>
            </w:pPr>
            <w:r>
              <w:rPr>
                <w:rFonts w:hint="eastAsia" w:ascii="Times New Roman" w:hAnsi="Times New Roman" w:eastAsia="宋体" w:cs="Times New Roman"/>
                <w:kern w:val="0"/>
                <w:sz w:val="24"/>
                <w:szCs w:val="24"/>
                <w:highlight w:val="none"/>
                <w:u w:val="none" w:color="auto"/>
                <w:lang w:val="en-US" w:eastAsia="zh-CN" w:bidi="ar-SA"/>
              </w:rPr>
              <w:t>根据《关于印发（生态环境部门进一步促进民营经济发展的若干措施）的通知》（环综合〔2024〕62号），对氮氧化物、化学需氧量、挥发性有机污染物的单项新增年排放量小于0.1吨，氨氮小于0.01吨的建设项目，免予提交总量指标来源量控明，由地方生态环境部门统筹总量指标替代来源，并纳入台账管理。</w:t>
            </w:r>
          </w:p>
          <w:p w14:paraId="2F37D0F2">
            <w:pPr>
              <w:widowControl w:val="0"/>
              <w:wordWrap w:val="0"/>
              <w:topLinePunct/>
              <w:spacing w:line="360" w:lineRule="auto"/>
              <w:ind w:firstLine="482" w:firstLineChars="200"/>
              <w:jc w:val="both"/>
              <w:rPr>
                <w:rFonts w:ascii="Times New Roman" w:hAnsi="Times New Roman" w:eastAsia="宋体" w:cs="Times New Roman"/>
                <w:b/>
                <w:bCs/>
                <w:kern w:val="0"/>
                <w:sz w:val="24"/>
                <w:szCs w:val="24"/>
                <w:highlight w:val="none"/>
                <w:u w:val="none" w:color="auto"/>
                <w:lang w:val="en-US" w:eastAsia="zh-CN" w:bidi="ar-SA"/>
              </w:rPr>
            </w:pPr>
            <w:r>
              <w:rPr>
                <w:rFonts w:hint="eastAsia" w:ascii="Times New Roman" w:hAnsi="Times New Roman" w:eastAsia="宋体" w:cs="Times New Roman"/>
                <w:b/>
                <w:bCs/>
                <w:kern w:val="0"/>
                <w:sz w:val="24"/>
                <w:szCs w:val="24"/>
                <w:highlight w:val="none"/>
                <w:u w:val="none" w:color="auto"/>
                <w:lang w:val="en-US" w:eastAsia="zh-CN" w:bidi="ar-SA"/>
              </w:rPr>
              <w:t>1.</w:t>
            </w:r>
            <w:r>
              <w:rPr>
                <w:rFonts w:ascii="Times New Roman" w:hAnsi="Times New Roman" w:eastAsia="宋体" w:cs="Times New Roman"/>
                <w:b/>
                <w:bCs/>
                <w:kern w:val="0"/>
                <w:sz w:val="24"/>
                <w:szCs w:val="24"/>
                <w:highlight w:val="none"/>
                <w:u w:val="none" w:color="auto"/>
                <w:lang w:val="en-US" w:eastAsia="zh-CN" w:bidi="ar-SA"/>
              </w:rPr>
              <w:t>水污染物排放总量控制指标</w:t>
            </w:r>
          </w:p>
          <w:p w14:paraId="760232D2">
            <w:pPr>
              <w:pStyle w:val="25"/>
              <w:bidi w:val="0"/>
              <w:rPr>
                <w:rFonts w:hint="eastAsia"/>
                <w:highlight w:val="none"/>
                <w:u w:val="none" w:color="auto"/>
                <w:lang w:eastAsia="zh-CN"/>
              </w:rPr>
            </w:pPr>
            <w:r>
              <w:rPr>
                <w:rFonts w:hint="default"/>
                <w:highlight w:val="none"/>
                <w:u w:val="none" w:color="auto"/>
                <w:lang w:val="en-US" w:eastAsia="zh-CN"/>
              </w:rPr>
              <w:t>本项目生活污水经</w:t>
            </w:r>
            <w:r>
              <w:rPr>
                <w:rFonts w:hint="eastAsia"/>
                <w:highlight w:val="none"/>
                <w:u w:val="none" w:color="auto"/>
                <w:lang w:val="en-US" w:eastAsia="zh-CN"/>
              </w:rPr>
              <w:t>三级化粪池</w:t>
            </w:r>
            <w:r>
              <w:rPr>
                <w:rFonts w:hint="default"/>
                <w:highlight w:val="none"/>
                <w:u w:val="none" w:color="auto"/>
                <w:lang w:val="en-US" w:eastAsia="zh-CN"/>
              </w:rPr>
              <w:t>处理后用作农肥</w:t>
            </w:r>
            <w:r>
              <w:rPr>
                <w:rFonts w:hint="eastAsia"/>
                <w:highlight w:val="none"/>
                <w:u w:val="none" w:color="auto"/>
                <w:lang w:val="en-US" w:eastAsia="zh-CN"/>
              </w:rPr>
              <w:t>，水膜除尘用水循环使用，</w:t>
            </w:r>
            <w:r>
              <w:rPr>
                <w:rFonts w:hint="default"/>
                <w:highlight w:val="none"/>
                <w:u w:val="none" w:color="auto"/>
                <w:lang w:val="en-US" w:eastAsia="zh-CN"/>
              </w:rPr>
              <w:t>不外排</w:t>
            </w:r>
            <w:r>
              <w:rPr>
                <w:rFonts w:hint="eastAsia"/>
                <w:highlight w:val="none"/>
                <w:u w:val="none" w:color="auto"/>
                <w:lang w:val="en-US" w:eastAsia="zh-CN"/>
              </w:rPr>
              <w:t>，不涉及总量控制指标</w:t>
            </w:r>
            <w:r>
              <w:rPr>
                <w:rFonts w:hint="eastAsia"/>
                <w:highlight w:val="none"/>
                <w:u w:val="none" w:color="auto"/>
                <w:lang w:eastAsia="zh-CN"/>
              </w:rPr>
              <w:t>。</w:t>
            </w:r>
          </w:p>
          <w:p w14:paraId="0656ABFE">
            <w:pPr>
              <w:pStyle w:val="25"/>
              <w:ind w:firstLine="480"/>
              <w:rPr>
                <w:rFonts w:hint="eastAsia" w:eastAsia="宋体"/>
                <w:b/>
                <w:bCs/>
                <w:highlight w:val="none"/>
                <w:u w:val="none" w:color="auto"/>
                <w:lang w:val="en-US" w:eastAsia="zh-CN"/>
              </w:rPr>
            </w:pPr>
            <w:r>
              <w:rPr>
                <w:rFonts w:hint="eastAsia"/>
                <w:b/>
                <w:bCs/>
                <w:highlight w:val="none"/>
                <w:u w:val="none" w:color="auto"/>
              </w:rPr>
              <w:t>2.</w:t>
            </w:r>
            <w:r>
              <w:rPr>
                <w:rFonts w:hint="eastAsia"/>
                <w:b/>
                <w:bCs/>
                <w:highlight w:val="none"/>
                <w:u w:val="none" w:color="auto"/>
                <w:lang w:val="en-US" w:eastAsia="zh-CN"/>
              </w:rPr>
              <w:t>大气污染物排放</w:t>
            </w:r>
            <w:r>
              <w:rPr>
                <w:rFonts w:ascii="Times New Roman" w:hAnsi="Times New Roman" w:eastAsia="宋体" w:cs="Times New Roman"/>
                <w:b/>
                <w:bCs/>
                <w:kern w:val="0"/>
                <w:sz w:val="24"/>
                <w:szCs w:val="24"/>
                <w:highlight w:val="none"/>
                <w:u w:val="none" w:color="auto"/>
                <w:lang w:val="en-US" w:eastAsia="zh-CN" w:bidi="ar-SA"/>
              </w:rPr>
              <w:t>总量控制指标</w:t>
            </w:r>
          </w:p>
          <w:p w14:paraId="3F5DA494">
            <w:pPr>
              <w:pStyle w:val="25"/>
              <w:bidi w:val="0"/>
              <w:rPr>
                <w:highlight w:val="none"/>
                <w:u w:val="none" w:color="auto"/>
              </w:rPr>
            </w:pPr>
            <w:r>
              <w:rPr>
                <w:highlight w:val="none"/>
                <w:u w:val="none" w:color="auto"/>
              </w:rPr>
              <w:t>本项目生产过程中大气污染因子中涉及总量控制指标为二氧</w:t>
            </w:r>
            <w:r>
              <w:rPr>
                <w:rFonts w:hint="eastAsia"/>
                <w:highlight w:val="none"/>
                <w:u w:val="none" w:color="auto"/>
              </w:rPr>
              <w:t>化硫</w:t>
            </w:r>
            <w:r>
              <w:rPr>
                <w:highlight w:val="none"/>
                <w:u w:val="none" w:color="auto"/>
              </w:rPr>
              <w:t>、氮氧</w:t>
            </w:r>
            <w:r>
              <w:rPr>
                <w:rFonts w:hint="eastAsia"/>
                <w:highlight w:val="none"/>
                <w:u w:val="none" w:color="auto"/>
              </w:rPr>
              <w:t>化物，本项目二氧化硫、氮氧化物的排放量分别</w:t>
            </w:r>
            <w:r>
              <w:rPr>
                <w:rFonts w:hint="default"/>
                <w:highlight w:val="none"/>
                <w:u w:val="none" w:color="auto"/>
              </w:rPr>
              <w:t>为</w:t>
            </w:r>
            <w:r>
              <w:rPr>
                <w:rFonts w:hint="eastAsia" w:ascii="Times New Roman" w:hAnsi="Times New Roman" w:eastAsia="宋体" w:cs="Times New Roman"/>
                <w:color w:val="auto"/>
                <w:sz w:val="24"/>
                <w:szCs w:val="24"/>
                <w:highlight w:val="none"/>
                <w:u w:val="none" w:color="auto"/>
                <w:lang w:val="en-US" w:eastAsia="zh-CN"/>
              </w:rPr>
              <w:t>0.03484</w:t>
            </w:r>
            <w:r>
              <w:rPr>
                <w:rFonts w:hint="default"/>
                <w:highlight w:val="none"/>
                <w:u w:val="none" w:color="auto"/>
              </w:rPr>
              <w:t>t/a、</w:t>
            </w:r>
            <w:r>
              <w:rPr>
                <w:rFonts w:hint="eastAsia" w:ascii="Times New Roman" w:hAnsi="Times New Roman" w:eastAsia="宋体" w:cs="Times New Roman"/>
                <w:color w:val="auto"/>
                <w:sz w:val="24"/>
                <w:szCs w:val="24"/>
                <w:highlight w:val="none"/>
                <w:u w:val="none" w:color="auto"/>
                <w:lang w:val="en-US" w:eastAsia="zh-CN"/>
              </w:rPr>
              <w:t>0.32594</w:t>
            </w:r>
            <w:r>
              <w:rPr>
                <w:rFonts w:hint="default"/>
                <w:highlight w:val="none"/>
                <w:u w:val="none" w:color="auto"/>
              </w:rPr>
              <w:t>t/</w:t>
            </w:r>
            <w:r>
              <w:rPr>
                <w:rFonts w:hint="eastAsia"/>
                <w:highlight w:val="none"/>
                <w:u w:val="none" w:color="auto"/>
              </w:rPr>
              <w:t>a</w:t>
            </w:r>
            <w:r>
              <w:rPr>
                <w:rFonts w:hint="default"/>
                <w:highlight w:val="none"/>
                <w:u w:val="none" w:color="auto"/>
              </w:rPr>
              <w:t>＞0.1t/a</w:t>
            </w:r>
            <w:r>
              <w:rPr>
                <w:rFonts w:hint="eastAsia"/>
                <w:highlight w:val="none"/>
                <w:u w:val="none" w:color="auto"/>
              </w:rPr>
              <w:t>，本项目排放量见下表。</w:t>
            </w:r>
          </w:p>
          <w:p w14:paraId="067F9B62">
            <w:pPr>
              <w:pStyle w:val="30"/>
              <w:jc w:val="center"/>
              <w:rPr>
                <w:b/>
                <w:bCs/>
                <w:kern w:val="2"/>
                <w:szCs w:val="24"/>
                <w:highlight w:val="none"/>
                <w:u w:val="none" w:color="auto"/>
                <w:lang w:bidi="en-US"/>
              </w:rPr>
            </w:pPr>
            <w:r>
              <w:rPr>
                <w:b/>
                <w:bCs/>
                <w:highlight w:val="none"/>
                <w:u w:val="none" w:color="auto"/>
              </w:rPr>
              <w:t>表3-</w:t>
            </w:r>
            <w:r>
              <w:rPr>
                <w:rFonts w:hint="eastAsia"/>
                <w:b/>
                <w:bCs/>
                <w:highlight w:val="none"/>
                <w:u w:val="none" w:color="auto"/>
              </w:rPr>
              <w:t>1</w:t>
            </w:r>
            <w:r>
              <w:rPr>
                <w:rFonts w:hint="eastAsia"/>
                <w:b/>
                <w:bCs/>
                <w:highlight w:val="none"/>
                <w:u w:val="none" w:color="auto"/>
                <w:lang w:val="en-US" w:eastAsia="zh-CN"/>
              </w:rPr>
              <w:t xml:space="preserve">1   </w:t>
            </w:r>
            <w:r>
              <w:rPr>
                <w:rFonts w:hint="eastAsia"/>
                <w:b/>
                <w:bCs/>
                <w:highlight w:val="none"/>
                <w:u w:val="none" w:color="auto"/>
              </w:rPr>
              <w:t>项目大气污染物总量控制指标一览表（单位：t/a）</w:t>
            </w:r>
          </w:p>
          <w:tbl>
            <w:tblPr>
              <w:tblStyle w:val="45"/>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6"/>
              <w:gridCol w:w="4176"/>
              <w:gridCol w:w="2118"/>
            </w:tblGrid>
            <w:tr w14:paraId="7B1B2F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1" w:type="pct"/>
                  <w:tcBorders>
                    <w:tl2br w:val="nil"/>
                    <w:tr2bl w:val="nil"/>
                  </w:tcBorders>
                  <w:vAlign w:val="center"/>
                </w:tcPr>
                <w:p w14:paraId="6878BB5E">
                  <w:pPr>
                    <w:pStyle w:val="30"/>
                    <w:autoSpaceDE w:val="0"/>
                    <w:autoSpaceDN w:val="0"/>
                    <w:jc w:val="center"/>
                    <w:rPr>
                      <w:b/>
                      <w:bCs/>
                      <w:szCs w:val="21"/>
                      <w:highlight w:val="none"/>
                      <w:u w:val="none" w:color="auto"/>
                    </w:rPr>
                  </w:pPr>
                  <w:r>
                    <w:rPr>
                      <w:rFonts w:hint="eastAsia"/>
                      <w:b/>
                      <w:bCs/>
                      <w:szCs w:val="21"/>
                      <w:highlight w:val="none"/>
                      <w:u w:val="none" w:color="auto"/>
                    </w:rPr>
                    <w:t>总量因子</w:t>
                  </w:r>
                </w:p>
              </w:tc>
              <w:tc>
                <w:tcPr>
                  <w:tcW w:w="2659" w:type="pct"/>
                  <w:tcBorders>
                    <w:tl2br w:val="nil"/>
                    <w:tr2bl w:val="nil"/>
                  </w:tcBorders>
                  <w:vAlign w:val="center"/>
                </w:tcPr>
                <w:p w14:paraId="7AB8EAE6">
                  <w:pPr>
                    <w:pStyle w:val="30"/>
                    <w:autoSpaceDE w:val="0"/>
                    <w:autoSpaceDN w:val="0"/>
                    <w:jc w:val="center"/>
                    <w:rPr>
                      <w:b/>
                      <w:bCs/>
                      <w:szCs w:val="21"/>
                      <w:highlight w:val="none"/>
                      <w:u w:val="none" w:color="auto"/>
                    </w:rPr>
                  </w:pPr>
                  <w:r>
                    <w:rPr>
                      <w:rFonts w:hint="eastAsia"/>
                      <w:b/>
                      <w:bCs/>
                      <w:szCs w:val="21"/>
                      <w:highlight w:val="none"/>
                      <w:u w:val="none" w:color="auto"/>
                    </w:rPr>
                    <w:t>本项目排放量</w:t>
                  </w:r>
                </w:p>
              </w:tc>
              <w:tc>
                <w:tcPr>
                  <w:tcW w:w="1349" w:type="pct"/>
                  <w:tcBorders>
                    <w:tl2br w:val="nil"/>
                    <w:tr2bl w:val="nil"/>
                  </w:tcBorders>
                  <w:vAlign w:val="center"/>
                </w:tcPr>
                <w:p w14:paraId="23186D05">
                  <w:pPr>
                    <w:pStyle w:val="30"/>
                    <w:autoSpaceDE w:val="0"/>
                    <w:autoSpaceDN w:val="0"/>
                    <w:jc w:val="center"/>
                    <w:rPr>
                      <w:b/>
                      <w:bCs/>
                      <w:szCs w:val="21"/>
                      <w:highlight w:val="none"/>
                      <w:u w:val="none" w:color="auto"/>
                    </w:rPr>
                  </w:pPr>
                  <w:r>
                    <w:rPr>
                      <w:rFonts w:hint="eastAsia"/>
                      <w:b/>
                      <w:bCs/>
                      <w:szCs w:val="21"/>
                      <w:highlight w:val="none"/>
                      <w:u w:val="none" w:color="auto"/>
                    </w:rPr>
                    <w:t>建议购买量</w:t>
                  </w:r>
                </w:p>
              </w:tc>
            </w:tr>
            <w:tr w14:paraId="4B038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1" w:type="pct"/>
                  <w:tcBorders>
                    <w:tl2br w:val="nil"/>
                    <w:tr2bl w:val="nil"/>
                  </w:tcBorders>
                  <w:vAlign w:val="center"/>
                </w:tcPr>
                <w:p w14:paraId="5CEEEEA7">
                  <w:pPr>
                    <w:pStyle w:val="41"/>
                    <w:widowControl w:val="0"/>
                    <w:ind w:firstLine="0" w:firstLineChars="0"/>
                    <w:jc w:val="center"/>
                    <w:rPr>
                      <w:rFonts w:ascii="Times New Roman" w:hAnsi="Calibri"/>
                      <w:szCs w:val="21"/>
                      <w:highlight w:val="none"/>
                      <w:u w:val="none" w:color="auto"/>
                    </w:rPr>
                  </w:pPr>
                  <w:r>
                    <w:rPr>
                      <w:rFonts w:ascii="Times New Roman" w:hAnsi="Calibri"/>
                      <w:kern w:val="2"/>
                      <w:szCs w:val="21"/>
                      <w:highlight w:val="none"/>
                      <w:u w:val="none" w:color="auto"/>
                    </w:rPr>
                    <w:t>SO</w:t>
                  </w:r>
                  <w:r>
                    <w:rPr>
                      <w:rFonts w:ascii="Times New Roman" w:hAnsi="Calibri"/>
                      <w:kern w:val="2"/>
                      <w:szCs w:val="21"/>
                      <w:highlight w:val="none"/>
                      <w:u w:val="none" w:color="auto"/>
                      <w:vertAlign w:val="subscript"/>
                    </w:rPr>
                    <w:t>2</w:t>
                  </w:r>
                </w:p>
              </w:tc>
              <w:tc>
                <w:tcPr>
                  <w:tcW w:w="2659" w:type="pct"/>
                  <w:tcBorders>
                    <w:tl2br w:val="nil"/>
                    <w:tr2bl w:val="nil"/>
                  </w:tcBorders>
                  <w:vAlign w:val="center"/>
                </w:tcPr>
                <w:p w14:paraId="554653CF">
                  <w:pPr>
                    <w:pStyle w:val="41"/>
                    <w:widowControl w:val="0"/>
                    <w:ind w:firstLine="0" w:firstLineChars="0"/>
                    <w:jc w:val="center"/>
                    <w:rPr>
                      <w:rFonts w:ascii="Times New Roman" w:hAnsi="Calibri"/>
                      <w:kern w:val="2"/>
                      <w:szCs w:val="21"/>
                      <w:highlight w:val="none"/>
                      <w:u w:val="none" w:color="auto"/>
                    </w:rPr>
                  </w:pPr>
                  <w:r>
                    <w:rPr>
                      <w:rFonts w:hint="eastAsia" w:ascii="Times New Roman" w:hAnsi="Calibri"/>
                      <w:kern w:val="2"/>
                      <w:szCs w:val="21"/>
                      <w:highlight w:val="none"/>
                      <w:u w:val="none" w:color="auto"/>
                      <w:lang w:val="en-US" w:eastAsia="zh-CN"/>
                    </w:rPr>
                    <w:t>0.03484</w:t>
                  </w:r>
                </w:p>
              </w:tc>
              <w:tc>
                <w:tcPr>
                  <w:tcW w:w="1349" w:type="pct"/>
                  <w:tcBorders>
                    <w:tl2br w:val="nil"/>
                    <w:tr2bl w:val="nil"/>
                  </w:tcBorders>
                  <w:vAlign w:val="center"/>
                </w:tcPr>
                <w:p w14:paraId="060A0F8F">
                  <w:pPr>
                    <w:pStyle w:val="41"/>
                    <w:widowControl w:val="0"/>
                    <w:ind w:firstLine="0" w:firstLineChars="0"/>
                    <w:jc w:val="center"/>
                    <w:rPr>
                      <w:rFonts w:hint="default" w:ascii="Times New Roman" w:hAnsi="Calibri"/>
                      <w:kern w:val="2"/>
                      <w:szCs w:val="21"/>
                      <w:highlight w:val="none"/>
                      <w:u w:val="none" w:color="auto"/>
                      <w:lang w:val="en-US"/>
                    </w:rPr>
                  </w:pPr>
                  <w:r>
                    <w:rPr>
                      <w:rFonts w:hint="eastAsia" w:ascii="Times New Roman" w:hAnsi="Calibri"/>
                      <w:kern w:val="2"/>
                      <w:szCs w:val="21"/>
                      <w:highlight w:val="none"/>
                      <w:u w:val="none" w:color="auto"/>
                      <w:lang w:val="en-US" w:eastAsia="zh-CN"/>
                    </w:rPr>
                    <w:t>0.03</w:t>
                  </w:r>
                </w:p>
              </w:tc>
            </w:tr>
            <w:tr w14:paraId="609A1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1" w:type="pct"/>
                  <w:tcBorders>
                    <w:tl2br w:val="nil"/>
                    <w:tr2bl w:val="nil"/>
                  </w:tcBorders>
                  <w:vAlign w:val="center"/>
                </w:tcPr>
                <w:p w14:paraId="628D34D6">
                  <w:pPr>
                    <w:pStyle w:val="41"/>
                    <w:widowControl w:val="0"/>
                    <w:ind w:firstLine="0" w:firstLineChars="0"/>
                    <w:jc w:val="center"/>
                    <w:rPr>
                      <w:rFonts w:ascii="Times New Roman" w:hAnsi="Calibri"/>
                      <w:szCs w:val="21"/>
                      <w:highlight w:val="none"/>
                      <w:u w:val="none" w:color="auto"/>
                    </w:rPr>
                  </w:pPr>
                  <w:r>
                    <w:rPr>
                      <w:rFonts w:ascii="Times New Roman" w:hAnsi="Calibri"/>
                      <w:kern w:val="2"/>
                      <w:szCs w:val="21"/>
                      <w:highlight w:val="none"/>
                      <w:u w:val="none" w:color="auto"/>
                    </w:rPr>
                    <w:t>NO</w:t>
                  </w:r>
                  <w:r>
                    <w:rPr>
                      <w:rFonts w:ascii="Times New Roman" w:hAnsi="Calibri"/>
                      <w:kern w:val="2"/>
                      <w:szCs w:val="21"/>
                      <w:highlight w:val="none"/>
                      <w:u w:val="none" w:color="auto"/>
                      <w:vertAlign w:val="subscript"/>
                    </w:rPr>
                    <w:t>X</w:t>
                  </w:r>
                </w:p>
              </w:tc>
              <w:tc>
                <w:tcPr>
                  <w:tcW w:w="2659" w:type="pct"/>
                  <w:tcBorders>
                    <w:tl2br w:val="nil"/>
                    <w:tr2bl w:val="nil"/>
                  </w:tcBorders>
                  <w:vAlign w:val="center"/>
                </w:tcPr>
                <w:p w14:paraId="5E30F38C">
                  <w:pPr>
                    <w:pStyle w:val="41"/>
                    <w:widowControl w:val="0"/>
                    <w:ind w:firstLine="0" w:firstLineChars="0"/>
                    <w:jc w:val="center"/>
                    <w:rPr>
                      <w:rFonts w:ascii="Times New Roman" w:hAnsi="Calibri"/>
                      <w:kern w:val="2"/>
                      <w:szCs w:val="21"/>
                      <w:highlight w:val="none"/>
                      <w:u w:val="none" w:color="auto"/>
                    </w:rPr>
                  </w:pPr>
                  <w:r>
                    <w:rPr>
                      <w:rFonts w:hint="eastAsia" w:ascii="Times New Roman" w:hAnsi="Calibri"/>
                      <w:kern w:val="2"/>
                      <w:szCs w:val="21"/>
                      <w:highlight w:val="none"/>
                      <w:u w:val="none" w:color="auto"/>
                      <w:lang w:val="en-US" w:eastAsia="zh-CN"/>
                    </w:rPr>
                    <w:t>0.32594</w:t>
                  </w:r>
                </w:p>
              </w:tc>
              <w:tc>
                <w:tcPr>
                  <w:tcW w:w="1349" w:type="pct"/>
                  <w:tcBorders>
                    <w:tl2br w:val="nil"/>
                    <w:tr2bl w:val="nil"/>
                  </w:tcBorders>
                  <w:vAlign w:val="center"/>
                </w:tcPr>
                <w:p w14:paraId="16FC1ABA">
                  <w:pPr>
                    <w:pStyle w:val="41"/>
                    <w:widowControl w:val="0"/>
                    <w:ind w:firstLine="0" w:firstLineChars="0"/>
                    <w:jc w:val="center"/>
                    <w:rPr>
                      <w:rFonts w:hint="default" w:ascii="Times New Roman" w:hAnsi="Calibri"/>
                      <w:kern w:val="2"/>
                      <w:szCs w:val="21"/>
                      <w:highlight w:val="none"/>
                      <w:u w:val="none" w:color="auto"/>
                      <w:lang w:val="en-US"/>
                    </w:rPr>
                  </w:pPr>
                  <w:r>
                    <w:rPr>
                      <w:rFonts w:hint="eastAsia" w:ascii="Times New Roman" w:hAnsi="Calibri"/>
                      <w:kern w:val="2"/>
                      <w:szCs w:val="21"/>
                      <w:highlight w:val="none"/>
                      <w:u w:val="none" w:color="auto"/>
                      <w:lang w:val="en-US" w:eastAsia="zh-CN"/>
                    </w:rPr>
                    <w:t>0.33</w:t>
                  </w:r>
                </w:p>
              </w:tc>
            </w:tr>
          </w:tbl>
          <w:p w14:paraId="6B361C1F">
            <w:pPr>
              <w:pStyle w:val="25"/>
              <w:bidi w:val="0"/>
              <w:rPr>
                <w:rFonts w:hint="eastAsia"/>
                <w:highlight w:val="none"/>
                <w:u w:val="none" w:color="auto"/>
                <w:lang w:val="en-US" w:eastAsia="zh-CN"/>
              </w:rPr>
            </w:pPr>
            <w:r>
              <w:rPr>
                <w:highlight w:val="none"/>
                <w:u w:val="none" w:color="auto"/>
              </w:rPr>
              <w:t>由上表可知，本项目SO</w:t>
            </w:r>
            <w:r>
              <w:rPr>
                <w:highlight w:val="none"/>
                <w:u w:val="none" w:color="auto"/>
                <w:vertAlign w:val="subscript"/>
              </w:rPr>
              <w:t>2</w:t>
            </w:r>
            <w:r>
              <w:rPr>
                <w:rFonts w:hint="eastAsia"/>
                <w:highlight w:val="none"/>
                <w:u w:val="none" w:color="auto"/>
              </w:rPr>
              <w:t>和</w:t>
            </w:r>
            <w:r>
              <w:rPr>
                <w:highlight w:val="none"/>
                <w:u w:val="none" w:color="auto"/>
              </w:rPr>
              <w:t>NO</w:t>
            </w:r>
            <w:r>
              <w:rPr>
                <w:highlight w:val="none"/>
                <w:u w:val="none" w:color="auto"/>
                <w:vertAlign w:val="subscript"/>
              </w:rPr>
              <w:t>X</w:t>
            </w:r>
            <w:r>
              <w:rPr>
                <w:highlight w:val="none"/>
                <w:u w:val="none" w:color="auto"/>
              </w:rPr>
              <w:t>需要购买总量指标</w:t>
            </w:r>
            <w:r>
              <w:rPr>
                <w:rFonts w:hint="eastAsia"/>
                <w:highlight w:val="none"/>
                <w:u w:val="none" w:color="auto"/>
              </w:rPr>
              <w:t>分别</w:t>
            </w:r>
            <w:r>
              <w:rPr>
                <w:highlight w:val="none"/>
                <w:u w:val="none" w:color="auto"/>
              </w:rPr>
              <w:t>为</w:t>
            </w:r>
            <w:r>
              <w:rPr>
                <w:rFonts w:hint="eastAsia"/>
                <w:highlight w:val="none"/>
                <w:u w:val="none" w:color="auto"/>
                <w:lang w:val="en-US" w:eastAsia="zh-CN"/>
              </w:rPr>
              <w:t>0.03</w:t>
            </w:r>
            <w:r>
              <w:rPr>
                <w:highlight w:val="none"/>
                <w:u w:val="none" w:color="auto"/>
              </w:rPr>
              <w:t>t/a</w:t>
            </w:r>
            <w:r>
              <w:rPr>
                <w:rFonts w:hint="eastAsia"/>
                <w:highlight w:val="none"/>
                <w:u w:val="none" w:color="auto"/>
              </w:rPr>
              <w:t>和</w:t>
            </w:r>
            <w:r>
              <w:rPr>
                <w:rFonts w:hint="eastAsia"/>
                <w:highlight w:val="none"/>
                <w:u w:val="none" w:color="auto"/>
                <w:lang w:val="en-US" w:eastAsia="zh-CN"/>
              </w:rPr>
              <w:t>0.33</w:t>
            </w:r>
            <w:r>
              <w:rPr>
                <w:highlight w:val="none"/>
                <w:u w:val="none" w:color="auto"/>
              </w:rPr>
              <w:t>t/a。</w:t>
            </w:r>
          </w:p>
        </w:tc>
      </w:tr>
    </w:tbl>
    <w:p w14:paraId="070DF54D">
      <w:pPr>
        <w:numPr>
          <w:ilvl w:val="0"/>
          <w:numId w:val="0"/>
        </w:numPr>
        <w:tabs>
          <w:tab w:val="left" w:pos="1021"/>
        </w:tabs>
        <w:jc w:val="center"/>
        <w:rPr>
          <w:rFonts w:hint="default" w:ascii="Times New Roman" w:hAnsi="Times New Roman" w:eastAsia="宋体" w:cs="Times New Roman"/>
          <w:b/>
          <w:bCs/>
          <w:color w:val="auto"/>
          <w:kern w:val="44"/>
          <w:sz w:val="28"/>
          <w:szCs w:val="4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AA8ED0">
      <w:pPr>
        <w:pStyle w:val="16"/>
        <w:numPr>
          <w:ilvl w:val="0"/>
          <w:numId w:val="3"/>
        </w:numPr>
        <w:spacing w:before="0" w:beforeAutospacing="0" w:after="0" w:afterAutospacing="0" w:line="360" w:lineRule="auto"/>
        <w:jc w:val="center"/>
        <w:outlineLvl w:val="0"/>
        <w:rPr>
          <w:rFonts w:hint="default" w:ascii="Times New Roman" w:hAnsi="Times New Roman" w:eastAsia="宋体" w:cs="Times New Roman"/>
          <w:b/>
          <w:bCs/>
          <w:color w:val="auto"/>
          <w:kern w:val="44"/>
          <w:sz w:val="28"/>
          <w:szCs w:val="44"/>
          <w:highlight w:val="none"/>
          <w:u w:val="none" w:color="auto"/>
          <w:lang w:val="en-US" w:eastAsia="zh-CN" w:bidi="ar-SA"/>
        </w:rPr>
      </w:pPr>
      <w:bookmarkStart w:id="99" w:name="_Toc17379"/>
      <w:bookmarkStart w:id="100" w:name="_Toc3619"/>
      <w:bookmarkStart w:id="101" w:name="_Toc17209"/>
      <w:r>
        <w:rPr>
          <w:rFonts w:hint="default" w:ascii="Times New Roman" w:hAnsi="Times New Roman" w:eastAsia="宋体" w:cs="Times New Roman"/>
          <w:b/>
          <w:bCs/>
          <w:color w:val="auto"/>
          <w:kern w:val="44"/>
          <w:sz w:val="28"/>
          <w:szCs w:val="44"/>
          <w:highlight w:val="none"/>
          <w:u w:val="none" w:color="auto"/>
          <w:lang w:val="en-US" w:eastAsia="zh-CN" w:bidi="ar-SA"/>
        </w:rPr>
        <w:t>主要环境影响和保护措施</w:t>
      </w:r>
      <w:bookmarkEnd w:id="99"/>
      <w:bookmarkEnd w:id="100"/>
      <w:bookmarkEnd w:id="101"/>
    </w:p>
    <w:tbl>
      <w:tblPr>
        <w:tblStyle w:val="18"/>
        <w:tblW w:w="50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7"/>
        <w:gridCol w:w="8214"/>
      </w:tblGrid>
      <w:tr w14:paraId="2E87B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 w:type="pct"/>
            <w:tcBorders>
              <w:tl2br w:val="nil"/>
              <w:tr2bl w:val="nil"/>
            </w:tcBorders>
            <w:tcMar>
              <w:left w:w="28" w:type="dxa"/>
              <w:right w:w="28" w:type="dxa"/>
            </w:tcMar>
            <w:vAlign w:val="center"/>
          </w:tcPr>
          <w:p w14:paraId="71F4CBB6">
            <w:pPr>
              <w:pStyle w:val="16"/>
              <w:keepNext w:val="0"/>
              <w:keepLines w:val="0"/>
              <w:pageBreakBefore w:val="0"/>
              <w:widowControl/>
              <w:kinsoku/>
              <w:wordWrap w:val="0"/>
              <w:overflowPunct/>
              <w:topLinePunct/>
              <w:autoSpaceDE/>
              <w:autoSpaceDN/>
              <w:bidi w:val="0"/>
              <w:adjustRightInd/>
              <w:snapToGrid/>
              <w:spacing w:before="0" w:beforeAutospacing="0" w:after="0" w:afterAutospacing="0"/>
              <w:jc w:val="center"/>
              <w:rPr>
                <w:rFonts w:ascii="Times New Roman" w:hAnsi="Times New Roman"/>
                <w:bCs/>
                <w:color w:val="auto"/>
                <w:kern w:val="2"/>
                <w:szCs w:val="24"/>
                <w:highlight w:val="none"/>
                <w:u w:val="none" w:color="auto"/>
              </w:rPr>
            </w:pPr>
            <w:r>
              <w:rPr>
                <w:rFonts w:hint="default" w:ascii="Times New Roman" w:hAnsi="Times New Roman" w:eastAsia="宋体" w:cs="Times New Roman"/>
                <w:kern w:val="2"/>
                <w:sz w:val="21"/>
                <w:szCs w:val="21"/>
                <w:highlight w:val="none"/>
                <w:u w:val="none" w:color="auto"/>
              </w:rPr>
              <w:t>施工期环境保护措施</w:t>
            </w:r>
          </w:p>
        </w:tc>
        <w:tc>
          <w:tcPr>
            <w:tcW w:w="4801" w:type="pct"/>
            <w:tcBorders>
              <w:tl2br w:val="nil"/>
              <w:tr2bl w:val="nil"/>
            </w:tcBorders>
            <w:vAlign w:val="center"/>
          </w:tcPr>
          <w:p w14:paraId="0D0F1A43">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baseline"/>
              <w:rPr>
                <w:color w:val="auto"/>
                <w:highlight w:val="none"/>
                <w:u w:val="none" w:color="auto"/>
                <w:lang w:val="en-US"/>
              </w:rPr>
            </w:pPr>
            <w:r>
              <w:rPr>
                <w:rFonts w:hint="default" w:ascii="Times New Roman" w:hAnsi="Times New Roman" w:eastAsia="宋体" w:cs="Times New Roman"/>
                <w:color w:val="auto"/>
                <w:kern w:val="0"/>
                <w:sz w:val="24"/>
                <w:szCs w:val="24"/>
                <w:highlight w:val="none"/>
                <w:u w:val="none" w:color="auto"/>
                <w:lang w:val="en-US" w:eastAsia="zh-CN" w:bidi="ar-SA"/>
              </w:rPr>
              <w:t>经现场勘察，</w:t>
            </w:r>
            <w:r>
              <w:rPr>
                <w:rFonts w:hint="eastAsia" w:cs="Times New Roman"/>
                <w:color w:val="auto"/>
                <w:kern w:val="0"/>
                <w:sz w:val="24"/>
                <w:szCs w:val="24"/>
                <w:highlight w:val="none"/>
                <w:u w:val="none" w:color="auto"/>
                <w:lang w:val="en-US" w:eastAsia="zh-CN" w:bidi="ar-SA"/>
              </w:rPr>
              <w:t>目前</w:t>
            </w:r>
            <w:r>
              <w:rPr>
                <w:rFonts w:hint="eastAsia" w:ascii="Times New Roman" w:hAnsi="Times New Roman" w:eastAsia="宋体" w:cs="Times New Roman"/>
                <w:color w:val="auto"/>
                <w:kern w:val="0"/>
                <w:sz w:val="24"/>
                <w:szCs w:val="24"/>
                <w:highlight w:val="none"/>
                <w:u w:val="none" w:color="auto"/>
                <w:lang w:val="en-US" w:eastAsia="zh-CN" w:bidi="ar-SA"/>
              </w:rPr>
              <w:t>本</w:t>
            </w:r>
            <w:r>
              <w:rPr>
                <w:rFonts w:hint="default" w:ascii="Times New Roman" w:hAnsi="Times New Roman" w:eastAsia="宋体" w:cs="Times New Roman"/>
                <w:color w:val="auto"/>
                <w:kern w:val="0"/>
                <w:sz w:val="24"/>
                <w:szCs w:val="24"/>
                <w:highlight w:val="none"/>
                <w:u w:val="none" w:color="auto"/>
                <w:lang w:val="en-US" w:eastAsia="zh-CN" w:bidi="ar-SA"/>
              </w:rPr>
              <w:t>项目</w:t>
            </w:r>
            <w:r>
              <w:rPr>
                <w:rFonts w:hint="eastAsia" w:ascii="Times New Roman" w:hAnsi="Times New Roman" w:eastAsia="宋体" w:cs="Times New Roman"/>
                <w:color w:val="auto"/>
                <w:kern w:val="0"/>
                <w:sz w:val="24"/>
                <w:szCs w:val="24"/>
                <w:highlight w:val="none"/>
                <w:u w:val="none" w:color="auto"/>
                <w:lang w:val="en-US" w:eastAsia="zh-CN" w:bidi="ar-SA"/>
              </w:rPr>
              <w:t>施工</w:t>
            </w:r>
            <w:r>
              <w:rPr>
                <w:rFonts w:hint="default" w:ascii="Times New Roman" w:hAnsi="Times New Roman" w:eastAsia="宋体" w:cs="Times New Roman"/>
                <w:color w:val="auto"/>
                <w:kern w:val="0"/>
                <w:sz w:val="24"/>
                <w:szCs w:val="24"/>
                <w:highlight w:val="none"/>
                <w:u w:val="none" w:color="auto"/>
                <w:lang w:val="en-US" w:eastAsia="zh-CN" w:bidi="ar-SA"/>
              </w:rPr>
              <w:t>已完成</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不存在遗留的施工造成的环境问题，故不对施工期进行影响分析。</w:t>
            </w:r>
          </w:p>
        </w:tc>
      </w:tr>
      <w:tr w14:paraId="1F1C8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 w:type="pct"/>
            <w:tcBorders>
              <w:tl2br w:val="nil"/>
              <w:tr2bl w:val="nil"/>
            </w:tcBorders>
            <w:tcMar>
              <w:left w:w="28" w:type="dxa"/>
              <w:right w:w="28" w:type="dxa"/>
            </w:tcMar>
            <w:vAlign w:val="center"/>
          </w:tcPr>
          <w:p w14:paraId="56AF75E5">
            <w:pPr>
              <w:keepNext w:val="0"/>
              <w:keepLines w:val="0"/>
              <w:pageBreakBefore w:val="0"/>
              <w:widowControl/>
              <w:kinsoku/>
              <w:wordWrap w:val="0"/>
              <w:overflowPunct/>
              <w:topLinePunct/>
              <w:autoSpaceDE/>
              <w:autoSpaceDN/>
              <w:bidi w:val="0"/>
              <w:adjustRightInd/>
              <w:snapToGrid/>
              <w:jc w:val="center"/>
              <w:rPr>
                <w:rFonts w:ascii="Times New Roman" w:hAnsi="Times New Roman"/>
                <w:color w:val="auto"/>
                <w:kern w:val="2"/>
                <w:szCs w:val="24"/>
                <w:highlight w:val="none"/>
                <w:u w:val="none" w:color="auto"/>
              </w:rPr>
            </w:pPr>
            <w:r>
              <w:rPr>
                <w:rFonts w:hint="default" w:ascii="Times New Roman" w:hAnsi="Times New Roman" w:eastAsia="宋体" w:cs="Times New Roman"/>
                <w:kern w:val="2"/>
                <w:sz w:val="21"/>
                <w:szCs w:val="21"/>
                <w:highlight w:val="none"/>
                <w:u w:val="none" w:color="auto"/>
                <w:lang w:val="en-US" w:eastAsia="zh-CN" w:bidi="ar-SA"/>
              </w:rPr>
              <w:t>运营期环境影响和保护措施</w:t>
            </w:r>
          </w:p>
        </w:tc>
        <w:tc>
          <w:tcPr>
            <w:tcW w:w="4801" w:type="pct"/>
            <w:tcBorders>
              <w:tl2br w:val="nil"/>
              <w:tr2bl w:val="nil"/>
            </w:tcBorders>
            <w:vAlign w:val="top"/>
          </w:tcPr>
          <w:p w14:paraId="50AF60F9">
            <w:pPr>
              <w:pStyle w:val="25"/>
              <w:keepNext w:val="0"/>
              <w:keepLines w:val="0"/>
              <w:pageBreakBefore w:val="0"/>
              <w:widowControl/>
              <w:kinsoku/>
              <w:wordWrap w:val="0"/>
              <w:overflowPunct/>
              <w:topLinePunct/>
              <w:autoSpaceDE/>
              <w:autoSpaceDN/>
              <w:bidi w:val="0"/>
              <w:adjustRightInd/>
              <w:snapToGrid/>
              <w:ind w:left="0" w:leftChars="0" w:firstLine="0" w:firstLineChars="0"/>
              <w:jc w:val="both"/>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一、废气</w:t>
            </w:r>
          </w:p>
          <w:p w14:paraId="2807768B">
            <w:pPr>
              <w:pStyle w:val="25"/>
              <w:keepNext w:val="0"/>
              <w:keepLines w:val="0"/>
              <w:pageBreakBefore w:val="0"/>
              <w:widowControl/>
              <w:kinsoku/>
              <w:wordWrap w:val="0"/>
              <w:overflowPunct/>
              <w:topLinePunct/>
              <w:autoSpaceDE/>
              <w:autoSpaceDN/>
              <w:bidi w:val="0"/>
              <w:adjustRightInd/>
              <w:snapToGrid/>
              <w:rPr>
                <w:rFonts w:hint="default"/>
                <w:b/>
                <w:bCs/>
                <w:color w:val="auto"/>
                <w:highlight w:val="none"/>
                <w:u w:val="none" w:color="auto"/>
              </w:rPr>
            </w:pPr>
            <w:r>
              <w:rPr>
                <w:rFonts w:hint="default"/>
                <w:b/>
                <w:bCs/>
                <w:color w:val="auto"/>
                <w:highlight w:val="none"/>
                <w:u w:val="none" w:color="auto"/>
                <w:lang w:val="en-US" w:eastAsia="zh-CN"/>
              </w:rPr>
              <w:t>1、</w:t>
            </w:r>
            <w:r>
              <w:rPr>
                <w:rFonts w:hint="default"/>
                <w:b/>
                <w:bCs/>
                <w:color w:val="auto"/>
                <w:highlight w:val="none"/>
                <w:u w:val="none" w:color="auto"/>
              </w:rPr>
              <w:t>工程产排污情况</w:t>
            </w:r>
          </w:p>
          <w:p w14:paraId="54C562EA">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default"/>
                <w:color w:val="auto"/>
                <w:highlight w:val="none"/>
                <w:u w:val="none" w:color="auto"/>
              </w:rPr>
              <w:t>本项目产生的大气污染主要</w:t>
            </w:r>
            <w:r>
              <w:rPr>
                <w:rFonts w:hint="eastAsia"/>
                <w:color w:val="auto"/>
                <w:highlight w:val="none"/>
                <w:u w:val="none" w:color="auto"/>
                <w:lang w:val="en-US" w:eastAsia="zh-CN"/>
              </w:rPr>
              <w:t>为残留在钢瓶内的残液或残气泄漏产生的非甲烷总烃</w:t>
            </w:r>
            <w:r>
              <w:rPr>
                <w:rFonts w:hint="eastAsia"/>
                <w:highlight w:val="none"/>
                <w:u w:val="none" w:color="auto"/>
                <w:lang w:eastAsia="zh-CN"/>
              </w:rPr>
              <w:t>、</w:t>
            </w:r>
            <w:r>
              <w:rPr>
                <w:rFonts w:hint="eastAsia"/>
                <w:highlight w:val="none"/>
                <w:u w:val="none" w:color="auto"/>
                <w:lang w:val="en-US" w:eastAsia="zh-CN"/>
              </w:rPr>
              <w:t>恶臭</w:t>
            </w:r>
            <w:r>
              <w:rPr>
                <w:rFonts w:hint="eastAsia"/>
                <w:color w:val="auto"/>
                <w:highlight w:val="none"/>
                <w:u w:val="none" w:color="auto"/>
                <w:lang w:val="en-US" w:eastAsia="zh-CN"/>
              </w:rPr>
              <w:t>和焚烧炉燃烧废气。</w:t>
            </w:r>
          </w:p>
          <w:p w14:paraId="6C751698">
            <w:pPr>
              <w:pStyle w:val="25"/>
              <w:bidi w:val="0"/>
              <w:rPr>
                <w:rFonts w:hint="eastAsia"/>
                <w:b/>
                <w:bCs/>
                <w:color w:val="auto"/>
                <w:highlight w:val="none"/>
                <w:u w:val="none" w:color="auto"/>
                <w:lang w:val="en-US" w:eastAsia="zh-CN"/>
              </w:rPr>
            </w:pPr>
            <w:r>
              <w:rPr>
                <w:rFonts w:hint="default"/>
                <w:b/>
                <w:bCs/>
                <w:highlight w:val="none"/>
                <w:u w:val="none" w:color="auto"/>
              </w:rPr>
              <w:t>①</w:t>
            </w:r>
            <w:r>
              <w:rPr>
                <w:rFonts w:hint="eastAsia"/>
                <w:b/>
                <w:bCs/>
                <w:highlight w:val="none"/>
                <w:u w:val="none" w:color="auto"/>
                <w:lang w:val="en-US" w:eastAsia="zh-CN"/>
              </w:rPr>
              <w:t>泄漏废气</w:t>
            </w:r>
          </w:p>
          <w:p w14:paraId="5E47FEAE">
            <w:pPr>
              <w:pStyle w:val="25"/>
              <w:bidi w:val="0"/>
              <w:rPr>
                <w:rFonts w:hint="default" w:eastAsia="宋体"/>
                <w:highlight w:val="none"/>
                <w:u w:val="none" w:color="auto"/>
                <w:lang w:val="en-US" w:eastAsia="zh-CN"/>
              </w:rPr>
            </w:pPr>
            <w:r>
              <w:rPr>
                <w:rFonts w:hint="default"/>
                <w:highlight w:val="none"/>
                <w:u w:val="none" w:color="auto"/>
              </w:rPr>
              <w:t>项目在残气回收、瓶阀拆卸</w:t>
            </w:r>
            <w:r>
              <w:rPr>
                <w:rFonts w:hint="eastAsia"/>
                <w:highlight w:val="none"/>
                <w:u w:val="none" w:color="auto"/>
                <w:lang w:val="en-US" w:eastAsia="zh-CN"/>
              </w:rPr>
              <w:t>工序</w:t>
            </w:r>
            <w:r>
              <w:rPr>
                <w:rFonts w:hint="default"/>
                <w:highlight w:val="none"/>
                <w:u w:val="none" w:color="auto"/>
              </w:rPr>
              <w:t>会有极少量气体逸散到空气中，逸散的气体为液化石油气，主要是丙烷丁烷等低碳氢烷烃化合物(以非甲烷总烃计)，且由于液化石油气中加有硫醇等加臭剂，会伴随有轻微的少量恶臭气味。主要污染物为非甲烷总烃，以无组织形式扩散。</w:t>
            </w:r>
            <w:r>
              <w:rPr>
                <w:rFonts w:hint="eastAsia"/>
                <w:highlight w:val="none"/>
                <w:u w:val="none" w:color="auto"/>
                <w:lang w:val="en-US" w:eastAsia="zh-CN"/>
              </w:rPr>
              <w:t>参</w:t>
            </w:r>
            <w:r>
              <w:rPr>
                <w:rStyle w:val="35"/>
                <w:rFonts w:hint="eastAsia"/>
                <w:highlight w:val="none"/>
                <w:u w:val="none" w:color="auto"/>
                <w:lang w:val="en-US" w:eastAsia="zh-CN"/>
              </w:rPr>
              <w:t>考</w:t>
            </w:r>
            <w:r>
              <w:rPr>
                <w:rStyle w:val="35"/>
                <w:rFonts w:hint="default"/>
                <w:highlight w:val="none"/>
                <w:u w:val="none" w:color="auto"/>
              </w:rPr>
              <w:t>岳阳县</w:t>
            </w:r>
            <w:r>
              <w:rPr>
                <w:rStyle w:val="35"/>
                <w:rFonts w:hint="default"/>
                <w:highlight w:val="none"/>
                <w:u w:val="none" w:color="auto"/>
                <w:lang w:eastAsia="zh-CN"/>
              </w:rPr>
              <w:t>长富钢瓶检测</w:t>
            </w:r>
            <w:r>
              <w:rPr>
                <w:rStyle w:val="35"/>
                <w:rFonts w:hint="default"/>
                <w:highlight w:val="none"/>
                <w:u w:val="none" w:color="auto"/>
              </w:rPr>
              <w:t>厂</w:t>
            </w:r>
            <w:r>
              <w:rPr>
                <w:rStyle w:val="35"/>
                <w:rFonts w:hint="eastAsia"/>
                <w:highlight w:val="none"/>
                <w:u w:val="none" w:color="auto"/>
                <w:lang w:val="en-US" w:eastAsia="zh-CN"/>
              </w:rPr>
              <w:t>《</w:t>
            </w:r>
            <w:r>
              <w:rPr>
                <w:rStyle w:val="35"/>
                <w:rFonts w:hint="default"/>
                <w:highlight w:val="none"/>
                <w:u w:val="none" w:color="auto"/>
                <w:lang w:val="en-US" w:eastAsia="zh-CN"/>
              </w:rPr>
              <w:t>日检测钢瓶500瓶生产线建设项目竣工环境保护验收监测报告</w:t>
            </w:r>
            <w:r>
              <w:rPr>
                <w:rStyle w:val="35"/>
                <w:rFonts w:hint="eastAsia"/>
                <w:highlight w:val="none"/>
                <w:u w:val="none" w:color="auto"/>
                <w:lang w:val="en-US" w:eastAsia="zh-CN"/>
              </w:rPr>
              <w:t>表》</w:t>
            </w:r>
            <w:r>
              <w:rPr>
                <w:rFonts w:hint="eastAsia"/>
                <w:highlight w:val="none"/>
                <w:u w:val="none" w:color="auto"/>
                <w:lang w:val="en-US" w:eastAsia="zh-CN"/>
              </w:rPr>
              <w:t>可知，本项目处置的每个液化石油气钢瓶残气量约为0.05kg，年处置12万只报废液化气钢瓶，则废气产生量为6t/a，主要污染物为非甲烷总烃，残气回收过程回收装置回收效率约99.5%，即回收到焚烧炉或烘炉作为燃料的量为</w:t>
            </w:r>
            <w:r>
              <w:rPr>
                <w:rStyle w:val="35"/>
                <w:highlight w:val="none"/>
                <w:u w:val="none" w:color="auto"/>
              </w:rPr>
              <w:t>5.97</w:t>
            </w:r>
            <w:r>
              <w:rPr>
                <w:rStyle w:val="35"/>
                <w:rFonts w:hint="eastAsia"/>
                <w:highlight w:val="none"/>
                <w:u w:val="none" w:color="auto"/>
                <w:lang w:val="en-US" w:eastAsia="zh-CN"/>
              </w:rPr>
              <w:t>t/a。</w:t>
            </w:r>
            <w:r>
              <w:rPr>
                <w:rFonts w:hint="eastAsia"/>
                <w:highlight w:val="none"/>
                <w:u w:val="none" w:color="auto"/>
                <w:lang w:val="en-US" w:eastAsia="zh-CN"/>
              </w:rPr>
              <w:t>非甲烷总烃无组织排放，则非甲烷总烃排放量为</w:t>
            </w:r>
            <w:r>
              <w:rPr>
                <w:rStyle w:val="35"/>
                <w:highlight w:val="none"/>
                <w:u w:val="none" w:color="auto"/>
              </w:rPr>
              <w:t>0.03</w:t>
            </w:r>
            <w:r>
              <w:rPr>
                <w:rStyle w:val="35"/>
                <w:rFonts w:hint="eastAsia"/>
                <w:highlight w:val="none"/>
                <w:u w:val="none" w:color="auto"/>
                <w:lang w:val="en-US" w:eastAsia="zh-CN"/>
              </w:rPr>
              <w:t>t/a</w:t>
            </w:r>
            <w:r>
              <w:rPr>
                <w:rFonts w:hint="eastAsia"/>
                <w:highlight w:val="none"/>
                <w:u w:val="none" w:color="auto"/>
                <w:lang w:val="en-US" w:eastAsia="zh-CN"/>
              </w:rPr>
              <w:t>，本项目年工作300天，每日工作8小时，则排放速率</w:t>
            </w:r>
            <w:r>
              <w:rPr>
                <w:rStyle w:val="35"/>
                <w:rFonts w:hint="eastAsia"/>
                <w:highlight w:val="none"/>
                <w:u w:val="none" w:color="auto"/>
                <w:lang w:val="en-US" w:eastAsia="zh-CN"/>
              </w:rPr>
              <w:t>为</w:t>
            </w:r>
            <w:r>
              <w:rPr>
                <w:rStyle w:val="35"/>
                <w:highlight w:val="none"/>
                <w:u w:val="none" w:color="auto"/>
              </w:rPr>
              <w:t>0.0125</w:t>
            </w:r>
            <w:r>
              <w:rPr>
                <w:rStyle w:val="35"/>
                <w:rFonts w:hint="eastAsia"/>
                <w:highlight w:val="none"/>
                <w:u w:val="none" w:color="auto"/>
                <w:lang w:val="en-US" w:eastAsia="zh-CN"/>
              </w:rPr>
              <w:t>kg/h。</w:t>
            </w:r>
          </w:p>
          <w:p w14:paraId="5FAB81EA">
            <w:pPr>
              <w:pStyle w:val="25"/>
              <w:bidi w:val="0"/>
              <w:rPr>
                <w:rFonts w:hint="eastAsia"/>
                <w:highlight w:val="none"/>
                <w:u w:val="none" w:color="auto"/>
                <w:lang w:val="en-US" w:eastAsia="zh-CN"/>
              </w:rPr>
            </w:pPr>
            <w:r>
              <w:rPr>
                <w:rFonts w:hint="eastAsia"/>
                <w:highlight w:val="none"/>
                <w:u w:val="none" w:color="auto"/>
                <w:lang w:val="en-US" w:eastAsia="zh-CN"/>
              </w:rPr>
              <w:t>建设单位应加强员工生产过程的规范操作，加强对残气的回收，尽量避免气体的泄漏，以降低污染物浓度。</w:t>
            </w:r>
          </w:p>
          <w:p w14:paraId="5CB4160A">
            <w:pPr>
              <w:pStyle w:val="25"/>
              <w:bidi w:val="0"/>
              <w:rPr>
                <w:rFonts w:hint="default"/>
                <w:b/>
                <w:bCs/>
                <w:highlight w:val="none"/>
                <w:u w:val="none" w:color="auto"/>
                <w:lang w:val="en-US" w:eastAsia="zh-CN"/>
              </w:rPr>
            </w:pPr>
            <w:r>
              <w:rPr>
                <w:rFonts w:hint="default"/>
                <w:b/>
                <w:bCs/>
                <w:highlight w:val="none"/>
                <w:u w:val="none" w:color="auto"/>
                <w:lang w:val="en-US" w:eastAsia="zh-CN"/>
              </w:rPr>
              <w:t>②焚烧炉燃烧废气</w:t>
            </w:r>
          </w:p>
          <w:p w14:paraId="162214B7">
            <w:pPr>
              <w:pStyle w:val="25"/>
              <w:bidi w:val="0"/>
              <w:rPr>
                <w:highlight w:val="none"/>
                <w:u w:val="none" w:color="auto"/>
              </w:rPr>
            </w:pPr>
            <w:r>
              <w:rPr>
                <w:highlight w:val="none"/>
                <w:u w:val="none" w:color="auto"/>
              </w:rPr>
              <w:t>本项目焚烧炉采用生物质颗粒</w:t>
            </w:r>
            <w:r>
              <w:rPr>
                <w:rFonts w:hint="eastAsia"/>
                <w:highlight w:val="none"/>
                <w:u w:val="none" w:color="auto"/>
                <w:lang w:val="en-US" w:eastAsia="zh-CN"/>
              </w:rPr>
              <w:t>及抽取的残液(液化石油气)</w:t>
            </w:r>
            <w:r>
              <w:rPr>
                <w:highlight w:val="none"/>
                <w:u w:val="none" w:color="auto"/>
              </w:rPr>
              <w:t>作为燃料，其污染物产排量依据《排放源统计调查产排污核算方法和系数手册》中</w:t>
            </w:r>
            <w:r>
              <w:rPr>
                <w:rFonts w:hint="eastAsia"/>
                <w:highlight w:val="none"/>
                <w:u w:val="none" w:color="auto"/>
                <w:lang w:eastAsia="zh-CN"/>
              </w:rPr>
              <w:t>“</w:t>
            </w:r>
            <w:r>
              <w:rPr>
                <w:highlight w:val="none"/>
                <w:u w:val="none" w:color="auto"/>
              </w:rPr>
              <w:t>生物质燃料燃烧产排污系数</w:t>
            </w:r>
            <w:r>
              <w:rPr>
                <w:rFonts w:hint="eastAsia"/>
                <w:highlight w:val="none"/>
                <w:u w:val="none" w:color="auto"/>
                <w:lang w:eastAsia="zh-CN"/>
              </w:rPr>
              <w:t>”</w:t>
            </w:r>
            <w:r>
              <w:rPr>
                <w:highlight w:val="none"/>
                <w:u w:val="none" w:color="auto"/>
              </w:rPr>
              <w:t>进行核算。</w:t>
            </w:r>
          </w:p>
          <w:p w14:paraId="6D5E0B7D">
            <w:pPr>
              <w:pStyle w:val="25"/>
              <w:bidi w:val="0"/>
              <w:rPr>
                <w:highlight w:val="none"/>
                <w:u w:val="none" w:color="auto"/>
              </w:rPr>
            </w:pPr>
            <w:r>
              <w:rPr>
                <w:highlight w:val="none"/>
                <w:u w:val="none" w:color="auto"/>
              </w:rPr>
              <w:t>本项目焚烧炉燃烧燃料为抽取的残液(液化石油气)作为燃料</w:t>
            </w:r>
            <w:r>
              <w:rPr>
                <w:rFonts w:hint="eastAsia"/>
                <w:highlight w:val="none"/>
                <w:u w:val="none" w:color="auto"/>
                <w:lang w:eastAsia="zh-CN"/>
              </w:rPr>
              <w:t>，</w:t>
            </w:r>
            <w:r>
              <w:rPr>
                <w:highlight w:val="none"/>
                <w:u w:val="none" w:color="auto"/>
              </w:rPr>
              <w:t>其燃烧后产生的物质主要为CO</w:t>
            </w:r>
            <w:r>
              <w:rPr>
                <w:highlight w:val="none"/>
                <w:u w:val="none" w:color="auto"/>
                <w:vertAlign w:val="subscript"/>
              </w:rPr>
              <w:t>2</w:t>
            </w:r>
            <w:r>
              <w:rPr>
                <w:highlight w:val="none"/>
                <w:u w:val="none" w:color="auto"/>
              </w:rPr>
              <w:t>和H</w:t>
            </w:r>
            <w:r>
              <w:rPr>
                <w:highlight w:val="none"/>
                <w:u w:val="none" w:color="auto"/>
                <w:vertAlign w:val="subscript"/>
              </w:rPr>
              <w:t>2</w:t>
            </w:r>
            <w:r>
              <w:rPr>
                <w:highlight w:val="none"/>
                <w:u w:val="none" w:color="auto"/>
              </w:rPr>
              <w:t>O，另外含有少量烟尘、SO</w:t>
            </w:r>
            <w:r>
              <w:rPr>
                <w:highlight w:val="none"/>
                <w:u w:val="none" w:color="auto"/>
                <w:vertAlign w:val="subscript"/>
              </w:rPr>
              <w:t>2</w:t>
            </w:r>
            <w:r>
              <w:rPr>
                <w:highlight w:val="none"/>
                <w:u w:val="none" w:color="auto"/>
              </w:rPr>
              <w:t>、和NOx。根据《排放源统计调查产排污核算方法和系数手册》（公告2021年第24号），本项目钢瓶表面焚烧处理产生的烟尘量参考《33-37，431-434机械行业系数手册》核算，产污系数见下表：</w:t>
            </w:r>
          </w:p>
          <w:p w14:paraId="34FD205D">
            <w:pPr>
              <w:pStyle w:val="30"/>
              <w:bidi w:val="0"/>
              <w:jc w:val="center"/>
              <w:rPr>
                <w:b/>
                <w:bCs/>
                <w:highlight w:val="none"/>
                <w:u w:val="none" w:color="auto"/>
                <w:lang w:eastAsia="zh-CN"/>
              </w:rPr>
            </w:pPr>
            <w:r>
              <w:rPr>
                <w:rFonts w:hint="eastAsia"/>
                <w:b/>
                <w:bCs/>
                <w:highlight w:val="none"/>
                <w:u w:val="none" w:color="auto"/>
                <w:lang w:val="en-US" w:eastAsia="zh-CN"/>
              </w:rPr>
              <w:t xml:space="preserve">表4-1   </w:t>
            </w:r>
            <w:r>
              <w:rPr>
                <w:b/>
                <w:bCs/>
                <w:highlight w:val="none"/>
                <w:u w:val="none" w:color="auto"/>
              </w:rPr>
              <w:t>项目钢瓶焚烧废气产排污系数表（摘录）</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451"/>
              <w:gridCol w:w="636"/>
              <w:gridCol w:w="835"/>
              <w:gridCol w:w="452"/>
              <w:gridCol w:w="428"/>
              <w:gridCol w:w="957"/>
              <w:gridCol w:w="1106"/>
              <w:gridCol w:w="1086"/>
              <w:gridCol w:w="760"/>
              <w:gridCol w:w="717"/>
            </w:tblGrid>
            <w:tr w14:paraId="0263E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350" w:type="pct"/>
                  <w:tcBorders>
                    <w:tl2br w:val="nil"/>
                    <w:tr2bl w:val="nil"/>
                  </w:tcBorders>
                  <w:vAlign w:val="center"/>
                </w:tcPr>
                <w:p w14:paraId="6EF86A08">
                  <w:pPr>
                    <w:pStyle w:val="27"/>
                    <w:bidi w:val="0"/>
                    <w:rPr>
                      <w:rFonts w:hint="default"/>
                      <w:b/>
                      <w:bCs/>
                      <w:highlight w:val="none"/>
                      <w:u w:val="none" w:color="auto"/>
                      <w:lang w:val="en-US" w:eastAsia="zh-CN"/>
                    </w:rPr>
                  </w:pPr>
                  <w:r>
                    <w:rPr>
                      <w:rFonts w:hint="eastAsia"/>
                      <w:b/>
                      <w:bCs/>
                      <w:highlight w:val="none"/>
                      <w:u w:val="none" w:color="auto"/>
                      <w:lang w:val="en-US" w:eastAsia="zh-CN"/>
                    </w:rPr>
                    <w:t>工段名称</w:t>
                  </w:r>
                </w:p>
              </w:tc>
              <w:tc>
                <w:tcPr>
                  <w:tcW w:w="294" w:type="pct"/>
                  <w:tcBorders>
                    <w:tl2br w:val="nil"/>
                    <w:tr2bl w:val="nil"/>
                  </w:tcBorders>
                  <w:vAlign w:val="center"/>
                </w:tcPr>
                <w:p w14:paraId="13E2A935">
                  <w:pPr>
                    <w:pStyle w:val="27"/>
                    <w:bidi w:val="0"/>
                    <w:rPr>
                      <w:rFonts w:hint="default"/>
                      <w:b/>
                      <w:bCs/>
                      <w:highlight w:val="none"/>
                      <w:u w:val="none" w:color="auto"/>
                      <w:lang w:val="en-US" w:eastAsia="zh-CN"/>
                    </w:rPr>
                  </w:pPr>
                  <w:r>
                    <w:rPr>
                      <w:rFonts w:hint="eastAsia"/>
                      <w:b/>
                      <w:bCs/>
                      <w:highlight w:val="none"/>
                      <w:u w:val="none" w:color="auto"/>
                      <w:lang w:val="en-US" w:eastAsia="zh-CN"/>
                    </w:rPr>
                    <w:t>产品名称</w:t>
                  </w:r>
                </w:p>
              </w:tc>
              <w:tc>
                <w:tcPr>
                  <w:tcW w:w="410" w:type="pct"/>
                  <w:tcBorders>
                    <w:tl2br w:val="nil"/>
                    <w:tr2bl w:val="nil"/>
                  </w:tcBorders>
                  <w:vAlign w:val="center"/>
                </w:tcPr>
                <w:p w14:paraId="6EE48D56">
                  <w:pPr>
                    <w:pStyle w:val="27"/>
                    <w:bidi w:val="0"/>
                    <w:rPr>
                      <w:rFonts w:hint="default"/>
                      <w:b/>
                      <w:bCs/>
                      <w:highlight w:val="none"/>
                      <w:u w:val="none" w:color="auto"/>
                      <w:lang w:val="en-US" w:eastAsia="zh-CN"/>
                    </w:rPr>
                  </w:pPr>
                  <w:r>
                    <w:rPr>
                      <w:rFonts w:hint="eastAsia"/>
                      <w:b/>
                      <w:bCs/>
                      <w:highlight w:val="none"/>
                      <w:u w:val="none" w:color="auto"/>
                      <w:lang w:val="en-US" w:eastAsia="zh-CN"/>
                    </w:rPr>
                    <w:t>原料名称</w:t>
                  </w:r>
                </w:p>
              </w:tc>
              <w:tc>
                <w:tcPr>
                  <w:tcW w:w="534" w:type="pct"/>
                  <w:tcBorders>
                    <w:tl2br w:val="nil"/>
                    <w:tr2bl w:val="nil"/>
                  </w:tcBorders>
                  <w:vAlign w:val="center"/>
                </w:tcPr>
                <w:p w14:paraId="038C4CCB">
                  <w:pPr>
                    <w:pStyle w:val="27"/>
                    <w:bidi w:val="0"/>
                    <w:rPr>
                      <w:rFonts w:hint="default"/>
                      <w:b/>
                      <w:bCs/>
                      <w:highlight w:val="none"/>
                      <w:u w:val="none" w:color="auto"/>
                      <w:lang w:val="en-US" w:eastAsia="zh-CN"/>
                    </w:rPr>
                  </w:pPr>
                  <w:r>
                    <w:rPr>
                      <w:rFonts w:hint="eastAsia"/>
                      <w:b/>
                      <w:bCs/>
                      <w:highlight w:val="none"/>
                      <w:u w:val="none" w:color="auto"/>
                      <w:lang w:val="en-US" w:eastAsia="zh-CN"/>
                    </w:rPr>
                    <w:t>工艺名称</w:t>
                  </w:r>
                </w:p>
              </w:tc>
              <w:tc>
                <w:tcPr>
                  <w:tcW w:w="294" w:type="pct"/>
                  <w:tcBorders>
                    <w:tl2br w:val="nil"/>
                    <w:tr2bl w:val="nil"/>
                  </w:tcBorders>
                  <w:vAlign w:val="center"/>
                </w:tcPr>
                <w:p w14:paraId="03992BDD">
                  <w:pPr>
                    <w:pStyle w:val="27"/>
                    <w:bidi w:val="0"/>
                    <w:rPr>
                      <w:rFonts w:hint="default"/>
                      <w:b/>
                      <w:bCs/>
                      <w:highlight w:val="none"/>
                      <w:u w:val="none" w:color="auto"/>
                      <w:lang w:val="en-US" w:eastAsia="zh-CN"/>
                    </w:rPr>
                  </w:pPr>
                  <w:r>
                    <w:rPr>
                      <w:rFonts w:hint="eastAsia"/>
                      <w:b/>
                      <w:bCs/>
                      <w:highlight w:val="none"/>
                      <w:u w:val="none" w:color="auto"/>
                      <w:lang w:val="en-US" w:eastAsia="zh-CN"/>
                    </w:rPr>
                    <w:t>规模等级</w:t>
                  </w:r>
                </w:p>
              </w:tc>
              <w:tc>
                <w:tcPr>
                  <w:tcW w:w="890" w:type="pct"/>
                  <w:gridSpan w:val="2"/>
                  <w:tcBorders>
                    <w:tl2br w:val="nil"/>
                    <w:tr2bl w:val="nil"/>
                  </w:tcBorders>
                  <w:vAlign w:val="center"/>
                </w:tcPr>
                <w:p w14:paraId="38F71149">
                  <w:pPr>
                    <w:pStyle w:val="27"/>
                    <w:bidi w:val="0"/>
                    <w:rPr>
                      <w:rFonts w:hint="default"/>
                      <w:b/>
                      <w:bCs/>
                      <w:highlight w:val="none"/>
                      <w:u w:val="none" w:color="auto"/>
                      <w:lang w:val="en-US" w:eastAsia="zh-CN"/>
                    </w:rPr>
                  </w:pPr>
                  <w:r>
                    <w:rPr>
                      <w:rFonts w:hint="eastAsia"/>
                      <w:b/>
                      <w:bCs/>
                      <w:highlight w:val="none"/>
                      <w:u w:val="none" w:color="auto"/>
                      <w:lang w:val="en-US" w:eastAsia="zh-CN"/>
                    </w:rPr>
                    <w:t>污染物指标</w:t>
                  </w:r>
                </w:p>
              </w:tc>
              <w:tc>
                <w:tcPr>
                  <w:tcW w:w="704" w:type="pct"/>
                  <w:tcBorders>
                    <w:tl2br w:val="nil"/>
                    <w:tr2bl w:val="nil"/>
                  </w:tcBorders>
                  <w:vAlign w:val="center"/>
                </w:tcPr>
                <w:p w14:paraId="4C7EA148">
                  <w:pPr>
                    <w:pStyle w:val="27"/>
                    <w:bidi w:val="0"/>
                    <w:rPr>
                      <w:rFonts w:hint="default"/>
                      <w:b/>
                      <w:bCs/>
                      <w:highlight w:val="none"/>
                      <w:u w:val="none" w:color="auto"/>
                      <w:lang w:val="en-US" w:eastAsia="zh-CN"/>
                    </w:rPr>
                  </w:pPr>
                  <w:r>
                    <w:rPr>
                      <w:rFonts w:hint="eastAsia"/>
                      <w:b/>
                      <w:bCs/>
                      <w:highlight w:val="none"/>
                      <w:u w:val="none" w:color="auto"/>
                      <w:lang w:val="en-US" w:eastAsia="zh-CN"/>
                    </w:rPr>
                    <w:t>单位</w:t>
                  </w:r>
                </w:p>
              </w:tc>
              <w:tc>
                <w:tcPr>
                  <w:tcW w:w="573" w:type="pct"/>
                  <w:tcBorders>
                    <w:tl2br w:val="nil"/>
                    <w:tr2bl w:val="nil"/>
                  </w:tcBorders>
                  <w:vAlign w:val="center"/>
                </w:tcPr>
                <w:p w14:paraId="44F0219B">
                  <w:pPr>
                    <w:pStyle w:val="27"/>
                    <w:bidi w:val="0"/>
                    <w:rPr>
                      <w:b/>
                      <w:bCs/>
                      <w:highlight w:val="none"/>
                      <w:u w:val="none" w:color="auto"/>
                      <w:lang w:eastAsia="zh-CN"/>
                    </w:rPr>
                  </w:pPr>
                  <w:r>
                    <w:rPr>
                      <w:b/>
                      <w:bCs/>
                      <w:highlight w:val="none"/>
                      <w:u w:val="none" w:color="auto"/>
                    </w:rPr>
                    <w:t>产污系数</w:t>
                  </w:r>
                </w:p>
              </w:tc>
              <w:tc>
                <w:tcPr>
                  <w:tcW w:w="487" w:type="pct"/>
                  <w:tcBorders>
                    <w:tl2br w:val="nil"/>
                    <w:tr2bl w:val="nil"/>
                  </w:tcBorders>
                  <w:vAlign w:val="center"/>
                </w:tcPr>
                <w:p w14:paraId="61A990CB">
                  <w:pPr>
                    <w:pStyle w:val="27"/>
                    <w:bidi w:val="0"/>
                    <w:rPr>
                      <w:rFonts w:hint="default"/>
                      <w:b/>
                      <w:bCs/>
                      <w:highlight w:val="none"/>
                      <w:u w:val="none" w:color="auto"/>
                      <w:lang w:val="en-US" w:eastAsia="zh-CN"/>
                    </w:rPr>
                  </w:pPr>
                  <w:r>
                    <w:rPr>
                      <w:rFonts w:hint="eastAsia"/>
                      <w:b/>
                      <w:bCs/>
                      <w:highlight w:val="none"/>
                      <w:u w:val="none" w:color="auto"/>
                      <w:lang w:val="en-US" w:eastAsia="zh-CN"/>
                    </w:rPr>
                    <w:t>末端治理技术名称</w:t>
                  </w:r>
                </w:p>
              </w:tc>
              <w:tc>
                <w:tcPr>
                  <w:tcW w:w="460" w:type="pct"/>
                  <w:tcBorders>
                    <w:tl2br w:val="nil"/>
                    <w:tr2bl w:val="nil"/>
                  </w:tcBorders>
                  <w:vAlign w:val="center"/>
                </w:tcPr>
                <w:p w14:paraId="0EBFBF9D">
                  <w:pPr>
                    <w:pStyle w:val="27"/>
                    <w:bidi w:val="0"/>
                    <w:rPr>
                      <w:rFonts w:hint="default"/>
                      <w:b/>
                      <w:bCs/>
                      <w:highlight w:val="none"/>
                      <w:u w:val="none" w:color="auto"/>
                      <w:lang w:val="en-US" w:eastAsia="zh-CN"/>
                    </w:rPr>
                  </w:pPr>
                  <w:r>
                    <w:rPr>
                      <w:rFonts w:hint="eastAsia"/>
                      <w:b/>
                      <w:bCs/>
                      <w:highlight w:val="none"/>
                      <w:u w:val="none" w:color="auto"/>
                      <w:lang w:val="en-US" w:eastAsia="zh-CN"/>
                    </w:rPr>
                    <w:t>末端治理技术效率</w:t>
                  </w:r>
                </w:p>
              </w:tc>
            </w:tr>
            <w:tr w14:paraId="35DC2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0" w:type="pct"/>
                  <w:vMerge w:val="restart"/>
                  <w:tcBorders>
                    <w:tl2br w:val="nil"/>
                    <w:tr2bl w:val="nil"/>
                  </w:tcBorders>
                  <w:vAlign w:val="center"/>
                </w:tcPr>
                <w:p w14:paraId="226F4520">
                  <w:pPr>
                    <w:pStyle w:val="27"/>
                    <w:bidi w:val="0"/>
                    <w:rPr>
                      <w:rFonts w:hint="default"/>
                      <w:highlight w:val="none"/>
                      <w:u w:val="none" w:color="auto"/>
                      <w:lang w:val="en-US" w:eastAsia="zh-CN"/>
                    </w:rPr>
                  </w:pPr>
                  <w:r>
                    <w:rPr>
                      <w:rFonts w:hint="eastAsia"/>
                      <w:highlight w:val="none"/>
                      <w:u w:val="none" w:color="auto"/>
                      <w:lang w:val="en-US" w:eastAsia="zh-CN"/>
                    </w:rPr>
                    <w:t>/</w:t>
                  </w:r>
                </w:p>
              </w:tc>
              <w:tc>
                <w:tcPr>
                  <w:tcW w:w="294" w:type="pct"/>
                  <w:vMerge w:val="restart"/>
                  <w:tcBorders>
                    <w:tl2br w:val="nil"/>
                    <w:tr2bl w:val="nil"/>
                  </w:tcBorders>
                  <w:vAlign w:val="center"/>
                </w:tcPr>
                <w:p w14:paraId="43327A82">
                  <w:pPr>
                    <w:pStyle w:val="27"/>
                    <w:bidi w:val="0"/>
                    <w:rPr>
                      <w:rFonts w:hint="default"/>
                      <w:highlight w:val="none"/>
                      <w:u w:val="none" w:color="auto"/>
                      <w:lang w:val="en-US" w:eastAsia="zh-CN"/>
                    </w:rPr>
                  </w:pPr>
                  <w:r>
                    <w:rPr>
                      <w:rFonts w:hint="eastAsia"/>
                      <w:highlight w:val="none"/>
                      <w:u w:val="none" w:color="auto"/>
                      <w:lang w:val="en-US" w:eastAsia="zh-CN"/>
                    </w:rPr>
                    <w:t>/</w:t>
                  </w:r>
                </w:p>
              </w:tc>
              <w:tc>
                <w:tcPr>
                  <w:tcW w:w="410" w:type="pct"/>
                  <w:vMerge w:val="restart"/>
                  <w:tcBorders>
                    <w:tl2br w:val="nil"/>
                    <w:tr2bl w:val="nil"/>
                  </w:tcBorders>
                  <w:vAlign w:val="center"/>
                </w:tcPr>
                <w:p w14:paraId="217ED7A1">
                  <w:pPr>
                    <w:pStyle w:val="27"/>
                    <w:bidi w:val="0"/>
                    <w:rPr>
                      <w:rFonts w:hint="default"/>
                      <w:highlight w:val="none"/>
                      <w:u w:val="none" w:color="auto"/>
                      <w:lang w:val="en-US" w:eastAsia="zh-CN"/>
                    </w:rPr>
                  </w:pPr>
                  <w:r>
                    <w:rPr>
                      <w:rFonts w:hint="eastAsia"/>
                      <w:highlight w:val="none"/>
                      <w:u w:val="none" w:color="auto"/>
                      <w:lang w:val="en-US" w:eastAsia="zh-CN"/>
                    </w:rPr>
                    <w:t>液化石油气</w:t>
                  </w:r>
                </w:p>
              </w:tc>
              <w:tc>
                <w:tcPr>
                  <w:tcW w:w="534" w:type="pct"/>
                  <w:vMerge w:val="restart"/>
                  <w:tcBorders>
                    <w:tl2br w:val="nil"/>
                    <w:tr2bl w:val="nil"/>
                  </w:tcBorders>
                  <w:vAlign w:val="center"/>
                </w:tcPr>
                <w:p w14:paraId="657A9FB8">
                  <w:pPr>
                    <w:pStyle w:val="27"/>
                    <w:bidi w:val="0"/>
                    <w:rPr>
                      <w:highlight w:val="none"/>
                      <w:u w:val="none" w:color="auto"/>
                      <w:lang w:eastAsia="zh-CN"/>
                    </w:rPr>
                  </w:pPr>
                  <w:r>
                    <w:rPr>
                      <w:highlight w:val="none"/>
                      <w:u w:val="none" w:color="auto"/>
                    </w:rPr>
                    <w:t>液化石油气工业炉窑</w:t>
                  </w:r>
                </w:p>
              </w:tc>
              <w:tc>
                <w:tcPr>
                  <w:tcW w:w="294" w:type="pct"/>
                  <w:vMerge w:val="restart"/>
                  <w:tcBorders>
                    <w:tl2br w:val="nil"/>
                    <w:tr2bl w:val="nil"/>
                  </w:tcBorders>
                  <w:vAlign w:val="center"/>
                </w:tcPr>
                <w:p w14:paraId="7D55390E">
                  <w:pPr>
                    <w:pStyle w:val="27"/>
                    <w:bidi w:val="0"/>
                    <w:rPr>
                      <w:rFonts w:hint="default"/>
                      <w:highlight w:val="none"/>
                      <w:u w:val="none" w:color="auto"/>
                      <w:lang w:val="en-US" w:eastAsia="zh-CN"/>
                    </w:rPr>
                  </w:pPr>
                  <w:r>
                    <w:rPr>
                      <w:rFonts w:hint="eastAsia"/>
                      <w:highlight w:val="none"/>
                      <w:u w:val="none" w:color="auto"/>
                      <w:lang w:val="en-US" w:eastAsia="zh-CN"/>
                    </w:rPr>
                    <w:t>所有规模</w:t>
                  </w:r>
                </w:p>
              </w:tc>
              <w:tc>
                <w:tcPr>
                  <w:tcW w:w="279" w:type="pct"/>
                  <w:vMerge w:val="restart"/>
                  <w:tcBorders>
                    <w:tl2br w:val="nil"/>
                    <w:tr2bl w:val="nil"/>
                  </w:tcBorders>
                  <w:vAlign w:val="center"/>
                </w:tcPr>
                <w:p w14:paraId="38E6F64B">
                  <w:pPr>
                    <w:pStyle w:val="27"/>
                    <w:bidi w:val="0"/>
                    <w:rPr>
                      <w:rFonts w:hint="default"/>
                      <w:highlight w:val="none"/>
                      <w:u w:val="none" w:color="auto"/>
                      <w:lang w:val="en-US" w:eastAsia="zh-CN"/>
                    </w:rPr>
                  </w:pPr>
                  <w:r>
                    <w:rPr>
                      <w:rFonts w:hint="eastAsia"/>
                      <w:highlight w:val="none"/>
                      <w:u w:val="none" w:color="auto"/>
                      <w:lang w:val="en-US" w:eastAsia="zh-CN"/>
                    </w:rPr>
                    <w:t>废气</w:t>
                  </w:r>
                </w:p>
              </w:tc>
              <w:tc>
                <w:tcPr>
                  <w:tcW w:w="611" w:type="pct"/>
                  <w:tcBorders>
                    <w:tl2br w:val="nil"/>
                    <w:tr2bl w:val="nil"/>
                  </w:tcBorders>
                  <w:vAlign w:val="center"/>
                </w:tcPr>
                <w:p w14:paraId="193D58B8">
                  <w:pPr>
                    <w:pStyle w:val="27"/>
                    <w:bidi w:val="0"/>
                    <w:rPr>
                      <w:rFonts w:hint="default"/>
                      <w:highlight w:val="none"/>
                      <w:u w:val="none" w:color="auto"/>
                      <w:lang w:val="en-US" w:eastAsia="zh-CN"/>
                    </w:rPr>
                  </w:pPr>
                  <w:r>
                    <w:rPr>
                      <w:rFonts w:hint="eastAsia"/>
                      <w:highlight w:val="none"/>
                      <w:u w:val="none" w:color="auto"/>
                      <w:lang w:val="en-US" w:eastAsia="zh-CN"/>
                    </w:rPr>
                    <w:t>工业废气量</w:t>
                  </w:r>
                </w:p>
              </w:tc>
              <w:tc>
                <w:tcPr>
                  <w:tcW w:w="704" w:type="pct"/>
                  <w:tcBorders>
                    <w:tl2br w:val="nil"/>
                    <w:tr2bl w:val="nil"/>
                  </w:tcBorders>
                  <w:vAlign w:val="center"/>
                </w:tcPr>
                <w:p w14:paraId="5BB50C41">
                  <w:pPr>
                    <w:pStyle w:val="27"/>
                    <w:bidi w:val="0"/>
                    <w:rPr>
                      <w:rFonts w:hint="default"/>
                      <w:highlight w:val="none"/>
                      <w:u w:val="none" w:color="auto"/>
                      <w:lang w:val="en-US" w:eastAsia="zh-CN"/>
                    </w:rPr>
                  </w:pPr>
                  <w:r>
                    <w:rPr>
                      <w:rFonts w:hint="eastAsia"/>
                      <w:highlight w:val="none"/>
                      <w:u w:val="none" w:color="auto"/>
                      <w:lang w:val="en-US" w:eastAsia="zh-CN"/>
                    </w:rPr>
                    <w:t>立方米/立方米-原料</w:t>
                  </w:r>
                </w:p>
              </w:tc>
              <w:tc>
                <w:tcPr>
                  <w:tcW w:w="573" w:type="pct"/>
                  <w:tcBorders>
                    <w:tl2br w:val="nil"/>
                    <w:tr2bl w:val="nil"/>
                  </w:tcBorders>
                  <w:vAlign w:val="center"/>
                </w:tcPr>
                <w:p w14:paraId="73E04253">
                  <w:pPr>
                    <w:pStyle w:val="27"/>
                    <w:bidi w:val="0"/>
                    <w:rPr>
                      <w:highlight w:val="none"/>
                      <w:u w:val="none" w:color="auto"/>
                      <w:lang w:eastAsia="zh-CN"/>
                    </w:rPr>
                  </w:pPr>
                  <w:r>
                    <w:rPr>
                      <w:highlight w:val="none"/>
                      <w:u w:val="none" w:color="auto"/>
                    </w:rPr>
                    <w:t>33.4</w:t>
                  </w:r>
                </w:p>
              </w:tc>
              <w:tc>
                <w:tcPr>
                  <w:tcW w:w="487" w:type="pct"/>
                  <w:tcBorders>
                    <w:tl2br w:val="nil"/>
                    <w:tr2bl w:val="nil"/>
                  </w:tcBorders>
                  <w:vAlign w:val="center"/>
                </w:tcPr>
                <w:p w14:paraId="0DAB45EA">
                  <w:pPr>
                    <w:pStyle w:val="27"/>
                    <w:bidi w:val="0"/>
                    <w:rPr>
                      <w:rFonts w:hint="default"/>
                      <w:highlight w:val="none"/>
                      <w:u w:val="none" w:color="auto"/>
                      <w:lang w:val="en-US" w:eastAsia="zh-CN"/>
                    </w:rPr>
                  </w:pPr>
                  <w:r>
                    <w:rPr>
                      <w:rFonts w:hint="eastAsia"/>
                      <w:highlight w:val="none"/>
                      <w:u w:val="none" w:color="auto"/>
                      <w:lang w:val="en-US" w:eastAsia="zh-CN"/>
                    </w:rPr>
                    <w:t>/</w:t>
                  </w:r>
                </w:p>
              </w:tc>
              <w:tc>
                <w:tcPr>
                  <w:tcW w:w="460" w:type="pct"/>
                  <w:tcBorders>
                    <w:tl2br w:val="nil"/>
                    <w:tr2bl w:val="nil"/>
                  </w:tcBorders>
                  <w:vAlign w:val="center"/>
                </w:tcPr>
                <w:p w14:paraId="6B874B21">
                  <w:pPr>
                    <w:pStyle w:val="27"/>
                    <w:bidi w:val="0"/>
                    <w:rPr>
                      <w:rFonts w:hint="default"/>
                      <w:highlight w:val="none"/>
                      <w:u w:val="none" w:color="auto"/>
                      <w:lang w:val="en-US" w:eastAsia="zh-CN"/>
                    </w:rPr>
                  </w:pPr>
                  <w:r>
                    <w:rPr>
                      <w:rFonts w:hint="eastAsia"/>
                      <w:highlight w:val="none"/>
                      <w:u w:val="none" w:color="auto"/>
                      <w:lang w:val="en-US" w:eastAsia="zh-CN"/>
                    </w:rPr>
                    <w:t>/</w:t>
                  </w:r>
                </w:p>
              </w:tc>
            </w:tr>
            <w:tr w14:paraId="30982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vAlign w:val="center"/>
                </w:tcPr>
                <w:p w14:paraId="5475D70F">
                  <w:pPr>
                    <w:pStyle w:val="27"/>
                    <w:bidi w:val="0"/>
                    <w:rPr>
                      <w:highlight w:val="none"/>
                      <w:u w:val="none" w:color="auto"/>
                      <w:lang w:eastAsia="zh-CN"/>
                    </w:rPr>
                  </w:pPr>
                </w:p>
              </w:tc>
              <w:tc>
                <w:tcPr>
                  <w:tcW w:w="294" w:type="pct"/>
                  <w:vMerge w:val="continue"/>
                  <w:tcBorders>
                    <w:tl2br w:val="nil"/>
                    <w:tr2bl w:val="nil"/>
                  </w:tcBorders>
                  <w:vAlign w:val="center"/>
                </w:tcPr>
                <w:p w14:paraId="3449469C">
                  <w:pPr>
                    <w:pStyle w:val="27"/>
                    <w:bidi w:val="0"/>
                    <w:rPr>
                      <w:highlight w:val="none"/>
                      <w:u w:val="none" w:color="auto"/>
                      <w:lang w:eastAsia="zh-CN"/>
                    </w:rPr>
                  </w:pPr>
                </w:p>
              </w:tc>
              <w:tc>
                <w:tcPr>
                  <w:tcW w:w="410" w:type="pct"/>
                  <w:vMerge w:val="continue"/>
                  <w:tcBorders>
                    <w:tl2br w:val="nil"/>
                    <w:tr2bl w:val="nil"/>
                  </w:tcBorders>
                  <w:vAlign w:val="center"/>
                </w:tcPr>
                <w:p w14:paraId="458AF37F">
                  <w:pPr>
                    <w:pStyle w:val="27"/>
                    <w:bidi w:val="0"/>
                    <w:rPr>
                      <w:highlight w:val="none"/>
                      <w:u w:val="none" w:color="auto"/>
                      <w:lang w:eastAsia="zh-CN"/>
                    </w:rPr>
                  </w:pPr>
                </w:p>
              </w:tc>
              <w:tc>
                <w:tcPr>
                  <w:tcW w:w="534" w:type="pct"/>
                  <w:vMerge w:val="continue"/>
                  <w:tcBorders>
                    <w:tl2br w:val="nil"/>
                    <w:tr2bl w:val="nil"/>
                  </w:tcBorders>
                  <w:vAlign w:val="center"/>
                </w:tcPr>
                <w:p w14:paraId="6EAABDEB">
                  <w:pPr>
                    <w:pStyle w:val="27"/>
                    <w:bidi w:val="0"/>
                    <w:rPr>
                      <w:highlight w:val="none"/>
                      <w:u w:val="none" w:color="auto"/>
                      <w:lang w:eastAsia="zh-CN"/>
                    </w:rPr>
                  </w:pPr>
                </w:p>
              </w:tc>
              <w:tc>
                <w:tcPr>
                  <w:tcW w:w="294" w:type="pct"/>
                  <w:vMerge w:val="continue"/>
                  <w:tcBorders>
                    <w:tl2br w:val="nil"/>
                    <w:tr2bl w:val="nil"/>
                  </w:tcBorders>
                  <w:vAlign w:val="center"/>
                </w:tcPr>
                <w:p w14:paraId="242B987F">
                  <w:pPr>
                    <w:pStyle w:val="27"/>
                    <w:bidi w:val="0"/>
                    <w:rPr>
                      <w:highlight w:val="none"/>
                      <w:u w:val="none" w:color="auto"/>
                      <w:lang w:eastAsia="zh-CN"/>
                    </w:rPr>
                  </w:pPr>
                </w:p>
              </w:tc>
              <w:tc>
                <w:tcPr>
                  <w:tcW w:w="279" w:type="pct"/>
                  <w:vMerge w:val="continue"/>
                  <w:tcBorders>
                    <w:tl2br w:val="nil"/>
                    <w:tr2bl w:val="nil"/>
                  </w:tcBorders>
                  <w:vAlign w:val="center"/>
                </w:tcPr>
                <w:p w14:paraId="13E6C004">
                  <w:pPr>
                    <w:pStyle w:val="27"/>
                    <w:bidi w:val="0"/>
                    <w:rPr>
                      <w:highlight w:val="none"/>
                      <w:u w:val="none" w:color="auto"/>
                      <w:lang w:eastAsia="zh-CN"/>
                    </w:rPr>
                  </w:pPr>
                </w:p>
              </w:tc>
              <w:tc>
                <w:tcPr>
                  <w:tcW w:w="611" w:type="pct"/>
                  <w:tcBorders>
                    <w:tl2br w:val="nil"/>
                    <w:tr2bl w:val="nil"/>
                  </w:tcBorders>
                  <w:vAlign w:val="center"/>
                </w:tcPr>
                <w:p w14:paraId="51D3185F">
                  <w:pPr>
                    <w:pStyle w:val="27"/>
                    <w:bidi w:val="0"/>
                    <w:rPr>
                      <w:rFonts w:hint="default"/>
                      <w:highlight w:val="none"/>
                      <w:u w:val="none" w:color="auto"/>
                      <w:lang w:val="en-US" w:eastAsia="zh-CN"/>
                    </w:rPr>
                  </w:pPr>
                  <w:r>
                    <w:rPr>
                      <w:rFonts w:hint="eastAsia"/>
                      <w:highlight w:val="none"/>
                      <w:u w:val="none" w:color="auto"/>
                      <w:lang w:val="en-US" w:eastAsia="zh-CN"/>
                    </w:rPr>
                    <w:t>颗粒物</w:t>
                  </w:r>
                </w:p>
              </w:tc>
              <w:tc>
                <w:tcPr>
                  <w:tcW w:w="704" w:type="pct"/>
                  <w:tcBorders>
                    <w:tl2br w:val="nil"/>
                    <w:tr2bl w:val="nil"/>
                  </w:tcBorders>
                  <w:vAlign w:val="center"/>
                </w:tcPr>
                <w:p w14:paraId="1B01EF22">
                  <w:pPr>
                    <w:pStyle w:val="27"/>
                    <w:bidi w:val="0"/>
                    <w:rPr>
                      <w:rFonts w:hint="default"/>
                      <w:highlight w:val="none"/>
                      <w:u w:val="none" w:color="auto"/>
                      <w:lang w:val="en-US" w:eastAsia="zh-CN"/>
                    </w:rPr>
                  </w:pPr>
                  <w:r>
                    <w:rPr>
                      <w:rFonts w:hint="eastAsia"/>
                      <w:highlight w:val="none"/>
                      <w:u w:val="none" w:color="auto"/>
                      <w:lang w:val="en-US" w:eastAsia="zh-CN"/>
                    </w:rPr>
                    <w:t>千克/立方米-原料</w:t>
                  </w:r>
                </w:p>
              </w:tc>
              <w:tc>
                <w:tcPr>
                  <w:tcW w:w="573" w:type="pct"/>
                  <w:tcBorders>
                    <w:tl2br w:val="nil"/>
                    <w:tr2bl w:val="nil"/>
                  </w:tcBorders>
                  <w:vAlign w:val="center"/>
                </w:tcPr>
                <w:p w14:paraId="70F46B3C">
                  <w:pPr>
                    <w:pStyle w:val="27"/>
                    <w:bidi w:val="0"/>
                    <w:rPr>
                      <w:highlight w:val="none"/>
                      <w:u w:val="none" w:color="auto"/>
                      <w:lang w:eastAsia="zh-CN"/>
                    </w:rPr>
                  </w:pPr>
                  <w:r>
                    <w:rPr>
                      <w:highlight w:val="none"/>
                      <w:u w:val="none" w:color="auto"/>
                    </w:rPr>
                    <w:t>0.000220</w:t>
                  </w:r>
                </w:p>
              </w:tc>
              <w:tc>
                <w:tcPr>
                  <w:tcW w:w="487" w:type="pct"/>
                  <w:tcBorders>
                    <w:tl2br w:val="nil"/>
                    <w:tr2bl w:val="nil"/>
                  </w:tcBorders>
                  <w:vAlign w:val="center"/>
                </w:tcPr>
                <w:p w14:paraId="49F6A2B3">
                  <w:pPr>
                    <w:pStyle w:val="27"/>
                    <w:bidi w:val="0"/>
                    <w:rPr>
                      <w:rFonts w:hint="default"/>
                      <w:highlight w:val="none"/>
                      <w:u w:val="none" w:color="auto"/>
                      <w:lang w:val="en-US" w:eastAsia="zh-CN"/>
                    </w:rPr>
                  </w:pPr>
                  <w:r>
                    <w:rPr>
                      <w:rFonts w:hint="eastAsia"/>
                      <w:highlight w:val="none"/>
                      <w:u w:val="none" w:color="auto"/>
                      <w:lang w:val="en-US" w:eastAsia="zh-CN"/>
                    </w:rPr>
                    <w:t>水膜除尘</w:t>
                  </w:r>
                </w:p>
              </w:tc>
              <w:tc>
                <w:tcPr>
                  <w:tcW w:w="460" w:type="pct"/>
                  <w:tcBorders>
                    <w:tl2br w:val="nil"/>
                    <w:tr2bl w:val="nil"/>
                  </w:tcBorders>
                  <w:vAlign w:val="center"/>
                </w:tcPr>
                <w:p w14:paraId="0A09EFD1">
                  <w:pPr>
                    <w:pStyle w:val="27"/>
                    <w:bidi w:val="0"/>
                    <w:rPr>
                      <w:rFonts w:hint="default"/>
                      <w:highlight w:val="none"/>
                      <w:u w:val="none" w:color="auto"/>
                      <w:lang w:val="en-US" w:eastAsia="zh-CN"/>
                    </w:rPr>
                  </w:pPr>
                  <w:r>
                    <w:rPr>
                      <w:rFonts w:hint="eastAsia"/>
                      <w:highlight w:val="none"/>
                      <w:u w:val="none" w:color="auto"/>
                      <w:lang w:val="en-US" w:eastAsia="zh-CN"/>
                    </w:rPr>
                    <w:t>85%</w:t>
                  </w:r>
                </w:p>
              </w:tc>
            </w:tr>
            <w:tr w14:paraId="691F0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vAlign w:val="center"/>
                </w:tcPr>
                <w:p w14:paraId="580A6D17">
                  <w:pPr>
                    <w:pStyle w:val="27"/>
                    <w:bidi w:val="0"/>
                    <w:rPr>
                      <w:highlight w:val="none"/>
                      <w:u w:val="none" w:color="auto"/>
                      <w:lang w:eastAsia="zh-CN"/>
                    </w:rPr>
                  </w:pPr>
                </w:p>
              </w:tc>
              <w:tc>
                <w:tcPr>
                  <w:tcW w:w="294" w:type="pct"/>
                  <w:vMerge w:val="continue"/>
                  <w:tcBorders>
                    <w:tl2br w:val="nil"/>
                    <w:tr2bl w:val="nil"/>
                  </w:tcBorders>
                  <w:vAlign w:val="center"/>
                </w:tcPr>
                <w:p w14:paraId="33FDF29E">
                  <w:pPr>
                    <w:pStyle w:val="27"/>
                    <w:bidi w:val="0"/>
                    <w:rPr>
                      <w:highlight w:val="none"/>
                      <w:u w:val="none" w:color="auto"/>
                      <w:lang w:eastAsia="zh-CN"/>
                    </w:rPr>
                  </w:pPr>
                </w:p>
              </w:tc>
              <w:tc>
                <w:tcPr>
                  <w:tcW w:w="410" w:type="pct"/>
                  <w:vMerge w:val="continue"/>
                  <w:tcBorders>
                    <w:tl2br w:val="nil"/>
                    <w:tr2bl w:val="nil"/>
                  </w:tcBorders>
                  <w:vAlign w:val="center"/>
                </w:tcPr>
                <w:p w14:paraId="18C3E754">
                  <w:pPr>
                    <w:pStyle w:val="27"/>
                    <w:bidi w:val="0"/>
                    <w:rPr>
                      <w:highlight w:val="none"/>
                      <w:u w:val="none" w:color="auto"/>
                      <w:lang w:eastAsia="zh-CN"/>
                    </w:rPr>
                  </w:pPr>
                </w:p>
              </w:tc>
              <w:tc>
                <w:tcPr>
                  <w:tcW w:w="534" w:type="pct"/>
                  <w:vMerge w:val="continue"/>
                  <w:tcBorders>
                    <w:tl2br w:val="nil"/>
                    <w:tr2bl w:val="nil"/>
                  </w:tcBorders>
                  <w:vAlign w:val="center"/>
                </w:tcPr>
                <w:p w14:paraId="0E4C9DE4">
                  <w:pPr>
                    <w:pStyle w:val="27"/>
                    <w:bidi w:val="0"/>
                    <w:rPr>
                      <w:highlight w:val="none"/>
                      <w:u w:val="none" w:color="auto"/>
                      <w:lang w:eastAsia="zh-CN"/>
                    </w:rPr>
                  </w:pPr>
                </w:p>
              </w:tc>
              <w:tc>
                <w:tcPr>
                  <w:tcW w:w="294" w:type="pct"/>
                  <w:vMerge w:val="continue"/>
                  <w:tcBorders>
                    <w:tl2br w:val="nil"/>
                    <w:tr2bl w:val="nil"/>
                  </w:tcBorders>
                  <w:vAlign w:val="center"/>
                </w:tcPr>
                <w:p w14:paraId="2CD003E1">
                  <w:pPr>
                    <w:pStyle w:val="27"/>
                    <w:bidi w:val="0"/>
                    <w:rPr>
                      <w:highlight w:val="none"/>
                      <w:u w:val="none" w:color="auto"/>
                      <w:lang w:eastAsia="zh-CN"/>
                    </w:rPr>
                  </w:pPr>
                </w:p>
              </w:tc>
              <w:tc>
                <w:tcPr>
                  <w:tcW w:w="279" w:type="pct"/>
                  <w:vMerge w:val="continue"/>
                  <w:tcBorders>
                    <w:tl2br w:val="nil"/>
                    <w:tr2bl w:val="nil"/>
                  </w:tcBorders>
                  <w:vAlign w:val="center"/>
                </w:tcPr>
                <w:p w14:paraId="146083AB">
                  <w:pPr>
                    <w:pStyle w:val="27"/>
                    <w:bidi w:val="0"/>
                    <w:rPr>
                      <w:highlight w:val="none"/>
                      <w:u w:val="none" w:color="auto"/>
                      <w:lang w:eastAsia="zh-CN"/>
                    </w:rPr>
                  </w:pPr>
                </w:p>
              </w:tc>
              <w:tc>
                <w:tcPr>
                  <w:tcW w:w="611" w:type="pct"/>
                  <w:tcBorders>
                    <w:tl2br w:val="nil"/>
                    <w:tr2bl w:val="nil"/>
                  </w:tcBorders>
                  <w:vAlign w:val="center"/>
                </w:tcPr>
                <w:p w14:paraId="7098E3F9">
                  <w:pPr>
                    <w:pStyle w:val="27"/>
                    <w:bidi w:val="0"/>
                    <w:rPr>
                      <w:rFonts w:hint="default"/>
                      <w:highlight w:val="none"/>
                      <w:u w:val="none" w:color="auto"/>
                      <w:lang w:val="en-US" w:eastAsia="zh-CN"/>
                    </w:rPr>
                  </w:pPr>
                  <w:r>
                    <w:rPr>
                      <w:rFonts w:hint="eastAsia"/>
                      <w:highlight w:val="none"/>
                      <w:u w:val="none" w:color="auto"/>
                      <w:lang w:val="en-US" w:eastAsia="zh-CN"/>
                    </w:rPr>
                    <w:t>二氧化硫</w:t>
                  </w:r>
                </w:p>
              </w:tc>
              <w:tc>
                <w:tcPr>
                  <w:tcW w:w="704" w:type="pct"/>
                  <w:tcBorders>
                    <w:tl2br w:val="nil"/>
                    <w:tr2bl w:val="nil"/>
                  </w:tcBorders>
                  <w:vAlign w:val="center"/>
                </w:tcPr>
                <w:p w14:paraId="15D2132D">
                  <w:pPr>
                    <w:pStyle w:val="27"/>
                    <w:bidi w:val="0"/>
                    <w:rPr>
                      <w:highlight w:val="none"/>
                      <w:u w:val="none" w:color="auto"/>
                      <w:lang w:eastAsia="zh-CN"/>
                    </w:rPr>
                  </w:pPr>
                  <w:r>
                    <w:rPr>
                      <w:rFonts w:hint="eastAsia"/>
                      <w:highlight w:val="none"/>
                      <w:u w:val="none" w:color="auto"/>
                      <w:lang w:val="en-US" w:eastAsia="zh-CN"/>
                    </w:rPr>
                    <w:t>千克/立方米-原料</w:t>
                  </w:r>
                </w:p>
              </w:tc>
              <w:tc>
                <w:tcPr>
                  <w:tcW w:w="573" w:type="pct"/>
                  <w:tcBorders>
                    <w:tl2br w:val="nil"/>
                    <w:tr2bl w:val="nil"/>
                  </w:tcBorders>
                  <w:vAlign w:val="center"/>
                </w:tcPr>
                <w:p w14:paraId="59750325">
                  <w:pPr>
                    <w:pStyle w:val="27"/>
                    <w:bidi w:val="0"/>
                    <w:rPr>
                      <w:highlight w:val="none"/>
                      <w:u w:val="none" w:color="auto"/>
                      <w:lang w:eastAsia="zh-CN"/>
                    </w:rPr>
                  </w:pPr>
                  <w:r>
                    <w:rPr>
                      <w:rFonts w:hint="eastAsia"/>
                      <w:highlight w:val="none"/>
                      <w:u w:val="none" w:color="auto"/>
                      <w:lang w:val="en-US" w:eastAsia="zh-CN"/>
                    </w:rPr>
                    <w:t>0</w:t>
                  </w:r>
                  <w:r>
                    <w:rPr>
                      <w:highlight w:val="none"/>
                      <w:u w:val="none" w:color="auto"/>
                    </w:rPr>
                    <w:t>.000002s</w:t>
                  </w:r>
                </w:p>
              </w:tc>
              <w:tc>
                <w:tcPr>
                  <w:tcW w:w="487" w:type="pct"/>
                  <w:tcBorders>
                    <w:tl2br w:val="nil"/>
                    <w:tr2bl w:val="nil"/>
                  </w:tcBorders>
                  <w:vAlign w:val="center"/>
                </w:tcPr>
                <w:p w14:paraId="53A5AADC">
                  <w:pPr>
                    <w:pStyle w:val="27"/>
                    <w:bidi w:val="0"/>
                    <w:rPr>
                      <w:rFonts w:hint="default"/>
                      <w:highlight w:val="none"/>
                      <w:u w:val="none" w:color="auto"/>
                      <w:lang w:val="en-US" w:eastAsia="zh-CN"/>
                    </w:rPr>
                  </w:pPr>
                  <w:r>
                    <w:rPr>
                      <w:rFonts w:hint="eastAsia"/>
                      <w:highlight w:val="none"/>
                      <w:u w:val="none" w:color="auto"/>
                      <w:lang w:val="en-US" w:eastAsia="zh-CN"/>
                    </w:rPr>
                    <w:t>直排</w:t>
                  </w:r>
                </w:p>
              </w:tc>
              <w:tc>
                <w:tcPr>
                  <w:tcW w:w="460" w:type="pct"/>
                  <w:tcBorders>
                    <w:tl2br w:val="nil"/>
                    <w:tr2bl w:val="nil"/>
                  </w:tcBorders>
                  <w:vAlign w:val="center"/>
                </w:tcPr>
                <w:p w14:paraId="1E657EF4">
                  <w:pPr>
                    <w:pStyle w:val="27"/>
                    <w:bidi w:val="0"/>
                    <w:rPr>
                      <w:rFonts w:hint="default"/>
                      <w:highlight w:val="none"/>
                      <w:u w:val="none" w:color="auto"/>
                      <w:lang w:val="en-US" w:eastAsia="zh-CN"/>
                    </w:rPr>
                  </w:pPr>
                  <w:r>
                    <w:rPr>
                      <w:rFonts w:hint="eastAsia"/>
                      <w:highlight w:val="none"/>
                      <w:u w:val="none" w:color="auto"/>
                      <w:lang w:val="en-US" w:eastAsia="zh-CN"/>
                    </w:rPr>
                    <w:t>0</w:t>
                  </w:r>
                </w:p>
              </w:tc>
            </w:tr>
            <w:tr w14:paraId="38B42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vAlign w:val="center"/>
                </w:tcPr>
                <w:p w14:paraId="74329861">
                  <w:pPr>
                    <w:pStyle w:val="27"/>
                    <w:bidi w:val="0"/>
                    <w:rPr>
                      <w:highlight w:val="none"/>
                      <w:u w:val="none" w:color="auto"/>
                      <w:lang w:eastAsia="zh-CN"/>
                    </w:rPr>
                  </w:pPr>
                </w:p>
              </w:tc>
              <w:tc>
                <w:tcPr>
                  <w:tcW w:w="294" w:type="pct"/>
                  <w:vMerge w:val="continue"/>
                  <w:tcBorders>
                    <w:tl2br w:val="nil"/>
                    <w:tr2bl w:val="nil"/>
                  </w:tcBorders>
                  <w:vAlign w:val="center"/>
                </w:tcPr>
                <w:p w14:paraId="0959603A">
                  <w:pPr>
                    <w:pStyle w:val="27"/>
                    <w:bidi w:val="0"/>
                    <w:rPr>
                      <w:highlight w:val="none"/>
                      <w:u w:val="none" w:color="auto"/>
                      <w:lang w:eastAsia="zh-CN"/>
                    </w:rPr>
                  </w:pPr>
                </w:p>
              </w:tc>
              <w:tc>
                <w:tcPr>
                  <w:tcW w:w="410" w:type="pct"/>
                  <w:vMerge w:val="continue"/>
                  <w:tcBorders>
                    <w:tl2br w:val="nil"/>
                    <w:tr2bl w:val="nil"/>
                  </w:tcBorders>
                  <w:vAlign w:val="center"/>
                </w:tcPr>
                <w:p w14:paraId="005A17E7">
                  <w:pPr>
                    <w:pStyle w:val="27"/>
                    <w:bidi w:val="0"/>
                    <w:rPr>
                      <w:highlight w:val="none"/>
                      <w:u w:val="none" w:color="auto"/>
                      <w:lang w:eastAsia="zh-CN"/>
                    </w:rPr>
                  </w:pPr>
                </w:p>
              </w:tc>
              <w:tc>
                <w:tcPr>
                  <w:tcW w:w="534" w:type="pct"/>
                  <w:vMerge w:val="continue"/>
                  <w:tcBorders>
                    <w:tl2br w:val="nil"/>
                    <w:tr2bl w:val="nil"/>
                  </w:tcBorders>
                  <w:vAlign w:val="center"/>
                </w:tcPr>
                <w:p w14:paraId="6930C16E">
                  <w:pPr>
                    <w:pStyle w:val="27"/>
                    <w:bidi w:val="0"/>
                    <w:rPr>
                      <w:highlight w:val="none"/>
                      <w:u w:val="none" w:color="auto"/>
                      <w:lang w:eastAsia="zh-CN"/>
                    </w:rPr>
                  </w:pPr>
                </w:p>
              </w:tc>
              <w:tc>
                <w:tcPr>
                  <w:tcW w:w="294" w:type="pct"/>
                  <w:vMerge w:val="continue"/>
                  <w:tcBorders>
                    <w:tl2br w:val="nil"/>
                    <w:tr2bl w:val="nil"/>
                  </w:tcBorders>
                  <w:vAlign w:val="center"/>
                </w:tcPr>
                <w:p w14:paraId="6C3D45F2">
                  <w:pPr>
                    <w:pStyle w:val="27"/>
                    <w:bidi w:val="0"/>
                    <w:rPr>
                      <w:highlight w:val="none"/>
                      <w:u w:val="none" w:color="auto"/>
                      <w:lang w:eastAsia="zh-CN"/>
                    </w:rPr>
                  </w:pPr>
                </w:p>
              </w:tc>
              <w:tc>
                <w:tcPr>
                  <w:tcW w:w="279" w:type="pct"/>
                  <w:vMerge w:val="continue"/>
                  <w:tcBorders>
                    <w:tl2br w:val="nil"/>
                    <w:tr2bl w:val="nil"/>
                  </w:tcBorders>
                  <w:vAlign w:val="center"/>
                </w:tcPr>
                <w:p w14:paraId="749E2573">
                  <w:pPr>
                    <w:pStyle w:val="27"/>
                    <w:bidi w:val="0"/>
                    <w:rPr>
                      <w:highlight w:val="none"/>
                      <w:u w:val="none" w:color="auto"/>
                      <w:lang w:eastAsia="zh-CN"/>
                    </w:rPr>
                  </w:pPr>
                </w:p>
              </w:tc>
              <w:tc>
                <w:tcPr>
                  <w:tcW w:w="611" w:type="pct"/>
                  <w:tcBorders>
                    <w:tl2br w:val="nil"/>
                    <w:tr2bl w:val="nil"/>
                  </w:tcBorders>
                  <w:vAlign w:val="center"/>
                </w:tcPr>
                <w:p w14:paraId="44B94480">
                  <w:pPr>
                    <w:pStyle w:val="27"/>
                    <w:bidi w:val="0"/>
                    <w:rPr>
                      <w:rFonts w:hint="default"/>
                      <w:highlight w:val="none"/>
                      <w:u w:val="none" w:color="auto"/>
                      <w:lang w:val="en-US" w:eastAsia="zh-CN"/>
                    </w:rPr>
                  </w:pPr>
                  <w:r>
                    <w:rPr>
                      <w:rFonts w:hint="eastAsia"/>
                      <w:highlight w:val="none"/>
                      <w:u w:val="none" w:color="auto"/>
                      <w:lang w:val="en-US" w:eastAsia="zh-CN"/>
                    </w:rPr>
                    <w:t>氮氧化物</w:t>
                  </w:r>
                </w:p>
              </w:tc>
              <w:tc>
                <w:tcPr>
                  <w:tcW w:w="704" w:type="pct"/>
                  <w:tcBorders>
                    <w:tl2br w:val="nil"/>
                    <w:tr2bl w:val="nil"/>
                  </w:tcBorders>
                  <w:vAlign w:val="center"/>
                </w:tcPr>
                <w:p w14:paraId="60A91794">
                  <w:pPr>
                    <w:pStyle w:val="27"/>
                    <w:bidi w:val="0"/>
                    <w:rPr>
                      <w:highlight w:val="none"/>
                      <w:u w:val="none" w:color="auto"/>
                      <w:lang w:eastAsia="zh-CN"/>
                    </w:rPr>
                  </w:pPr>
                  <w:r>
                    <w:rPr>
                      <w:rFonts w:hint="eastAsia"/>
                      <w:highlight w:val="none"/>
                      <w:u w:val="none" w:color="auto"/>
                      <w:lang w:val="en-US" w:eastAsia="zh-CN"/>
                    </w:rPr>
                    <w:t>千克/立方米-原料</w:t>
                  </w:r>
                </w:p>
              </w:tc>
              <w:tc>
                <w:tcPr>
                  <w:tcW w:w="573" w:type="pct"/>
                  <w:tcBorders>
                    <w:tl2br w:val="nil"/>
                    <w:tr2bl w:val="nil"/>
                  </w:tcBorders>
                  <w:vAlign w:val="center"/>
                </w:tcPr>
                <w:p w14:paraId="6F313BEC">
                  <w:pPr>
                    <w:pStyle w:val="27"/>
                    <w:bidi w:val="0"/>
                    <w:rPr>
                      <w:highlight w:val="none"/>
                      <w:u w:val="none" w:color="auto"/>
                      <w:lang w:eastAsia="zh-CN"/>
                    </w:rPr>
                  </w:pPr>
                  <w:r>
                    <w:rPr>
                      <w:rFonts w:hint="eastAsia"/>
                      <w:highlight w:val="none"/>
                      <w:u w:val="none" w:color="auto"/>
                      <w:lang w:val="en-US" w:eastAsia="zh-CN"/>
                    </w:rPr>
                    <w:t>0</w:t>
                  </w:r>
                  <w:r>
                    <w:rPr>
                      <w:highlight w:val="none"/>
                      <w:u w:val="none" w:color="auto"/>
                    </w:rPr>
                    <w:t>.00596</w:t>
                  </w:r>
                </w:p>
              </w:tc>
              <w:tc>
                <w:tcPr>
                  <w:tcW w:w="487" w:type="pct"/>
                  <w:tcBorders>
                    <w:tl2br w:val="nil"/>
                    <w:tr2bl w:val="nil"/>
                  </w:tcBorders>
                  <w:vAlign w:val="center"/>
                </w:tcPr>
                <w:p w14:paraId="34CB93DC">
                  <w:pPr>
                    <w:pStyle w:val="27"/>
                    <w:bidi w:val="0"/>
                    <w:rPr>
                      <w:rFonts w:hint="default"/>
                      <w:highlight w:val="none"/>
                      <w:u w:val="none" w:color="auto"/>
                      <w:lang w:val="en-US" w:eastAsia="zh-CN"/>
                    </w:rPr>
                  </w:pPr>
                  <w:r>
                    <w:rPr>
                      <w:rFonts w:hint="eastAsia"/>
                      <w:highlight w:val="none"/>
                      <w:u w:val="none" w:color="auto"/>
                      <w:lang w:val="en-US" w:eastAsia="zh-CN"/>
                    </w:rPr>
                    <w:t>直排</w:t>
                  </w:r>
                </w:p>
              </w:tc>
              <w:tc>
                <w:tcPr>
                  <w:tcW w:w="460" w:type="pct"/>
                  <w:tcBorders>
                    <w:tl2br w:val="nil"/>
                    <w:tr2bl w:val="nil"/>
                  </w:tcBorders>
                  <w:vAlign w:val="center"/>
                </w:tcPr>
                <w:p w14:paraId="47FA6023">
                  <w:pPr>
                    <w:pStyle w:val="27"/>
                    <w:bidi w:val="0"/>
                    <w:rPr>
                      <w:rFonts w:hint="default"/>
                      <w:highlight w:val="none"/>
                      <w:u w:val="none" w:color="auto"/>
                      <w:lang w:val="en-US" w:eastAsia="zh-CN"/>
                    </w:rPr>
                  </w:pPr>
                  <w:r>
                    <w:rPr>
                      <w:rFonts w:hint="eastAsia"/>
                      <w:highlight w:val="none"/>
                      <w:u w:val="none" w:color="auto"/>
                      <w:lang w:val="en-US" w:eastAsia="zh-CN"/>
                    </w:rPr>
                    <w:t>0</w:t>
                  </w:r>
                </w:p>
              </w:tc>
            </w:tr>
          </w:tbl>
          <w:p w14:paraId="772B9F39">
            <w:pPr>
              <w:pStyle w:val="27"/>
              <w:bidi w:val="0"/>
              <w:jc w:val="both"/>
              <w:rPr>
                <w:rFonts w:hint="default"/>
                <w:highlight w:val="none"/>
                <w:u w:val="none" w:color="auto"/>
                <w:lang w:val="en-US" w:eastAsia="zh-CN"/>
              </w:rPr>
            </w:pPr>
            <w:r>
              <w:rPr>
                <w:rFonts w:hint="eastAsia"/>
                <w:highlight w:val="none"/>
                <w:u w:val="none" w:color="auto"/>
                <w:lang w:val="en-US" w:eastAsia="zh-CN"/>
              </w:rPr>
              <w:t>注：S-收到基硫分（取值范围0-100，燃料为气体时，取值范围&gt;0），本项目按最不利情况取值，S=100。</w:t>
            </w:r>
          </w:p>
          <w:p w14:paraId="27CF1967">
            <w:pPr>
              <w:pStyle w:val="25"/>
              <w:bidi w:val="0"/>
              <w:rPr>
                <w:highlight w:val="none"/>
                <w:u w:val="none" w:color="auto"/>
              </w:rPr>
            </w:pPr>
            <w:r>
              <w:rPr>
                <w:highlight w:val="none"/>
                <w:u w:val="none" w:color="auto"/>
              </w:rPr>
              <w:t>本项目</w:t>
            </w:r>
            <w:r>
              <w:rPr>
                <w:rFonts w:hint="eastAsia"/>
                <w:highlight w:val="none"/>
                <w:u w:val="none" w:color="auto"/>
                <w:lang w:val="en-US" w:eastAsia="zh-CN"/>
              </w:rPr>
              <w:t>2台</w:t>
            </w:r>
            <w:r>
              <w:rPr>
                <w:highlight w:val="none"/>
                <w:u w:val="none" w:color="auto"/>
              </w:rPr>
              <w:t>焚烧炉发热量为</w:t>
            </w:r>
            <w:r>
              <w:rPr>
                <w:rFonts w:hint="eastAsia"/>
                <w:highlight w:val="none"/>
                <w:u w:val="none" w:color="auto"/>
                <w:lang w:val="en-US" w:eastAsia="zh-CN"/>
              </w:rPr>
              <w:t>30</w:t>
            </w:r>
            <w:r>
              <w:rPr>
                <w:highlight w:val="none"/>
                <w:u w:val="none" w:color="auto"/>
              </w:rPr>
              <w:t>万大卡</w:t>
            </w:r>
            <w:r>
              <w:rPr>
                <w:rFonts w:hint="eastAsia"/>
                <w:highlight w:val="none"/>
                <w:u w:val="none" w:color="auto"/>
                <w:lang w:val="en-US" w:eastAsia="zh-CN"/>
              </w:rPr>
              <w:t>/小时（单台15万大卡/小时）</w:t>
            </w:r>
            <w:r>
              <w:rPr>
                <w:highlight w:val="none"/>
                <w:u w:val="none" w:color="auto"/>
              </w:rPr>
              <w:t>，工作时间为300天/年，每天8小时，液化石油气最大使用量为</w:t>
            </w:r>
            <w:r>
              <w:rPr>
                <w:rStyle w:val="35"/>
                <w:rFonts w:hint="default"/>
                <w:highlight w:val="none"/>
                <w:u w:val="none" w:color="auto"/>
              </w:rPr>
              <w:t>28800</w:t>
            </w:r>
            <w:r>
              <w:rPr>
                <w:rFonts w:hint="eastAsia"/>
                <w:highlight w:val="none"/>
                <w:u w:val="none" w:color="auto"/>
                <w:lang w:val="en-US" w:eastAsia="zh-CN"/>
              </w:rPr>
              <w:t>m</w:t>
            </w:r>
            <w:r>
              <w:rPr>
                <w:rFonts w:hint="eastAsia"/>
                <w:highlight w:val="none"/>
                <w:u w:val="none" w:color="auto"/>
                <w:vertAlign w:val="superscript"/>
                <w:lang w:val="en-US" w:eastAsia="zh-CN"/>
              </w:rPr>
              <w:t>3</w:t>
            </w:r>
            <w:r>
              <w:rPr>
                <w:highlight w:val="none"/>
                <w:u w:val="none" w:color="auto"/>
              </w:rPr>
              <w:t>/a，由此推算烟气量、SO</w:t>
            </w:r>
            <w:r>
              <w:rPr>
                <w:highlight w:val="none"/>
                <w:u w:val="none" w:color="auto"/>
                <w:vertAlign w:val="subscript"/>
              </w:rPr>
              <w:t>2</w:t>
            </w:r>
            <w:r>
              <w:rPr>
                <w:highlight w:val="none"/>
                <w:u w:val="none" w:color="auto"/>
              </w:rPr>
              <w:t>、NO</w:t>
            </w:r>
            <w:r>
              <w:rPr>
                <w:highlight w:val="none"/>
                <w:u w:val="none" w:color="auto"/>
                <w:vertAlign w:val="subscript"/>
              </w:rPr>
              <w:t>X</w:t>
            </w:r>
            <w:r>
              <w:rPr>
                <w:highlight w:val="none"/>
                <w:u w:val="none" w:color="auto"/>
              </w:rPr>
              <w:t>等产生量见下表：</w:t>
            </w:r>
          </w:p>
          <w:p w14:paraId="7D58E4D4">
            <w:pPr>
              <w:pStyle w:val="27"/>
              <w:bidi w:val="0"/>
              <w:rPr>
                <w:rFonts w:hint="eastAsia" w:eastAsia="宋体"/>
                <w:b/>
                <w:bCs/>
                <w:highlight w:val="none"/>
                <w:u w:val="none" w:color="auto"/>
                <w:lang w:val="en-US" w:eastAsia="zh-CN"/>
              </w:rPr>
            </w:pPr>
            <w:r>
              <w:rPr>
                <w:rFonts w:hint="eastAsia"/>
                <w:b/>
                <w:bCs/>
                <w:highlight w:val="none"/>
                <w:u w:val="none" w:color="auto"/>
                <w:lang w:val="en-US" w:eastAsia="zh-CN"/>
              </w:rPr>
              <w:t xml:space="preserve">表4-2   </w:t>
            </w:r>
            <w:r>
              <w:rPr>
                <w:b/>
                <w:bCs/>
                <w:highlight w:val="none"/>
                <w:u w:val="none" w:color="auto"/>
              </w:rPr>
              <w:t>焚烧炉大气污染物产排情况一览表</w:t>
            </w:r>
            <w:r>
              <w:rPr>
                <w:rFonts w:hint="eastAsia" w:eastAsia="宋体"/>
                <w:b/>
                <w:bCs/>
                <w:highlight w:val="none"/>
                <w:u w:val="none" w:color="auto"/>
                <w:lang w:eastAsia="zh-CN"/>
              </w:rPr>
              <w:t>（</w:t>
            </w:r>
            <w:r>
              <w:rPr>
                <w:rFonts w:hint="eastAsia" w:eastAsia="宋体"/>
                <w:b/>
                <w:bCs/>
                <w:highlight w:val="none"/>
                <w:u w:val="none" w:color="auto"/>
                <w:lang w:val="en-US" w:eastAsia="zh-CN"/>
              </w:rPr>
              <w:t>一</w:t>
            </w:r>
            <w:r>
              <w:rPr>
                <w:rFonts w:hint="eastAsia" w:eastAsia="宋体"/>
                <w:b/>
                <w:bCs/>
                <w:highlight w:val="none"/>
                <w:u w:val="none" w:color="auto"/>
                <w:lang w:eastAsia="zh-CN"/>
              </w:rPr>
              <w:t>）</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002"/>
              <w:gridCol w:w="820"/>
              <w:gridCol w:w="971"/>
              <w:gridCol w:w="666"/>
              <w:gridCol w:w="1061"/>
              <w:gridCol w:w="971"/>
              <w:gridCol w:w="920"/>
              <w:gridCol w:w="756"/>
            </w:tblGrid>
            <w:tr w14:paraId="16D1D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9" w:type="pct"/>
                  <w:tcBorders>
                    <w:tl2br w:val="nil"/>
                    <w:tr2bl w:val="nil"/>
                  </w:tcBorders>
                  <w:vAlign w:val="center"/>
                </w:tcPr>
                <w:p w14:paraId="4F38D358">
                  <w:pPr>
                    <w:pStyle w:val="30"/>
                    <w:bidi w:val="0"/>
                    <w:jc w:val="center"/>
                    <w:rPr>
                      <w:rFonts w:hint="default"/>
                      <w:b/>
                      <w:bCs/>
                      <w:highlight w:val="none"/>
                      <w:u w:val="none" w:color="auto"/>
                    </w:rPr>
                  </w:pPr>
                  <w:r>
                    <w:rPr>
                      <w:rFonts w:hint="default"/>
                      <w:b/>
                      <w:bCs/>
                      <w:highlight w:val="none"/>
                      <w:u w:val="none" w:color="auto"/>
                    </w:rPr>
                    <w:t>污染物指标</w:t>
                  </w:r>
                </w:p>
              </w:tc>
              <w:tc>
                <w:tcPr>
                  <w:tcW w:w="629" w:type="pct"/>
                  <w:tcBorders>
                    <w:tl2br w:val="nil"/>
                    <w:tr2bl w:val="nil"/>
                  </w:tcBorders>
                  <w:vAlign w:val="center"/>
                </w:tcPr>
                <w:p w14:paraId="741DAC02">
                  <w:pPr>
                    <w:pStyle w:val="30"/>
                    <w:bidi w:val="0"/>
                    <w:jc w:val="center"/>
                    <w:rPr>
                      <w:rFonts w:hint="default"/>
                      <w:b/>
                      <w:bCs/>
                      <w:highlight w:val="none"/>
                      <w:u w:val="none" w:color="auto"/>
                    </w:rPr>
                  </w:pPr>
                  <w:r>
                    <w:rPr>
                      <w:rFonts w:hint="default"/>
                      <w:b/>
                      <w:bCs/>
                      <w:highlight w:val="none"/>
                      <w:u w:val="none" w:color="auto"/>
                    </w:rPr>
                    <w:t>污染物产生量t/a</w:t>
                  </w:r>
                </w:p>
              </w:tc>
              <w:tc>
                <w:tcPr>
                  <w:tcW w:w="515" w:type="pct"/>
                  <w:tcBorders>
                    <w:tl2br w:val="nil"/>
                    <w:tr2bl w:val="nil"/>
                  </w:tcBorders>
                  <w:vAlign w:val="center"/>
                </w:tcPr>
                <w:p w14:paraId="129FB900">
                  <w:pPr>
                    <w:pStyle w:val="30"/>
                    <w:bidi w:val="0"/>
                    <w:jc w:val="center"/>
                    <w:rPr>
                      <w:rFonts w:hint="default"/>
                      <w:b/>
                      <w:bCs/>
                      <w:highlight w:val="none"/>
                      <w:u w:val="none" w:color="auto"/>
                    </w:rPr>
                  </w:pPr>
                  <w:r>
                    <w:rPr>
                      <w:rFonts w:hint="default"/>
                      <w:b/>
                      <w:bCs/>
                      <w:highlight w:val="none"/>
                      <w:u w:val="none" w:color="auto"/>
                    </w:rPr>
                    <w:t>产生浓度mg/m</w:t>
                  </w:r>
                  <w:r>
                    <w:rPr>
                      <w:rFonts w:hint="default"/>
                      <w:b/>
                      <w:bCs/>
                      <w:highlight w:val="none"/>
                      <w:u w:val="none" w:color="auto"/>
                      <w:vertAlign w:val="superscript"/>
                    </w:rPr>
                    <w:t>3</w:t>
                  </w:r>
                </w:p>
              </w:tc>
              <w:tc>
                <w:tcPr>
                  <w:tcW w:w="610" w:type="pct"/>
                  <w:tcBorders>
                    <w:tl2br w:val="nil"/>
                    <w:tr2bl w:val="nil"/>
                  </w:tcBorders>
                  <w:vAlign w:val="center"/>
                </w:tcPr>
                <w:p w14:paraId="708FED40">
                  <w:pPr>
                    <w:pStyle w:val="30"/>
                    <w:bidi w:val="0"/>
                    <w:jc w:val="center"/>
                    <w:rPr>
                      <w:rFonts w:hint="default"/>
                      <w:b/>
                      <w:bCs/>
                      <w:highlight w:val="none"/>
                      <w:u w:val="none" w:color="auto"/>
                    </w:rPr>
                  </w:pPr>
                  <w:r>
                    <w:rPr>
                      <w:rFonts w:hint="default"/>
                      <w:b/>
                      <w:bCs/>
                      <w:highlight w:val="none"/>
                      <w:u w:val="none" w:color="auto"/>
                    </w:rPr>
                    <w:t>治理措施</w:t>
                  </w:r>
                </w:p>
              </w:tc>
              <w:tc>
                <w:tcPr>
                  <w:tcW w:w="418" w:type="pct"/>
                  <w:tcBorders>
                    <w:tl2br w:val="nil"/>
                    <w:tr2bl w:val="nil"/>
                  </w:tcBorders>
                  <w:vAlign w:val="center"/>
                </w:tcPr>
                <w:p w14:paraId="4E531318">
                  <w:pPr>
                    <w:pStyle w:val="30"/>
                    <w:bidi w:val="0"/>
                    <w:jc w:val="center"/>
                    <w:rPr>
                      <w:rFonts w:hint="default"/>
                      <w:b/>
                      <w:bCs/>
                      <w:highlight w:val="none"/>
                      <w:u w:val="none" w:color="auto"/>
                    </w:rPr>
                  </w:pPr>
                  <w:r>
                    <w:rPr>
                      <w:rFonts w:hint="default"/>
                      <w:b/>
                      <w:bCs/>
                      <w:highlight w:val="none"/>
                      <w:u w:val="none" w:color="auto"/>
                    </w:rPr>
                    <w:t>去除效率</w:t>
                  </w:r>
                </w:p>
              </w:tc>
              <w:tc>
                <w:tcPr>
                  <w:tcW w:w="666" w:type="pct"/>
                  <w:tcBorders>
                    <w:tl2br w:val="nil"/>
                    <w:tr2bl w:val="nil"/>
                  </w:tcBorders>
                  <w:vAlign w:val="center"/>
                </w:tcPr>
                <w:p w14:paraId="0CD88E6C">
                  <w:pPr>
                    <w:pStyle w:val="30"/>
                    <w:bidi w:val="0"/>
                    <w:jc w:val="center"/>
                    <w:rPr>
                      <w:rFonts w:hint="default"/>
                      <w:b/>
                      <w:bCs/>
                      <w:highlight w:val="none"/>
                      <w:u w:val="none" w:color="auto"/>
                    </w:rPr>
                  </w:pPr>
                  <w:r>
                    <w:rPr>
                      <w:rFonts w:hint="default"/>
                      <w:b/>
                      <w:bCs/>
                      <w:highlight w:val="none"/>
                      <w:u w:val="none" w:color="auto"/>
                    </w:rPr>
                    <w:t>污染物排放量t/a</w:t>
                  </w:r>
                </w:p>
              </w:tc>
              <w:tc>
                <w:tcPr>
                  <w:tcW w:w="610" w:type="pct"/>
                  <w:tcBorders>
                    <w:tl2br w:val="nil"/>
                    <w:tr2bl w:val="nil"/>
                  </w:tcBorders>
                  <w:vAlign w:val="center"/>
                </w:tcPr>
                <w:p w14:paraId="4F16F1D7">
                  <w:pPr>
                    <w:pStyle w:val="30"/>
                    <w:bidi w:val="0"/>
                    <w:jc w:val="center"/>
                    <w:rPr>
                      <w:rFonts w:hint="default"/>
                      <w:b/>
                      <w:bCs/>
                      <w:highlight w:val="none"/>
                      <w:u w:val="none" w:color="auto"/>
                    </w:rPr>
                  </w:pPr>
                  <w:r>
                    <w:rPr>
                      <w:rFonts w:hint="default"/>
                      <w:b/>
                      <w:bCs/>
                      <w:highlight w:val="none"/>
                      <w:u w:val="none" w:color="auto"/>
                    </w:rPr>
                    <w:t>排放浓度mg/m</w:t>
                  </w:r>
                  <w:r>
                    <w:rPr>
                      <w:rFonts w:hint="default"/>
                      <w:b/>
                      <w:bCs/>
                      <w:highlight w:val="none"/>
                      <w:u w:val="none" w:color="auto"/>
                      <w:vertAlign w:val="superscript"/>
                    </w:rPr>
                    <w:t>3</w:t>
                  </w:r>
                </w:p>
              </w:tc>
              <w:tc>
                <w:tcPr>
                  <w:tcW w:w="578" w:type="pct"/>
                  <w:tcBorders>
                    <w:tl2br w:val="nil"/>
                    <w:tr2bl w:val="nil"/>
                  </w:tcBorders>
                  <w:vAlign w:val="center"/>
                </w:tcPr>
                <w:p w14:paraId="0CA41B18">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排放速率</w:t>
                  </w:r>
                </w:p>
              </w:tc>
              <w:tc>
                <w:tcPr>
                  <w:tcW w:w="470" w:type="pct"/>
                  <w:tcBorders>
                    <w:tl2br w:val="nil"/>
                    <w:tr2bl w:val="nil"/>
                  </w:tcBorders>
                  <w:vAlign w:val="center"/>
                </w:tcPr>
                <w:p w14:paraId="7A0E506F">
                  <w:pPr>
                    <w:pStyle w:val="30"/>
                    <w:bidi w:val="0"/>
                    <w:jc w:val="center"/>
                    <w:rPr>
                      <w:rFonts w:hint="default"/>
                      <w:b/>
                      <w:bCs/>
                      <w:highlight w:val="none"/>
                      <w:u w:val="none" w:color="auto"/>
                      <w:lang w:val="en-US" w:eastAsia="zh-CN"/>
                    </w:rPr>
                  </w:pPr>
                  <w:r>
                    <w:rPr>
                      <w:rFonts w:hint="default"/>
                      <w:b/>
                      <w:bCs/>
                      <w:highlight w:val="none"/>
                      <w:u w:val="none" w:color="auto"/>
                      <w:lang w:val="en-US" w:eastAsia="zh-CN"/>
                    </w:rPr>
                    <w:t>排放时间</w:t>
                  </w:r>
                </w:p>
              </w:tc>
            </w:tr>
            <w:tr w14:paraId="1DF37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9" w:type="pct"/>
                  <w:tcBorders>
                    <w:tl2br w:val="nil"/>
                    <w:tr2bl w:val="nil"/>
                  </w:tcBorders>
                  <w:vAlign w:val="center"/>
                </w:tcPr>
                <w:p w14:paraId="62DE5949">
                  <w:pPr>
                    <w:pStyle w:val="30"/>
                    <w:bidi w:val="0"/>
                    <w:jc w:val="center"/>
                    <w:rPr>
                      <w:rFonts w:hint="default"/>
                      <w:highlight w:val="none"/>
                      <w:u w:val="none" w:color="auto"/>
                    </w:rPr>
                  </w:pPr>
                  <w:r>
                    <w:rPr>
                      <w:rFonts w:hint="default"/>
                      <w:highlight w:val="none"/>
                      <w:u w:val="none" w:color="auto"/>
                    </w:rPr>
                    <w:t>SO</w:t>
                  </w:r>
                  <w:r>
                    <w:rPr>
                      <w:rFonts w:hint="default"/>
                      <w:highlight w:val="none"/>
                      <w:u w:val="none" w:color="auto"/>
                      <w:vertAlign w:val="subscript"/>
                    </w:rPr>
                    <w:t>2</w:t>
                  </w:r>
                </w:p>
              </w:tc>
              <w:tc>
                <w:tcPr>
                  <w:tcW w:w="629" w:type="pct"/>
                  <w:tcBorders>
                    <w:tl2br w:val="nil"/>
                    <w:tr2bl w:val="nil"/>
                  </w:tcBorders>
                  <w:vAlign w:val="center"/>
                </w:tcPr>
                <w:p w14:paraId="07927AAC">
                  <w:pPr>
                    <w:pStyle w:val="30"/>
                    <w:bidi w:val="0"/>
                    <w:jc w:val="center"/>
                    <w:rPr>
                      <w:rFonts w:hint="default"/>
                      <w:highlight w:val="none"/>
                      <w:u w:val="none" w:color="auto"/>
                      <w:lang w:val="en-US" w:eastAsia="zh-CN"/>
                    </w:rPr>
                  </w:pPr>
                  <w:r>
                    <w:rPr>
                      <w:highlight w:val="none"/>
                      <w:u w:val="none" w:color="auto"/>
                      <w:lang w:val="en-US" w:eastAsia="zh-CN"/>
                    </w:rPr>
                    <w:t>0.00197</w:t>
                  </w:r>
                </w:p>
              </w:tc>
              <w:tc>
                <w:tcPr>
                  <w:tcW w:w="515" w:type="pct"/>
                  <w:tcBorders>
                    <w:tl2br w:val="nil"/>
                    <w:tr2bl w:val="nil"/>
                  </w:tcBorders>
                  <w:vAlign w:val="center"/>
                </w:tcPr>
                <w:p w14:paraId="28EFC705">
                  <w:pPr>
                    <w:pStyle w:val="30"/>
                    <w:bidi w:val="0"/>
                    <w:jc w:val="center"/>
                    <w:rPr>
                      <w:rFonts w:hint="default"/>
                      <w:highlight w:val="none"/>
                      <w:u w:val="none" w:color="auto"/>
                      <w:lang w:val="en-US" w:eastAsia="zh-CN"/>
                    </w:rPr>
                  </w:pPr>
                  <w:r>
                    <w:rPr>
                      <w:highlight w:val="none"/>
                      <w:u w:val="none" w:color="auto"/>
                      <w:lang w:val="en-US" w:eastAsia="zh-CN"/>
                    </w:rPr>
                    <w:t>0.164</w:t>
                  </w:r>
                </w:p>
              </w:tc>
              <w:tc>
                <w:tcPr>
                  <w:tcW w:w="610" w:type="pct"/>
                  <w:tcBorders>
                    <w:tl2br w:val="nil"/>
                    <w:tr2bl w:val="nil"/>
                  </w:tcBorders>
                  <w:vAlign w:val="center"/>
                </w:tcPr>
                <w:p w14:paraId="38025385">
                  <w:pPr>
                    <w:pStyle w:val="30"/>
                    <w:bidi w:val="0"/>
                    <w:jc w:val="center"/>
                    <w:rPr>
                      <w:rFonts w:hint="default"/>
                      <w:highlight w:val="none"/>
                      <w:u w:val="none" w:color="auto"/>
                      <w:lang w:val="en-US" w:eastAsia="zh-CN"/>
                    </w:rPr>
                  </w:pPr>
                  <w:r>
                    <w:rPr>
                      <w:rFonts w:hint="default"/>
                      <w:highlight w:val="none"/>
                      <w:u w:val="none" w:color="auto"/>
                      <w:lang w:val="en-US" w:eastAsia="zh-CN"/>
                    </w:rPr>
                    <w:t>/</w:t>
                  </w:r>
                </w:p>
              </w:tc>
              <w:tc>
                <w:tcPr>
                  <w:tcW w:w="418" w:type="pct"/>
                  <w:tcBorders>
                    <w:tl2br w:val="nil"/>
                    <w:tr2bl w:val="nil"/>
                  </w:tcBorders>
                  <w:vAlign w:val="center"/>
                </w:tcPr>
                <w:p w14:paraId="616DC8B5">
                  <w:pPr>
                    <w:pStyle w:val="30"/>
                    <w:bidi w:val="0"/>
                    <w:jc w:val="center"/>
                    <w:rPr>
                      <w:rFonts w:hint="default"/>
                      <w:highlight w:val="none"/>
                      <w:u w:val="none" w:color="auto"/>
                      <w:lang w:val="en-US" w:eastAsia="zh-CN"/>
                    </w:rPr>
                  </w:pPr>
                  <w:r>
                    <w:rPr>
                      <w:rFonts w:hint="default"/>
                      <w:highlight w:val="none"/>
                      <w:u w:val="none" w:color="auto"/>
                      <w:lang w:val="en-US" w:eastAsia="zh-CN"/>
                    </w:rPr>
                    <w:t>/</w:t>
                  </w:r>
                </w:p>
              </w:tc>
              <w:tc>
                <w:tcPr>
                  <w:tcW w:w="666" w:type="pct"/>
                  <w:tcBorders>
                    <w:tl2br w:val="nil"/>
                    <w:tr2bl w:val="nil"/>
                  </w:tcBorders>
                  <w:vAlign w:val="center"/>
                </w:tcPr>
                <w:p w14:paraId="6CE42978">
                  <w:pPr>
                    <w:pStyle w:val="30"/>
                    <w:bidi w:val="0"/>
                    <w:jc w:val="center"/>
                    <w:rPr>
                      <w:rFonts w:hint="default"/>
                      <w:highlight w:val="none"/>
                      <w:u w:val="none" w:color="auto"/>
                      <w:lang w:val="en-US" w:eastAsia="zh-CN"/>
                    </w:rPr>
                  </w:pPr>
                  <w:r>
                    <w:rPr>
                      <w:highlight w:val="none"/>
                      <w:u w:val="none" w:color="auto"/>
                      <w:lang w:val="en-US" w:eastAsia="zh-CN"/>
                    </w:rPr>
                    <w:t>0.00197</w:t>
                  </w:r>
                </w:p>
              </w:tc>
              <w:tc>
                <w:tcPr>
                  <w:tcW w:w="610" w:type="pct"/>
                  <w:tcBorders>
                    <w:tl2br w:val="nil"/>
                    <w:tr2bl w:val="nil"/>
                  </w:tcBorders>
                  <w:vAlign w:val="center"/>
                </w:tcPr>
                <w:p w14:paraId="4CFFDC5D">
                  <w:pPr>
                    <w:pStyle w:val="30"/>
                    <w:bidi w:val="0"/>
                    <w:jc w:val="center"/>
                    <w:rPr>
                      <w:rFonts w:hint="default"/>
                      <w:highlight w:val="none"/>
                      <w:u w:val="none" w:color="auto"/>
                      <w:lang w:val="en-US" w:eastAsia="zh-CN"/>
                    </w:rPr>
                  </w:pPr>
                  <w:r>
                    <w:rPr>
                      <w:highlight w:val="none"/>
                      <w:u w:val="none" w:color="auto"/>
                      <w:lang w:val="en-US" w:eastAsia="zh-CN"/>
                    </w:rPr>
                    <w:t>0.164</w:t>
                  </w:r>
                </w:p>
              </w:tc>
              <w:tc>
                <w:tcPr>
                  <w:tcW w:w="578" w:type="pct"/>
                  <w:tcBorders>
                    <w:tl2br w:val="nil"/>
                    <w:tr2bl w:val="nil"/>
                  </w:tcBorders>
                  <w:vAlign w:val="center"/>
                </w:tcPr>
                <w:p w14:paraId="7F75E7DA">
                  <w:pPr>
                    <w:pStyle w:val="30"/>
                    <w:bidi w:val="0"/>
                    <w:jc w:val="center"/>
                    <w:rPr>
                      <w:rFonts w:hint="default"/>
                      <w:highlight w:val="none"/>
                      <w:u w:val="none" w:color="auto"/>
                      <w:lang w:val="en-US" w:eastAsia="zh-CN"/>
                    </w:rPr>
                  </w:pPr>
                  <w:r>
                    <w:rPr>
                      <w:highlight w:val="none"/>
                      <w:u w:val="none" w:color="auto"/>
                      <w:lang w:val="en-US" w:eastAsia="zh-CN"/>
                    </w:rPr>
                    <w:t>0.00082</w:t>
                  </w:r>
                </w:p>
              </w:tc>
              <w:tc>
                <w:tcPr>
                  <w:tcW w:w="470" w:type="pct"/>
                  <w:vMerge w:val="restart"/>
                  <w:tcBorders>
                    <w:tl2br w:val="nil"/>
                    <w:tr2bl w:val="nil"/>
                  </w:tcBorders>
                  <w:vAlign w:val="center"/>
                </w:tcPr>
                <w:p w14:paraId="166258A9">
                  <w:pPr>
                    <w:pStyle w:val="30"/>
                    <w:bidi w:val="0"/>
                    <w:jc w:val="center"/>
                    <w:rPr>
                      <w:rFonts w:hint="default"/>
                      <w:highlight w:val="none"/>
                      <w:u w:val="none" w:color="auto"/>
                      <w:lang w:val="en-US" w:eastAsia="zh-CN"/>
                    </w:rPr>
                  </w:pPr>
                  <w:r>
                    <w:rPr>
                      <w:rFonts w:hint="default"/>
                      <w:highlight w:val="none"/>
                      <w:u w:val="none" w:color="auto"/>
                      <w:lang w:val="en-US" w:eastAsia="zh-CN"/>
                    </w:rPr>
                    <w:t>2400</w:t>
                  </w:r>
                </w:p>
              </w:tc>
            </w:tr>
            <w:tr w14:paraId="500CF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99" w:type="pct"/>
                  <w:tcBorders>
                    <w:tl2br w:val="nil"/>
                    <w:tr2bl w:val="nil"/>
                  </w:tcBorders>
                  <w:vAlign w:val="center"/>
                </w:tcPr>
                <w:p w14:paraId="354C43B3">
                  <w:pPr>
                    <w:pStyle w:val="30"/>
                    <w:bidi w:val="0"/>
                    <w:jc w:val="center"/>
                    <w:rPr>
                      <w:rFonts w:hint="default"/>
                      <w:highlight w:val="none"/>
                      <w:u w:val="none" w:color="auto"/>
                      <w:lang w:eastAsia="zh-CN"/>
                    </w:rPr>
                  </w:pPr>
                  <w:r>
                    <w:rPr>
                      <w:rFonts w:hint="default"/>
                      <w:highlight w:val="none"/>
                      <w:u w:val="none" w:color="auto"/>
                    </w:rPr>
                    <w:t>颗粒物</w:t>
                  </w:r>
                  <w:r>
                    <w:rPr>
                      <w:rFonts w:hint="default"/>
                      <w:highlight w:val="none"/>
                      <w:u w:val="none" w:color="auto"/>
                      <w:lang w:eastAsia="zh-CN"/>
                    </w:rPr>
                    <w:t>（</w:t>
                  </w:r>
                  <w:r>
                    <w:rPr>
                      <w:rFonts w:hint="default"/>
                      <w:highlight w:val="none"/>
                      <w:u w:val="none" w:color="auto"/>
                      <w:lang w:val="en-US" w:eastAsia="zh-CN"/>
                    </w:rPr>
                    <w:t>燃料尘</w:t>
                  </w:r>
                  <w:r>
                    <w:rPr>
                      <w:rFonts w:hint="default"/>
                      <w:highlight w:val="none"/>
                      <w:u w:val="none" w:color="auto"/>
                      <w:lang w:eastAsia="zh-CN"/>
                    </w:rPr>
                    <w:t>）</w:t>
                  </w:r>
                </w:p>
              </w:tc>
              <w:tc>
                <w:tcPr>
                  <w:tcW w:w="629" w:type="pct"/>
                  <w:tcBorders>
                    <w:tl2br w:val="nil"/>
                    <w:tr2bl w:val="nil"/>
                  </w:tcBorders>
                  <w:vAlign w:val="center"/>
                </w:tcPr>
                <w:p w14:paraId="7D86F2A1">
                  <w:pPr>
                    <w:pStyle w:val="30"/>
                    <w:bidi w:val="0"/>
                    <w:jc w:val="center"/>
                    <w:rPr>
                      <w:rFonts w:hint="default"/>
                      <w:highlight w:val="none"/>
                      <w:u w:val="none" w:color="auto"/>
                      <w:lang w:val="en-US" w:eastAsia="zh-CN"/>
                    </w:rPr>
                  </w:pPr>
                  <w:r>
                    <w:rPr>
                      <w:highlight w:val="none"/>
                      <w:u w:val="none" w:color="auto"/>
                      <w:lang w:val="en-US" w:eastAsia="zh-CN"/>
                    </w:rPr>
                    <w:t>0.00634</w:t>
                  </w:r>
                </w:p>
              </w:tc>
              <w:tc>
                <w:tcPr>
                  <w:tcW w:w="515" w:type="pct"/>
                  <w:tcBorders>
                    <w:tl2br w:val="nil"/>
                    <w:tr2bl w:val="nil"/>
                  </w:tcBorders>
                  <w:vAlign w:val="center"/>
                </w:tcPr>
                <w:p w14:paraId="687D5C04">
                  <w:pPr>
                    <w:pStyle w:val="30"/>
                    <w:bidi w:val="0"/>
                    <w:jc w:val="center"/>
                    <w:rPr>
                      <w:rFonts w:hint="default"/>
                      <w:highlight w:val="none"/>
                      <w:u w:val="none" w:color="auto"/>
                      <w:lang w:val="en-US" w:eastAsia="zh-CN"/>
                    </w:rPr>
                  </w:pPr>
                  <w:r>
                    <w:rPr>
                      <w:highlight w:val="none"/>
                      <w:u w:val="none" w:color="auto"/>
                      <w:lang w:val="en-US" w:eastAsia="zh-CN"/>
                    </w:rPr>
                    <w:t>0.528</w:t>
                  </w:r>
                </w:p>
              </w:tc>
              <w:tc>
                <w:tcPr>
                  <w:tcW w:w="610" w:type="pct"/>
                  <w:tcBorders>
                    <w:tl2br w:val="nil"/>
                    <w:tr2bl w:val="nil"/>
                  </w:tcBorders>
                  <w:vAlign w:val="center"/>
                </w:tcPr>
                <w:p w14:paraId="0A76EC36">
                  <w:pPr>
                    <w:pStyle w:val="30"/>
                    <w:bidi w:val="0"/>
                    <w:jc w:val="center"/>
                    <w:rPr>
                      <w:rFonts w:hint="default"/>
                      <w:highlight w:val="none"/>
                      <w:u w:val="none" w:color="auto"/>
                      <w:lang w:val="en-US" w:eastAsia="zh-CN"/>
                    </w:rPr>
                  </w:pPr>
                  <w:r>
                    <w:rPr>
                      <w:rFonts w:hint="default"/>
                      <w:highlight w:val="none"/>
                      <w:u w:val="none" w:color="auto"/>
                      <w:lang w:val="en-US" w:eastAsia="zh-CN"/>
                    </w:rPr>
                    <w:t>水膜除尘</w:t>
                  </w:r>
                </w:p>
              </w:tc>
              <w:tc>
                <w:tcPr>
                  <w:tcW w:w="418" w:type="pct"/>
                  <w:tcBorders>
                    <w:tl2br w:val="nil"/>
                    <w:tr2bl w:val="nil"/>
                  </w:tcBorders>
                  <w:vAlign w:val="center"/>
                </w:tcPr>
                <w:p w14:paraId="0FCAFA9A">
                  <w:pPr>
                    <w:pStyle w:val="30"/>
                    <w:bidi w:val="0"/>
                    <w:jc w:val="center"/>
                    <w:rPr>
                      <w:rFonts w:hint="default"/>
                      <w:highlight w:val="none"/>
                      <w:u w:val="none" w:color="auto"/>
                      <w:lang w:val="en-US" w:eastAsia="zh-CN"/>
                    </w:rPr>
                  </w:pPr>
                  <w:r>
                    <w:rPr>
                      <w:rFonts w:hint="default"/>
                      <w:highlight w:val="none"/>
                      <w:u w:val="none" w:color="auto"/>
                      <w:lang w:val="en-US" w:eastAsia="zh-CN"/>
                    </w:rPr>
                    <w:t>85%</w:t>
                  </w:r>
                </w:p>
              </w:tc>
              <w:tc>
                <w:tcPr>
                  <w:tcW w:w="666" w:type="pct"/>
                  <w:tcBorders>
                    <w:tl2br w:val="nil"/>
                    <w:tr2bl w:val="nil"/>
                  </w:tcBorders>
                  <w:vAlign w:val="center"/>
                </w:tcPr>
                <w:p w14:paraId="6C33380B">
                  <w:pPr>
                    <w:pStyle w:val="30"/>
                    <w:bidi w:val="0"/>
                    <w:jc w:val="center"/>
                    <w:rPr>
                      <w:rFonts w:hint="default"/>
                      <w:highlight w:val="none"/>
                      <w:u w:val="none" w:color="auto"/>
                      <w:lang w:val="en-US" w:eastAsia="zh-CN"/>
                    </w:rPr>
                  </w:pPr>
                  <w:r>
                    <w:rPr>
                      <w:highlight w:val="none"/>
                      <w:u w:val="none" w:color="auto"/>
                      <w:lang w:val="en-US" w:eastAsia="zh-CN"/>
                    </w:rPr>
                    <w:t>0.00095</w:t>
                  </w:r>
                </w:p>
              </w:tc>
              <w:tc>
                <w:tcPr>
                  <w:tcW w:w="610" w:type="pct"/>
                  <w:tcBorders>
                    <w:tl2br w:val="nil"/>
                    <w:tr2bl w:val="nil"/>
                  </w:tcBorders>
                  <w:vAlign w:val="center"/>
                </w:tcPr>
                <w:p w14:paraId="42F59A12">
                  <w:pPr>
                    <w:pStyle w:val="30"/>
                    <w:bidi w:val="0"/>
                    <w:jc w:val="center"/>
                    <w:rPr>
                      <w:rFonts w:hint="default"/>
                      <w:highlight w:val="none"/>
                      <w:u w:val="none" w:color="auto"/>
                      <w:lang w:val="en-US" w:eastAsia="zh-CN"/>
                    </w:rPr>
                  </w:pPr>
                  <w:r>
                    <w:rPr>
                      <w:highlight w:val="none"/>
                      <w:u w:val="none" w:color="auto"/>
                      <w:lang w:val="en-US" w:eastAsia="zh-CN"/>
                    </w:rPr>
                    <w:t>0.079</w:t>
                  </w:r>
                </w:p>
              </w:tc>
              <w:tc>
                <w:tcPr>
                  <w:tcW w:w="578" w:type="pct"/>
                  <w:tcBorders>
                    <w:tl2br w:val="nil"/>
                    <w:tr2bl w:val="nil"/>
                  </w:tcBorders>
                  <w:vAlign w:val="center"/>
                </w:tcPr>
                <w:p w14:paraId="11516861">
                  <w:pPr>
                    <w:pStyle w:val="30"/>
                    <w:bidi w:val="0"/>
                    <w:jc w:val="center"/>
                    <w:rPr>
                      <w:rFonts w:hint="default"/>
                      <w:highlight w:val="none"/>
                      <w:u w:val="none" w:color="auto"/>
                      <w:lang w:val="en-US" w:eastAsia="zh-CN"/>
                    </w:rPr>
                  </w:pPr>
                  <w:r>
                    <w:rPr>
                      <w:highlight w:val="none"/>
                      <w:u w:val="none" w:color="auto"/>
                      <w:lang w:val="en-US" w:eastAsia="zh-CN"/>
                    </w:rPr>
                    <w:t>0.00040</w:t>
                  </w:r>
                </w:p>
              </w:tc>
              <w:tc>
                <w:tcPr>
                  <w:tcW w:w="470" w:type="pct"/>
                  <w:vMerge w:val="continue"/>
                  <w:tcBorders>
                    <w:tl2br w:val="nil"/>
                    <w:tr2bl w:val="nil"/>
                  </w:tcBorders>
                  <w:vAlign w:val="center"/>
                </w:tcPr>
                <w:p w14:paraId="358B30DE">
                  <w:pPr>
                    <w:pStyle w:val="30"/>
                    <w:bidi w:val="0"/>
                    <w:jc w:val="center"/>
                    <w:rPr>
                      <w:rFonts w:hint="default"/>
                      <w:highlight w:val="none"/>
                      <w:u w:val="none" w:color="auto"/>
                    </w:rPr>
                  </w:pPr>
                </w:p>
              </w:tc>
            </w:tr>
            <w:tr w14:paraId="3CB6F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99" w:type="pct"/>
                  <w:tcBorders>
                    <w:tl2br w:val="nil"/>
                    <w:tr2bl w:val="nil"/>
                  </w:tcBorders>
                  <w:vAlign w:val="center"/>
                </w:tcPr>
                <w:p w14:paraId="5E799F74">
                  <w:pPr>
                    <w:pStyle w:val="30"/>
                    <w:bidi w:val="0"/>
                    <w:jc w:val="center"/>
                    <w:rPr>
                      <w:rFonts w:hint="default"/>
                      <w:highlight w:val="none"/>
                      <w:u w:val="none" w:color="auto"/>
                      <w:lang w:val="en-US" w:eastAsia="zh-CN"/>
                    </w:rPr>
                  </w:pPr>
                  <w:r>
                    <w:rPr>
                      <w:rFonts w:hint="default"/>
                      <w:highlight w:val="none"/>
                      <w:u w:val="none" w:color="auto"/>
                      <w:lang w:val="en-US" w:eastAsia="zh-CN"/>
                    </w:rPr>
                    <w:t>颗粒物（涂料尘）</w:t>
                  </w:r>
                </w:p>
              </w:tc>
              <w:tc>
                <w:tcPr>
                  <w:tcW w:w="629" w:type="pct"/>
                  <w:tcBorders>
                    <w:tl2br w:val="nil"/>
                    <w:tr2bl w:val="nil"/>
                  </w:tcBorders>
                  <w:vAlign w:val="center"/>
                </w:tcPr>
                <w:p w14:paraId="29B82C70">
                  <w:pPr>
                    <w:pStyle w:val="30"/>
                    <w:bidi w:val="0"/>
                    <w:jc w:val="center"/>
                    <w:rPr>
                      <w:rFonts w:hint="default"/>
                      <w:highlight w:val="none"/>
                      <w:u w:val="none" w:color="auto"/>
                      <w:lang w:val="en-US" w:eastAsia="zh-CN"/>
                    </w:rPr>
                  </w:pPr>
                  <w:r>
                    <w:rPr>
                      <w:highlight w:val="none"/>
                      <w:u w:val="none" w:color="auto"/>
                      <w:lang w:val="en-US" w:eastAsia="zh-CN"/>
                    </w:rPr>
                    <w:t>1.8</w:t>
                  </w:r>
                </w:p>
              </w:tc>
              <w:tc>
                <w:tcPr>
                  <w:tcW w:w="515" w:type="pct"/>
                  <w:tcBorders>
                    <w:tl2br w:val="nil"/>
                    <w:tr2bl w:val="nil"/>
                  </w:tcBorders>
                  <w:vAlign w:val="center"/>
                </w:tcPr>
                <w:p w14:paraId="7DC94F0C">
                  <w:pPr>
                    <w:pStyle w:val="30"/>
                    <w:bidi w:val="0"/>
                    <w:jc w:val="center"/>
                    <w:rPr>
                      <w:rFonts w:hint="default"/>
                      <w:highlight w:val="none"/>
                      <w:u w:val="none" w:color="auto"/>
                      <w:lang w:val="en-US" w:eastAsia="zh-CN"/>
                    </w:rPr>
                  </w:pPr>
                  <w:r>
                    <w:rPr>
                      <w:highlight w:val="none"/>
                      <w:u w:val="none" w:color="auto"/>
                      <w:lang w:val="en-US" w:eastAsia="zh-CN"/>
                    </w:rPr>
                    <w:t>150.0</w:t>
                  </w:r>
                </w:p>
              </w:tc>
              <w:tc>
                <w:tcPr>
                  <w:tcW w:w="610" w:type="pct"/>
                  <w:tcBorders>
                    <w:tl2br w:val="nil"/>
                    <w:tr2bl w:val="nil"/>
                  </w:tcBorders>
                  <w:vAlign w:val="center"/>
                </w:tcPr>
                <w:p w14:paraId="7CEA42E5">
                  <w:pPr>
                    <w:pStyle w:val="30"/>
                    <w:bidi w:val="0"/>
                    <w:jc w:val="center"/>
                    <w:rPr>
                      <w:rFonts w:hint="default"/>
                      <w:highlight w:val="none"/>
                      <w:u w:val="none" w:color="auto"/>
                      <w:lang w:val="en-US" w:eastAsia="zh-CN"/>
                    </w:rPr>
                  </w:pPr>
                  <w:r>
                    <w:rPr>
                      <w:rFonts w:hint="default"/>
                      <w:highlight w:val="none"/>
                      <w:u w:val="none" w:color="auto"/>
                      <w:lang w:val="en-US" w:eastAsia="zh-CN"/>
                    </w:rPr>
                    <w:t>水膜除尘</w:t>
                  </w:r>
                </w:p>
              </w:tc>
              <w:tc>
                <w:tcPr>
                  <w:tcW w:w="418" w:type="pct"/>
                  <w:tcBorders>
                    <w:tl2br w:val="nil"/>
                    <w:tr2bl w:val="nil"/>
                  </w:tcBorders>
                  <w:vAlign w:val="center"/>
                </w:tcPr>
                <w:p w14:paraId="627F7D0A">
                  <w:pPr>
                    <w:pStyle w:val="30"/>
                    <w:bidi w:val="0"/>
                    <w:jc w:val="center"/>
                    <w:rPr>
                      <w:rFonts w:hint="default"/>
                      <w:highlight w:val="none"/>
                      <w:u w:val="none" w:color="auto"/>
                      <w:lang w:val="en-US" w:eastAsia="zh-CN"/>
                    </w:rPr>
                  </w:pPr>
                  <w:r>
                    <w:rPr>
                      <w:rFonts w:hint="default"/>
                      <w:highlight w:val="none"/>
                      <w:u w:val="none" w:color="auto"/>
                      <w:lang w:val="en-US" w:eastAsia="zh-CN"/>
                    </w:rPr>
                    <w:t>85%</w:t>
                  </w:r>
                </w:p>
              </w:tc>
              <w:tc>
                <w:tcPr>
                  <w:tcW w:w="666" w:type="pct"/>
                  <w:tcBorders>
                    <w:tl2br w:val="nil"/>
                    <w:tr2bl w:val="nil"/>
                  </w:tcBorders>
                  <w:vAlign w:val="center"/>
                </w:tcPr>
                <w:p w14:paraId="3D801E23">
                  <w:pPr>
                    <w:pStyle w:val="30"/>
                    <w:bidi w:val="0"/>
                    <w:jc w:val="center"/>
                    <w:rPr>
                      <w:rFonts w:hint="default"/>
                      <w:highlight w:val="none"/>
                      <w:u w:val="none" w:color="auto"/>
                      <w:lang w:val="en-US" w:eastAsia="zh-CN"/>
                    </w:rPr>
                  </w:pPr>
                  <w:r>
                    <w:rPr>
                      <w:rFonts w:hint="eastAsia"/>
                      <w:highlight w:val="none"/>
                      <w:u w:val="none" w:color="auto"/>
                      <w:lang w:val="en-US" w:eastAsia="zh-CN"/>
                    </w:rPr>
                    <w:t>0.27</w:t>
                  </w:r>
                </w:p>
              </w:tc>
              <w:tc>
                <w:tcPr>
                  <w:tcW w:w="610" w:type="pct"/>
                  <w:tcBorders>
                    <w:tl2br w:val="nil"/>
                    <w:tr2bl w:val="nil"/>
                  </w:tcBorders>
                  <w:vAlign w:val="center"/>
                </w:tcPr>
                <w:p w14:paraId="08BEE9CA">
                  <w:pPr>
                    <w:pStyle w:val="30"/>
                    <w:bidi w:val="0"/>
                    <w:jc w:val="center"/>
                    <w:rPr>
                      <w:rFonts w:hint="default"/>
                      <w:highlight w:val="none"/>
                      <w:u w:val="none" w:color="auto"/>
                      <w:lang w:val="en-US" w:eastAsia="zh-CN"/>
                    </w:rPr>
                  </w:pPr>
                  <w:r>
                    <w:rPr>
                      <w:highlight w:val="none"/>
                      <w:u w:val="none" w:color="auto"/>
                      <w:lang w:val="en-US" w:eastAsia="zh-CN"/>
                    </w:rPr>
                    <w:t>22.5</w:t>
                  </w:r>
                </w:p>
              </w:tc>
              <w:tc>
                <w:tcPr>
                  <w:tcW w:w="578" w:type="pct"/>
                  <w:tcBorders>
                    <w:tl2br w:val="nil"/>
                    <w:tr2bl w:val="nil"/>
                  </w:tcBorders>
                  <w:vAlign w:val="center"/>
                </w:tcPr>
                <w:p w14:paraId="1846A44B">
                  <w:pPr>
                    <w:pStyle w:val="30"/>
                    <w:bidi w:val="0"/>
                    <w:jc w:val="center"/>
                    <w:rPr>
                      <w:rFonts w:hint="default"/>
                      <w:highlight w:val="none"/>
                      <w:u w:val="none" w:color="auto"/>
                      <w:lang w:val="en-US" w:eastAsia="zh-CN"/>
                    </w:rPr>
                  </w:pPr>
                  <w:r>
                    <w:rPr>
                      <w:highlight w:val="none"/>
                      <w:u w:val="none" w:color="auto"/>
                      <w:lang w:val="en-US" w:eastAsia="zh-CN"/>
                    </w:rPr>
                    <w:t>0.1125</w:t>
                  </w:r>
                </w:p>
              </w:tc>
              <w:tc>
                <w:tcPr>
                  <w:tcW w:w="470" w:type="pct"/>
                  <w:vMerge w:val="continue"/>
                  <w:tcBorders>
                    <w:tl2br w:val="nil"/>
                    <w:tr2bl w:val="nil"/>
                  </w:tcBorders>
                  <w:vAlign w:val="center"/>
                </w:tcPr>
                <w:p w14:paraId="30ECDBE0">
                  <w:pPr>
                    <w:pStyle w:val="30"/>
                    <w:bidi w:val="0"/>
                    <w:jc w:val="center"/>
                    <w:rPr>
                      <w:rFonts w:hint="default"/>
                      <w:highlight w:val="none"/>
                      <w:u w:val="none" w:color="auto"/>
                    </w:rPr>
                  </w:pPr>
                </w:p>
              </w:tc>
            </w:tr>
            <w:tr w14:paraId="12190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tcBorders>
                    <w:tl2br w:val="nil"/>
                    <w:tr2bl w:val="nil"/>
                  </w:tcBorders>
                  <w:vAlign w:val="center"/>
                </w:tcPr>
                <w:p w14:paraId="767FFA6B">
                  <w:pPr>
                    <w:pStyle w:val="30"/>
                    <w:bidi w:val="0"/>
                    <w:jc w:val="center"/>
                    <w:rPr>
                      <w:rFonts w:hint="default"/>
                      <w:highlight w:val="none"/>
                      <w:u w:val="none" w:color="auto"/>
                    </w:rPr>
                  </w:pPr>
                  <w:r>
                    <w:rPr>
                      <w:rFonts w:hint="default"/>
                      <w:highlight w:val="none"/>
                      <w:u w:val="none" w:color="auto"/>
                    </w:rPr>
                    <w:t>NOx</w:t>
                  </w:r>
                </w:p>
              </w:tc>
              <w:tc>
                <w:tcPr>
                  <w:tcW w:w="629" w:type="pct"/>
                  <w:tcBorders>
                    <w:tl2br w:val="nil"/>
                    <w:tr2bl w:val="nil"/>
                  </w:tcBorders>
                  <w:vAlign w:val="center"/>
                </w:tcPr>
                <w:p w14:paraId="466F0703">
                  <w:pPr>
                    <w:pStyle w:val="30"/>
                    <w:bidi w:val="0"/>
                    <w:jc w:val="center"/>
                    <w:rPr>
                      <w:rFonts w:hint="default"/>
                      <w:highlight w:val="none"/>
                      <w:u w:val="none" w:color="auto"/>
                      <w:lang w:val="en-US" w:eastAsia="zh-CN"/>
                    </w:rPr>
                  </w:pPr>
                  <w:r>
                    <w:rPr>
                      <w:highlight w:val="none"/>
                      <w:u w:val="none" w:color="auto"/>
                      <w:lang w:val="en-US" w:eastAsia="zh-CN"/>
                    </w:rPr>
                    <w:t>0.1716</w:t>
                  </w:r>
                </w:p>
              </w:tc>
              <w:tc>
                <w:tcPr>
                  <w:tcW w:w="515" w:type="pct"/>
                  <w:tcBorders>
                    <w:tl2br w:val="nil"/>
                    <w:tr2bl w:val="nil"/>
                  </w:tcBorders>
                  <w:vAlign w:val="center"/>
                </w:tcPr>
                <w:p w14:paraId="0F6A9013">
                  <w:pPr>
                    <w:pStyle w:val="30"/>
                    <w:bidi w:val="0"/>
                    <w:jc w:val="center"/>
                    <w:rPr>
                      <w:rFonts w:hint="default"/>
                      <w:highlight w:val="none"/>
                      <w:u w:val="none" w:color="auto"/>
                      <w:lang w:val="en-US" w:eastAsia="zh-CN"/>
                    </w:rPr>
                  </w:pPr>
                  <w:r>
                    <w:rPr>
                      <w:rFonts w:hint="eastAsia"/>
                      <w:highlight w:val="none"/>
                      <w:u w:val="none" w:color="auto"/>
                      <w:lang w:val="en-US" w:eastAsia="zh-CN"/>
                    </w:rPr>
                    <w:t>14.30</w:t>
                  </w:r>
                </w:p>
              </w:tc>
              <w:tc>
                <w:tcPr>
                  <w:tcW w:w="610" w:type="pct"/>
                  <w:tcBorders>
                    <w:tl2br w:val="nil"/>
                    <w:tr2bl w:val="nil"/>
                  </w:tcBorders>
                  <w:vAlign w:val="center"/>
                </w:tcPr>
                <w:p w14:paraId="57C90C1C">
                  <w:pPr>
                    <w:pStyle w:val="30"/>
                    <w:bidi w:val="0"/>
                    <w:jc w:val="center"/>
                    <w:rPr>
                      <w:rFonts w:hint="default"/>
                      <w:highlight w:val="none"/>
                      <w:u w:val="none" w:color="auto"/>
                      <w:lang w:val="en-US" w:eastAsia="zh-CN"/>
                    </w:rPr>
                  </w:pPr>
                  <w:r>
                    <w:rPr>
                      <w:rFonts w:hint="eastAsia"/>
                      <w:highlight w:val="none"/>
                      <w:u w:val="none" w:color="auto"/>
                      <w:lang w:val="en-US" w:eastAsia="zh-CN"/>
                    </w:rPr>
                    <w:t>/</w:t>
                  </w:r>
                </w:p>
              </w:tc>
              <w:tc>
                <w:tcPr>
                  <w:tcW w:w="418" w:type="pct"/>
                  <w:tcBorders>
                    <w:tl2br w:val="nil"/>
                    <w:tr2bl w:val="nil"/>
                  </w:tcBorders>
                  <w:vAlign w:val="center"/>
                </w:tcPr>
                <w:p w14:paraId="3A9D0A5F">
                  <w:pPr>
                    <w:pStyle w:val="30"/>
                    <w:bidi w:val="0"/>
                    <w:jc w:val="center"/>
                    <w:rPr>
                      <w:rFonts w:hint="default"/>
                      <w:highlight w:val="none"/>
                      <w:u w:val="none" w:color="auto"/>
                      <w:lang w:val="en-US" w:eastAsia="zh-CN"/>
                    </w:rPr>
                  </w:pPr>
                  <w:r>
                    <w:rPr>
                      <w:rFonts w:hint="eastAsia"/>
                      <w:highlight w:val="none"/>
                      <w:u w:val="none" w:color="auto"/>
                      <w:lang w:val="en-US" w:eastAsia="zh-CN"/>
                    </w:rPr>
                    <w:t>/</w:t>
                  </w:r>
                </w:p>
              </w:tc>
              <w:tc>
                <w:tcPr>
                  <w:tcW w:w="666" w:type="pct"/>
                  <w:tcBorders>
                    <w:tl2br w:val="nil"/>
                    <w:tr2bl w:val="nil"/>
                  </w:tcBorders>
                  <w:vAlign w:val="center"/>
                </w:tcPr>
                <w:p w14:paraId="23799658">
                  <w:pPr>
                    <w:pStyle w:val="30"/>
                    <w:bidi w:val="0"/>
                    <w:jc w:val="center"/>
                    <w:rPr>
                      <w:rFonts w:hint="default"/>
                      <w:highlight w:val="none"/>
                      <w:u w:val="none" w:color="auto"/>
                      <w:lang w:val="en-US" w:eastAsia="zh-CN"/>
                    </w:rPr>
                  </w:pPr>
                  <w:r>
                    <w:rPr>
                      <w:highlight w:val="none"/>
                      <w:u w:val="none" w:color="auto"/>
                      <w:lang w:val="en-US" w:eastAsia="zh-CN"/>
                    </w:rPr>
                    <w:t>0.1716</w:t>
                  </w:r>
                </w:p>
              </w:tc>
              <w:tc>
                <w:tcPr>
                  <w:tcW w:w="610" w:type="pct"/>
                  <w:tcBorders>
                    <w:tl2br w:val="nil"/>
                    <w:tr2bl w:val="nil"/>
                  </w:tcBorders>
                  <w:vAlign w:val="center"/>
                </w:tcPr>
                <w:p w14:paraId="5440DFFD">
                  <w:pPr>
                    <w:pStyle w:val="30"/>
                    <w:bidi w:val="0"/>
                    <w:jc w:val="center"/>
                    <w:rPr>
                      <w:rFonts w:hint="default"/>
                      <w:highlight w:val="none"/>
                      <w:u w:val="none" w:color="auto"/>
                      <w:lang w:val="en-US" w:eastAsia="zh-CN"/>
                    </w:rPr>
                  </w:pPr>
                  <w:r>
                    <w:rPr>
                      <w:rFonts w:hint="eastAsia"/>
                      <w:highlight w:val="none"/>
                      <w:u w:val="none" w:color="auto"/>
                      <w:lang w:val="en-US" w:eastAsia="zh-CN"/>
                    </w:rPr>
                    <w:t>14.30</w:t>
                  </w:r>
                </w:p>
              </w:tc>
              <w:tc>
                <w:tcPr>
                  <w:tcW w:w="578" w:type="pct"/>
                  <w:tcBorders>
                    <w:tl2br w:val="nil"/>
                    <w:tr2bl w:val="nil"/>
                  </w:tcBorders>
                  <w:vAlign w:val="center"/>
                </w:tcPr>
                <w:p w14:paraId="33BA9DFC">
                  <w:pPr>
                    <w:pStyle w:val="30"/>
                    <w:bidi w:val="0"/>
                    <w:jc w:val="center"/>
                    <w:rPr>
                      <w:rFonts w:hint="default"/>
                      <w:highlight w:val="none"/>
                      <w:u w:val="none" w:color="auto"/>
                      <w:lang w:val="en-US" w:eastAsia="zh-CN"/>
                    </w:rPr>
                  </w:pPr>
                  <w:r>
                    <w:rPr>
                      <w:rFonts w:hint="eastAsia"/>
                      <w:highlight w:val="none"/>
                      <w:u w:val="none" w:color="auto"/>
                      <w:lang w:val="en-US" w:eastAsia="zh-CN"/>
                    </w:rPr>
                    <w:t>0.0715</w:t>
                  </w:r>
                </w:p>
              </w:tc>
              <w:tc>
                <w:tcPr>
                  <w:tcW w:w="470" w:type="pct"/>
                  <w:vMerge w:val="continue"/>
                  <w:tcBorders>
                    <w:tl2br w:val="nil"/>
                    <w:tr2bl w:val="nil"/>
                  </w:tcBorders>
                  <w:vAlign w:val="center"/>
                </w:tcPr>
                <w:p w14:paraId="12373736">
                  <w:pPr>
                    <w:pStyle w:val="30"/>
                    <w:bidi w:val="0"/>
                    <w:jc w:val="center"/>
                    <w:rPr>
                      <w:rFonts w:hint="default"/>
                      <w:highlight w:val="none"/>
                      <w:u w:val="none" w:color="auto"/>
                    </w:rPr>
                  </w:pPr>
                </w:p>
              </w:tc>
            </w:tr>
            <w:tr w14:paraId="419AD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l2br w:val="nil"/>
                    <w:tr2bl w:val="nil"/>
                  </w:tcBorders>
                  <w:vAlign w:val="center"/>
                </w:tcPr>
                <w:p w14:paraId="660AD182">
                  <w:pPr>
                    <w:pStyle w:val="30"/>
                    <w:bidi w:val="0"/>
                    <w:rPr>
                      <w:rFonts w:hint="default" w:eastAsia="宋体"/>
                      <w:highlight w:val="none"/>
                      <w:u w:val="none" w:color="auto"/>
                      <w:lang w:val="en-US" w:eastAsia="zh-CN"/>
                    </w:rPr>
                  </w:pPr>
                  <w:r>
                    <w:rPr>
                      <w:rStyle w:val="52"/>
                      <w:rFonts w:hint="default"/>
                      <w:highlight w:val="none"/>
                      <w:u w:val="none" w:color="auto"/>
                    </w:rPr>
                    <w:t>涂层尘</w:t>
                  </w:r>
                  <w:r>
                    <w:rPr>
                      <w:rStyle w:val="52"/>
                      <w:rFonts w:hint="eastAsia"/>
                      <w:highlight w:val="none"/>
                      <w:u w:val="none" w:color="auto"/>
                      <w:lang w:val="en-US" w:eastAsia="zh-CN"/>
                    </w:rPr>
                    <w:t>风机风量为5000m</w:t>
                  </w:r>
                  <w:r>
                    <w:rPr>
                      <w:rStyle w:val="52"/>
                      <w:rFonts w:hint="eastAsia"/>
                      <w:highlight w:val="none"/>
                      <w:u w:val="none" w:color="auto"/>
                      <w:vertAlign w:val="superscript"/>
                      <w:lang w:val="en-US" w:eastAsia="zh-CN"/>
                    </w:rPr>
                    <w:t>3</w:t>
                  </w:r>
                  <w:r>
                    <w:rPr>
                      <w:rStyle w:val="52"/>
                      <w:rFonts w:hint="eastAsia"/>
                      <w:highlight w:val="none"/>
                      <w:u w:val="none" w:color="auto"/>
                      <w:lang w:val="en-US" w:eastAsia="zh-CN"/>
                    </w:rPr>
                    <w:t>/h，</w:t>
                  </w:r>
                  <w:r>
                    <w:rPr>
                      <w:rStyle w:val="52"/>
                      <w:highlight w:val="none"/>
                      <w:u w:val="none" w:color="auto"/>
                    </w:rPr>
                    <w:t>总废气量为</w:t>
                  </w:r>
                  <w:r>
                    <w:rPr>
                      <w:rStyle w:val="52"/>
                      <w:rFonts w:hint="default"/>
                      <w:highlight w:val="none"/>
                      <w:u w:val="none" w:color="auto"/>
                    </w:rPr>
                    <w:t>12000000Nm</w:t>
                  </w:r>
                  <w:r>
                    <w:rPr>
                      <w:rStyle w:val="52"/>
                      <w:rFonts w:hint="eastAsia"/>
                      <w:highlight w:val="none"/>
                      <w:u w:val="none" w:color="auto"/>
                      <w:vertAlign w:val="superscript"/>
                      <w:lang w:val="en-US"/>
                    </w:rPr>
                    <w:t>3</w:t>
                  </w:r>
                  <w:r>
                    <w:rPr>
                      <w:rStyle w:val="52"/>
                      <w:rFonts w:hint="default"/>
                      <w:highlight w:val="none"/>
                      <w:u w:val="none" w:color="auto"/>
                    </w:rPr>
                    <w:t>/a</w:t>
                  </w:r>
                </w:p>
              </w:tc>
            </w:tr>
          </w:tbl>
          <w:p w14:paraId="18385F30">
            <w:pPr>
              <w:pStyle w:val="25"/>
              <w:bidi w:val="0"/>
              <w:rPr>
                <w:rFonts w:hint="eastAsia" w:eastAsia="宋体"/>
                <w:highlight w:val="none"/>
                <w:u w:val="none" w:color="auto"/>
                <w:lang w:eastAsia="zh-CN"/>
              </w:rPr>
            </w:pPr>
            <w:r>
              <w:rPr>
                <w:highlight w:val="none"/>
                <w:u w:val="none" w:color="auto"/>
              </w:rPr>
              <w:t>其中钢瓶表面涂层一般为环氧树脂粉末。随着钢瓶使用时间的增加，其表面及内部沉积了少部分杂质，其在燃烧过程中将产生一定量的大颗粒物。根据</w:t>
            </w:r>
            <w:r>
              <w:rPr>
                <w:rFonts w:hint="eastAsia"/>
                <w:highlight w:val="none"/>
                <w:u w:val="none" w:color="auto"/>
                <w:lang w:val="en-US" w:eastAsia="zh-CN"/>
              </w:rPr>
              <w:t>咨询钢瓶厂家</w:t>
            </w:r>
            <w:r>
              <w:rPr>
                <w:rStyle w:val="35"/>
                <w:highlight w:val="none"/>
                <w:u w:val="none" w:color="auto"/>
              </w:rPr>
              <w:t>，单个钢瓶涂层粉末用量通常约为通常约为</w:t>
            </w:r>
            <w:r>
              <w:rPr>
                <w:rStyle w:val="35"/>
                <w:rFonts w:hint="default"/>
                <w:highlight w:val="none"/>
                <w:u w:val="none" w:color="auto"/>
              </w:rPr>
              <w:t>0.1-0.3kg/只</w:t>
            </w:r>
            <w:r>
              <w:rPr>
                <w:rStyle w:val="35"/>
                <w:rFonts w:hint="eastAsia"/>
                <w:highlight w:val="none"/>
                <w:u w:val="none" w:color="auto"/>
                <w:lang w:eastAsia="zh-CN"/>
              </w:rPr>
              <w:t>，</w:t>
            </w:r>
            <w:r>
              <w:rPr>
                <w:rStyle w:val="35"/>
                <w:rFonts w:hint="default"/>
                <w:highlight w:val="none"/>
                <w:u w:val="none" w:color="auto"/>
              </w:rPr>
              <w:t>取上限0.3kg/只</w:t>
            </w:r>
            <w:r>
              <w:rPr>
                <w:rStyle w:val="35"/>
                <w:rFonts w:hint="eastAsia"/>
                <w:highlight w:val="none"/>
                <w:u w:val="none" w:color="auto"/>
                <w:lang w:eastAsia="zh-CN"/>
              </w:rPr>
              <w:t>。</w:t>
            </w:r>
            <w:r>
              <w:rPr>
                <w:rStyle w:val="35"/>
                <w:highlight w:val="none"/>
                <w:u w:val="none" w:color="auto"/>
              </w:rPr>
              <w:t>粉末涂料固含量接近100%</w:t>
            </w:r>
            <w:r>
              <w:rPr>
                <w:rStyle w:val="35"/>
                <w:rFonts w:hint="eastAsia"/>
                <w:highlight w:val="none"/>
                <w:u w:val="none" w:color="auto"/>
                <w:lang w:eastAsia="zh-CN"/>
              </w:rPr>
              <w:t>。</w:t>
            </w:r>
            <w:r>
              <w:rPr>
                <w:rStyle w:val="35"/>
                <w:rFonts w:hint="default"/>
                <w:highlight w:val="none"/>
                <w:u w:val="none" w:color="auto"/>
              </w:rPr>
              <w:t>涂层在高温下大部分有机成分燃烧分解为CO₂和H₂O，仅有少量无机填料（如钛白粉、硫酸钡）和未完全燃烧碳形成烟尘。</w:t>
            </w:r>
            <w:r>
              <w:rPr>
                <w:rStyle w:val="35"/>
                <w:rFonts w:hint="eastAsia"/>
                <w:highlight w:val="none"/>
                <w:u w:val="none" w:color="auto"/>
                <w:lang w:val="en-US" w:eastAsia="zh-CN"/>
              </w:rPr>
              <w:t>焚烧转化率</w:t>
            </w:r>
            <w:r>
              <w:rPr>
                <w:rStyle w:val="35"/>
                <w:rFonts w:hint="default"/>
                <w:highlight w:val="none"/>
                <w:u w:val="none" w:color="auto"/>
                <w:lang w:val="en-US" w:eastAsia="zh-CN"/>
              </w:rPr>
              <w:t>取5%，</w:t>
            </w:r>
            <w:r>
              <w:rPr>
                <w:rStyle w:val="35"/>
                <w:rFonts w:hint="default"/>
                <w:highlight w:val="none"/>
                <w:u w:val="none" w:color="auto"/>
              </w:rPr>
              <w:t>本</w:t>
            </w:r>
            <w:r>
              <w:rPr>
                <w:rStyle w:val="35"/>
                <w:highlight w:val="none"/>
                <w:u w:val="none" w:color="auto"/>
              </w:rPr>
              <w:t>钢瓶约</w:t>
            </w:r>
            <w:r>
              <w:rPr>
                <w:rStyle w:val="35"/>
                <w:rFonts w:hint="eastAsia"/>
                <w:highlight w:val="none"/>
                <w:u w:val="none" w:color="auto"/>
                <w:lang w:val="en-US" w:eastAsia="zh-CN"/>
              </w:rPr>
              <w:t>12</w:t>
            </w:r>
            <w:r>
              <w:rPr>
                <w:rStyle w:val="35"/>
                <w:highlight w:val="none"/>
                <w:u w:val="none" w:color="auto"/>
              </w:rPr>
              <w:t>万</w:t>
            </w:r>
            <w:r>
              <w:rPr>
                <w:rStyle w:val="35"/>
                <w:rFonts w:hint="eastAsia"/>
                <w:highlight w:val="none"/>
                <w:u w:val="none" w:color="auto"/>
                <w:lang w:val="en-US" w:eastAsia="zh-CN"/>
              </w:rPr>
              <w:t>只</w:t>
            </w:r>
            <w:r>
              <w:rPr>
                <w:rStyle w:val="35"/>
                <w:highlight w:val="none"/>
                <w:u w:val="none" w:color="auto"/>
              </w:rPr>
              <w:t>，总涂层粉末量</w:t>
            </w:r>
            <w:r>
              <w:rPr>
                <w:rStyle w:val="35"/>
                <w:rFonts w:hint="eastAsia"/>
                <w:highlight w:val="none"/>
                <w:u w:val="none" w:color="auto"/>
                <w:lang w:val="en-US" w:eastAsia="zh-CN"/>
              </w:rPr>
              <w:t>为</w:t>
            </w:r>
            <w:r>
              <w:rPr>
                <w:rStyle w:val="35"/>
                <w:rFonts w:hint="default"/>
                <w:highlight w:val="none"/>
                <w:u w:val="none" w:color="auto"/>
              </w:rPr>
              <w:t>36t/a。</w:t>
            </w:r>
            <w:r>
              <w:rPr>
                <w:rStyle w:val="35"/>
                <w:highlight w:val="none"/>
                <w:u w:val="none" w:color="auto"/>
              </w:rPr>
              <w:t>颗粒物产生量</w:t>
            </w:r>
            <w:r>
              <w:rPr>
                <w:rStyle w:val="35"/>
                <w:rFonts w:hint="eastAsia"/>
                <w:highlight w:val="none"/>
                <w:u w:val="none" w:color="auto"/>
                <w:lang w:val="en-US" w:eastAsia="zh-CN"/>
              </w:rPr>
              <w:t>为</w:t>
            </w:r>
            <w:r>
              <w:rPr>
                <w:rStyle w:val="35"/>
                <w:rFonts w:hint="default"/>
                <w:highlight w:val="none"/>
                <w:u w:val="none" w:color="auto"/>
              </w:rPr>
              <w:t>1.8t/a</w:t>
            </w:r>
            <w:r>
              <w:rPr>
                <w:rStyle w:val="35"/>
                <w:rFonts w:hint="eastAsia"/>
                <w:highlight w:val="none"/>
                <w:u w:val="none" w:color="auto"/>
                <w:lang w:eastAsia="zh-CN"/>
              </w:rPr>
              <w:t>。</w:t>
            </w:r>
          </w:p>
          <w:p w14:paraId="156B4052">
            <w:pPr>
              <w:pStyle w:val="25"/>
              <w:bidi w:val="0"/>
              <w:ind w:left="0" w:leftChars="0" w:firstLine="0" w:firstLineChars="0"/>
              <w:rPr>
                <w:rFonts w:hint="default" w:eastAsia="宋体"/>
                <w:b/>
                <w:bCs/>
                <w:highlight w:val="none"/>
                <w:u w:val="none" w:color="auto"/>
                <w:lang w:val="en-US" w:eastAsia="zh-CN"/>
              </w:rPr>
            </w:pPr>
            <w:r>
              <w:rPr>
                <w:rFonts w:hint="eastAsia"/>
                <w:b/>
                <w:bCs/>
                <w:highlight w:val="none"/>
                <w:u w:val="none" w:color="auto"/>
                <w:lang w:val="en-US" w:eastAsia="zh-CN"/>
              </w:rPr>
              <w:t>使用生物质颗粒作为燃料：</w:t>
            </w:r>
          </w:p>
          <w:p w14:paraId="3F59CE56">
            <w:pPr>
              <w:pStyle w:val="25"/>
              <w:bidi w:val="0"/>
              <w:rPr>
                <w:rFonts w:hint="eastAsia" w:eastAsia="宋体"/>
                <w:highlight w:val="none"/>
                <w:u w:val="none" w:color="auto"/>
                <w:lang w:val="en-US" w:eastAsia="zh-CN"/>
              </w:rPr>
            </w:pPr>
            <w:r>
              <w:rPr>
                <w:highlight w:val="none"/>
                <w:u w:val="none" w:color="auto"/>
              </w:rPr>
              <w:t>本项目焚烧炉发热量为</w:t>
            </w:r>
            <w:r>
              <w:rPr>
                <w:rFonts w:hint="eastAsia"/>
                <w:highlight w:val="none"/>
                <w:u w:val="none" w:color="auto"/>
                <w:lang w:val="en-US" w:eastAsia="zh-CN"/>
              </w:rPr>
              <w:t>30</w:t>
            </w:r>
            <w:r>
              <w:rPr>
                <w:highlight w:val="none"/>
                <w:u w:val="none" w:color="auto"/>
              </w:rPr>
              <w:t>万大卡</w:t>
            </w:r>
            <w:r>
              <w:rPr>
                <w:rFonts w:hint="eastAsia"/>
                <w:highlight w:val="none"/>
                <w:u w:val="none" w:color="auto"/>
                <w:lang w:val="en-US" w:eastAsia="zh-CN"/>
              </w:rPr>
              <w:t>/小时，单位换算：30万大卡=30</w:t>
            </w:r>
            <w:r>
              <w:rPr>
                <w:highlight w:val="none"/>
                <w:u w:val="none" w:color="auto"/>
              </w:rPr>
              <w:t>0000 kcal/h÷860kcal/(kW・h)</w:t>
            </w:r>
            <w:r>
              <w:rPr>
                <w:rFonts w:hint="eastAsia"/>
                <w:highlight w:val="none"/>
                <w:u w:val="none" w:color="auto"/>
                <w:lang w:val="en-US" w:eastAsia="zh-CN"/>
              </w:rPr>
              <w:t>=</w:t>
            </w:r>
            <w:r>
              <w:rPr>
                <w:rStyle w:val="35"/>
                <w:highlight w:val="none"/>
                <w:u w:val="none" w:color="auto"/>
              </w:rPr>
              <w:t>348.84kW</w:t>
            </w:r>
            <w:r>
              <w:rPr>
                <w:rStyle w:val="35"/>
                <w:rFonts w:hint="eastAsia"/>
                <w:highlight w:val="none"/>
                <w:u w:val="none" w:color="auto"/>
                <w:lang w:eastAsia="zh-CN"/>
              </w:rPr>
              <w:t>。</w:t>
            </w:r>
          </w:p>
          <w:p w14:paraId="64067ACA">
            <w:pPr>
              <w:pStyle w:val="25"/>
              <w:bidi w:val="0"/>
              <w:rPr>
                <w:rFonts w:hint="eastAsia"/>
                <w:highlight w:val="none"/>
                <w:u w:val="none" w:color="auto"/>
                <w:lang w:eastAsia="zh-CN"/>
              </w:rPr>
            </w:pPr>
            <w:r>
              <w:rPr>
                <w:highlight w:val="none"/>
                <w:u w:val="none" w:color="auto"/>
              </w:rPr>
              <w:t>根据建设单位提供的</w:t>
            </w:r>
            <w:r>
              <w:rPr>
                <w:rFonts w:hint="eastAsia"/>
                <w:highlight w:val="none"/>
                <w:u w:val="none" w:color="auto"/>
              </w:rPr>
              <w:t>检测报告</w:t>
            </w:r>
            <w:r>
              <w:rPr>
                <w:highlight w:val="none"/>
                <w:u w:val="none" w:color="auto"/>
              </w:rPr>
              <w:t>，</w:t>
            </w:r>
            <w:r>
              <w:rPr>
                <w:rFonts w:hint="eastAsia"/>
                <w:highlight w:val="none"/>
                <w:u w:val="none" w:color="auto"/>
              </w:rPr>
              <w:t>低位发热值为</w:t>
            </w:r>
            <w:r>
              <w:rPr>
                <w:rFonts w:hint="eastAsia"/>
                <w:highlight w:val="none"/>
                <w:u w:val="none" w:color="auto"/>
                <w:lang w:val="en-US" w:eastAsia="zh-CN"/>
              </w:rPr>
              <w:t>4137k</w:t>
            </w:r>
            <w:r>
              <w:rPr>
                <w:rFonts w:hint="eastAsia"/>
                <w:highlight w:val="none"/>
                <w:u w:val="none" w:color="auto"/>
              </w:rPr>
              <w:t>cal/kg换算为</w:t>
            </w:r>
            <w:r>
              <w:rPr>
                <w:highlight w:val="none"/>
                <w:u w:val="none" w:color="auto"/>
              </w:rPr>
              <w:t>17.31</w:t>
            </w:r>
            <w:r>
              <w:rPr>
                <w:rFonts w:hint="eastAsia"/>
                <w:highlight w:val="none"/>
                <w:u w:val="none" w:color="auto"/>
              </w:rPr>
              <w:t>MJ/kg，</w:t>
            </w:r>
            <w:r>
              <w:rPr>
                <w:rFonts w:hint="eastAsia"/>
                <w:highlight w:val="none"/>
                <w:u w:val="none" w:color="auto"/>
                <w:lang w:val="en-US" w:eastAsia="zh-CN"/>
              </w:rPr>
              <w:t>焚烧</w:t>
            </w:r>
            <w:r>
              <w:rPr>
                <w:rFonts w:hint="eastAsia"/>
                <w:highlight w:val="none"/>
                <w:u w:val="none" w:color="auto"/>
              </w:rPr>
              <w:t>炉热效率取</w:t>
            </w:r>
            <w:r>
              <w:rPr>
                <w:rFonts w:hint="eastAsia"/>
                <w:highlight w:val="none"/>
                <w:u w:val="none" w:color="auto"/>
                <w:lang w:val="en-US" w:eastAsia="zh-CN"/>
              </w:rPr>
              <w:t>90</w:t>
            </w:r>
            <w:r>
              <w:rPr>
                <w:rFonts w:hint="eastAsia"/>
                <w:highlight w:val="none"/>
                <w:u w:val="none" w:color="auto"/>
              </w:rPr>
              <w:t>%</w:t>
            </w:r>
            <w:r>
              <w:rPr>
                <w:rFonts w:hint="eastAsia"/>
                <w:highlight w:val="none"/>
                <w:u w:val="none" w:color="auto"/>
                <w:lang w:eastAsia="zh-CN"/>
              </w:rPr>
              <w:t>，</w:t>
            </w:r>
            <w:r>
              <w:rPr>
                <w:rFonts w:hint="eastAsia"/>
                <w:highlight w:val="none"/>
                <w:u w:val="none" w:color="auto"/>
              </w:rPr>
              <w:t>则本项目</w:t>
            </w:r>
            <w:r>
              <w:rPr>
                <w:rFonts w:hint="eastAsia"/>
                <w:highlight w:val="none"/>
                <w:u w:val="none" w:color="auto"/>
                <w:lang w:val="en-US" w:eastAsia="zh-CN"/>
              </w:rPr>
              <w:t>焚烧炉</w:t>
            </w:r>
            <w:r>
              <w:rPr>
                <w:rFonts w:hint="eastAsia"/>
                <w:highlight w:val="none"/>
                <w:u w:val="none" w:color="auto"/>
              </w:rPr>
              <w:t>的燃料消耗量为</w:t>
            </w:r>
            <w:r>
              <w:rPr>
                <w:rStyle w:val="35"/>
                <w:highlight w:val="none"/>
                <w:u w:val="none" w:color="auto"/>
              </w:rPr>
              <w:t>193.37</w:t>
            </w:r>
            <w:r>
              <w:rPr>
                <w:rStyle w:val="35"/>
                <w:rFonts w:hint="default"/>
                <w:highlight w:val="none"/>
                <w:u w:val="none" w:color="auto"/>
              </w:rPr>
              <w:t>t/a</w:t>
            </w:r>
            <w:r>
              <w:rPr>
                <w:rFonts w:hint="eastAsia"/>
                <w:highlight w:val="none"/>
                <w:u w:val="none" w:color="auto"/>
                <w:lang w:eastAsia="zh-CN"/>
              </w:rPr>
              <w:t>。</w:t>
            </w:r>
          </w:p>
          <w:p w14:paraId="700BD084">
            <w:pPr>
              <w:pStyle w:val="25"/>
              <w:bidi w:val="0"/>
              <w:rPr>
                <w:rFonts w:hint="eastAsia" w:eastAsia="宋体"/>
                <w:highlight w:val="none"/>
                <w:u w:val="none" w:color="auto"/>
                <w:lang w:val="en-US" w:eastAsia="zh-CN"/>
              </w:rPr>
            </w:pPr>
            <w:r>
              <w:rPr>
                <w:rFonts w:hint="eastAsia" w:cs="Times New Roman"/>
                <w:sz w:val="24"/>
                <w:highlight w:val="none"/>
                <w:u w:val="none" w:color="auto"/>
                <w:lang w:val="en-US" w:eastAsia="zh-CN"/>
              </w:rPr>
              <w:t>目前没有焚烧炉排放系数，本次类比锅炉排污系数</w:t>
            </w:r>
            <w:r>
              <w:rPr>
                <w:rFonts w:hint="default" w:ascii="Times New Roman" w:hAnsi="Times New Roman" w:eastAsia="宋体" w:cs="Times New Roman"/>
                <w:sz w:val="24"/>
                <w:highlight w:val="none"/>
                <w:u w:val="none" w:color="auto"/>
              </w:rPr>
              <w:t>进行计算。</w:t>
            </w:r>
          </w:p>
          <w:p w14:paraId="4A1D6B71">
            <w:pPr>
              <w:pStyle w:val="30"/>
              <w:jc w:val="center"/>
              <w:rPr>
                <w:rFonts w:hint="eastAsia" w:eastAsia="宋体"/>
                <w:b/>
                <w:bCs/>
                <w:highlight w:val="none"/>
                <w:u w:val="none" w:color="auto"/>
                <w:lang w:eastAsia="zh-CN"/>
              </w:rPr>
            </w:pPr>
            <w:r>
              <w:rPr>
                <w:b/>
                <w:bCs/>
                <w:highlight w:val="none"/>
                <w:u w:val="none" w:color="auto"/>
              </w:rPr>
              <w:t>表4-</w:t>
            </w:r>
            <w:r>
              <w:rPr>
                <w:rFonts w:hint="eastAsia"/>
                <w:b/>
                <w:bCs/>
                <w:highlight w:val="none"/>
                <w:u w:val="none" w:color="auto"/>
                <w:lang w:val="en-US" w:eastAsia="zh-CN"/>
              </w:rPr>
              <w:t xml:space="preserve">3   </w:t>
            </w:r>
            <w:r>
              <w:rPr>
                <w:b/>
                <w:bCs/>
                <w:highlight w:val="none"/>
                <w:u w:val="none" w:color="auto"/>
              </w:rPr>
              <w:t>大气污染物</w:t>
            </w:r>
            <w:r>
              <w:rPr>
                <w:rFonts w:hint="eastAsia"/>
                <w:b/>
                <w:bCs/>
                <w:highlight w:val="none"/>
                <w:u w:val="none" w:color="auto"/>
                <w:lang w:val="en-US" w:eastAsia="zh-CN"/>
              </w:rPr>
              <w:t>产污系数</w:t>
            </w:r>
            <w:r>
              <w:rPr>
                <w:b/>
                <w:bCs/>
                <w:highlight w:val="none"/>
                <w:u w:val="none" w:color="auto"/>
              </w:rPr>
              <w:t>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15"/>
              <w:gridCol w:w="1189"/>
              <w:gridCol w:w="1114"/>
              <w:gridCol w:w="1455"/>
              <w:gridCol w:w="1513"/>
            </w:tblGrid>
            <w:tr w14:paraId="7B92E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Borders>
                    <w:tl2br w:val="nil"/>
                    <w:tr2bl w:val="nil"/>
                  </w:tcBorders>
                  <w:vAlign w:val="center"/>
                </w:tcPr>
                <w:p w14:paraId="65AFA304">
                  <w:pPr>
                    <w:pStyle w:val="30"/>
                    <w:jc w:val="center"/>
                    <w:rPr>
                      <w:b/>
                      <w:bCs/>
                      <w:highlight w:val="none"/>
                      <w:u w:val="none" w:color="auto"/>
                    </w:rPr>
                  </w:pPr>
                  <w:r>
                    <w:rPr>
                      <w:b/>
                      <w:bCs/>
                      <w:highlight w:val="none"/>
                      <w:u w:val="none" w:color="auto"/>
                    </w:rPr>
                    <w:t>燃料消耗量</w:t>
                  </w:r>
                </w:p>
              </w:tc>
              <w:tc>
                <w:tcPr>
                  <w:tcW w:w="1315" w:type="dxa"/>
                  <w:tcBorders>
                    <w:tl2br w:val="nil"/>
                    <w:tr2bl w:val="nil"/>
                  </w:tcBorders>
                  <w:vAlign w:val="center"/>
                </w:tcPr>
                <w:p w14:paraId="1E0DCFE9">
                  <w:pPr>
                    <w:pStyle w:val="30"/>
                    <w:jc w:val="center"/>
                    <w:rPr>
                      <w:b/>
                      <w:bCs/>
                      <w:highlight w:val="none"/>
                      <w:u w:val="none" w:color="auto"/>
                    </w:rPr>
                  </w:pPr>
                  <w:r>
                    <w:rPr>
                      <w:b/>
                      <w:bCs/>
                      <w:highlight w:val="none"/>
                      <w:u w:val="none" w:color="auto"/>
                    </w:rPr>
                    <w:t>污染物指标</w:t>
                  </w:r>
                </w:p>
              </w:tc>
              <w:tc>
                <w:tcPr>
                  <w:tcW w:w="1189" w:type="dxa"/>
                  <w:tcBorders>
                    <w:tl2br w:val="nil"/>
                    <w:tr2bl w:val="nil"/>
                  </w:tcBorders>
                  <w:vAlign w:val="center"/>
                </w:tcPr>
                <w:p w14:paraId="12EDD000">
                  <w:pPr>
                    <w:pStyle w:val="30"/>
                    <w:jc w:val="center"/>
                    <w:rPr>
                      <w:b/>
                      <w:bCs/>
                      <w:highlight w:val="none"/>
                      <w:u w:val="none" w:color="auto"/>
                    </w:rPr>
                  </w:pPr>
                  <w:r>
                    <w:rPr>
                      <w:b/>
                      <w:bCs/>
                      <w:highlight w:val="none"/>
                      <w:u w:val="none" w:color="auto"/>
                    </w:rPr>
                    <w:t>单位</w:t>
                  </w:r>
                </w:p>
              </w:tc>
              <w:tc>
                <w:tcPr>
                  <w:tcW w:w="1114" w:type="dxa"/>
                  <w:tcBorders>
                    <w:tl2br w:val="nil"/>
                    <w:tr2bl w:val="nil"/>
                  </w:tcBorders>
                  <w:vAlign w:val="center"/>
                </w:tcPr>
                <w:p w14:paraId="485145E0">
                  <w:pPr>
                    <w:pStyle w:val="30"/>
                    <w:jc w:val="center"/>
                    <w:rPr>
                      <w:b/>
                      <w:bCs/>
                      <w:highlight w:val="none"/>
                      <w:u w:val="none" w:color="auto"/>
                    </w:rPr>
                  </w:pPr>
                  <w:r>
                    <w:rPr>
                      <w:b/>
                      <w:bCs/>
                      <w:highlight w:val="none"/>
                      <w:u w:val="none" w:color="auto"/>
                    </w:rPr>
                    <w:t>产污系数</w:t>
                  </w:r>
                </w:p>
              </w:tc>
              <w:tc>
                <w:tcPr>
                  <w:tcW w:w="1455" w:type="dxa"/>
                  <w:tcBorders>
                    <w:tl2br w:val="nil"/>
                    <w:tr2bl w:val="nil"/>
                  </w:tcBorders>
                  <w:vAlign w:val="center"/>
                </w:tcPr>
                <w:p w14:paraId="70F26CDA">
                  <w:pPr>
                    <w:pStyle w:val="30"/>
                    <w:jc w:val="center"/>
                    <w:rPr>
                      <w:b/>
                      <w:bCs/>
                      <w:highlight w:val="none"/>
                      <w:u w:val="none" w:color="auto"/>
                    </w:rPr>
                  </w:pPr>
                  <w:r>
                    <w:rPr>
                      <w:rFonts w:hint="eastAsia"/>
                      <w:b/>
                      <w:bCs/>
                      <w:highlight w:val="none"/>
                      <w:u w:val="none" w:color="auto"/>
                    </w:rPr>
                    <w:t>末端治理</w:t>
                  </w:r>
                </w:p>
              </w:tc>
              <w:tc>
                <w:tcPr>
                  <w:tcW w:w="1513" w:type="dxa"/>
                  <w:tcBorders>
                    <w:tl2br w:val="nil"/>
                    <w:tr2bl w:val="nil"/>
                  </w:tcBorders>
                  <w:vAlign w:val="center"/>
                </w:tcPr>
                <w:p w14:paraId="1F46D62B">
                  <w:pPr>
                    <w:pStyle w:val="30"/>
                    <w:jc w:val="center"/>
                    <w:rPr>
                      <w:b/>
                      <w:bCs/>
                      <w:highlight w:val="none"/>
                      <w:u w:val="none" w:color="auto"/>
                    </w:rPr>
                  </w:pPr>
                  <w:r>
                    <w:rPr>
                      <w:rFonts w:hint="eastAsia"/>
                      <w:b/>
                      <w:bCs/>
                      <w:highlight w:val="none"/>
                      <w:u w:val="none" w:color="auto"/>
                    </w:rPr>
                    <w:t>去除效率（%）</w:t>
                  </w:r>
                </w:p>
              </w:tc>
            </w:tr>
            <w:tr w14:paraId="0F35F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0" w:type="dxa"/>
                  <w:vMerge w:val="restart"/>
                  <w:tcBorders>
                    <w:tl2br w:val="nil"/>
                    <w:tr2bl w:val="nil"/>
                  </w:tcBorders>
                  <w:vAlign w:val="center"/>
                </w:tcPr>
                <w:p w14:paraId="4D3046FA">
                  <w:pPr>
                    <w:pStyle w:val="30"/>
                    <w:jc w:val="center"/>
                    <w:rPr>
                      <w:highlight w:val="none"/>
                      <w:u w:val="none" w:color="auto"/>
                    </w:rPr>
                  </w:pPr>
                  <w:r>
                    <w:rPr>
                      <w:highlight w:val="none"/>
                      <w:u w:val="none" w:color="auto"/>
                    </w:rPr>
                    <w:t>生物质成型燃料</w:t>
                  </w:r>
                  <w:r>
                    <w:rPr>
                      <w:rStyle w:val="52"/>
                      <w:highlight w:val="none"/>
                      <w:u w:val="none" w:color="auto"/>
                    </w:rPr>
                    <w:t>193.37</w:t>
                  </w:r>
                  <w:r>
                    <w:rPr>
                      <w:rStyle w:val="52"/>
                      <w:rFonts w:hint="default"/>
                      <w:highlight w:val="none"/>
                      <w:u w:val="none" w:color="auto"/>
                    </w:rPr>
                    <w:t>t/a</w:t>
                  </w:r>
                </w:p>
              </w:tc>
              <w:tc>
                <w:tcPr>
                  <w:tcW w:w="1315" w:type="dxa"/>
                  <w:tcBorders>
                    <w:tl2br w:val="nil"/>
                    <w:tr2bl w:val="nil"/>
                  </w:tcBorders>
                  <w:vAlign w:val="center"/>
                </w:tcPr>
                <w:p w14:paraId="501FCBD9">
                  <w:pPr>
                    <w:pStyle w:val="30"/>
                    <w:jc w:val="center"/>
                    <w:rPr>
                      <w:highlight w:val="none"/>
                      <w:u w:val="none" w:color="auto"/>
                    </w:rPr>
                  </w:pPr>
                  <w:r>
                    <w:rPr>
                      <w:highlight w:val="none"/>
                      <w:u w:val="none" w:color="auto"/>
                    </w:rPr>
                    <w:t>工业废气量</w:t>
                  </w:r>
                </w:p>
              </w:tc>
              <w:tc>
                <w:tcPr>
                  <w:tcW w:w="1189" w:type="dxa"/>
                  <w:tcBorders>
                    <w:tl2br w:val="nil"/>
                    <w:tr2bl w:val="nil"/>
                  </w:tcBorders>
                  <w:vAlign w:val="center"/>
                </w:tcPr>
                <w:p w14:paraId="6EDC144D">
                  <w:pPr>
                    <w:pStyle w:val="30"/>
                    <w:jc w:val="center"/>
                    <w:rPr>
                      <w:highlight w:val="none"/>
                      <w:u w:val="none" w:color="auto"/>
                    </w:rPr>
                  </w:pPr>
                  <w:r>
                    <w:rPr>
                      <w:highlight w:val="none"/>
                      <w:u w:val="none" w:color="auto"/>
                    </w:rPr>
                    <w:t>m</w:t>
                  </w:r>
                  <w:r>
                    <w:rPr>
                      <w:highlight w:val="none"/>
                      <w:u w:val="none" w:color="auto"/>
                      <w:vertAlign w:val="superscript"/>
                    </w:rPr>
                    <w:t>3</w:t>
                  </w:r>
                  <w:r>
                    <w:rPr>
                      <w:highlight w:val="none"/>
                      <w:u w:val="none" w:color="auto"/>
                    </w:rPr>
                    <w:t>/t-原料</w:t>
                  </w:r>
                </w:p>
              </w:tc>
              <w:tc>
                <w:tcPr>
                  <w:tcW w:w="1114" w:type="dxa"/>
                  <w:tcBorders>
                    <w:tl2br w:val="nil"/>
                    <w:tr2bl w:val="nil"/>
                  </w:tcBorders>
                  <w:vAlign w:val="center"/>
                </w:tcPr>
                <w:p w14:paraId="0C03D153">
                  <w:pPr>
                    <w:pStyle w:val="30"/>
                    <w:jc w:val="center"/>
                    <w:rPr>
                      <w:highlight w:val="none"/>
                      <w:u w:val="none" w:color="auto"/>
                    </w:rPr>
                  </w:pPr>
                  <w:r>
                    <w:rPr>
                      <w:highlight w:val="none"/>
                      <w:u w:val="none" w:color="auto"/>
                    </w:rPr>
                    <w:t>6240</w:t>
                  </w:r>
                </w:p>
              </w:tc>
              <w:tc>
                <w:tcPr>
                  <w:tcW w:w="1455" w:type="dxa"/>
                  <w:tcBorders>
                    <w:tl2br w:val="nil"/>
                    <w:tr2bl w:val="nil"/>
                  </w:tcBorders>
                  <w:vAlign w:val="center"/>
                </w:tcPr>
                <w:p w14:paraId="098220AB">
                  <w:pPr>
                    <w:pStyle w:val="30"/>
                    <w:jc w:val="center"/>
                    <w:rPr>
                      <w:highlight w:val="none"/>
                      <w:u w:val="none" w:color="auto"/>
                    </w:rPr>
                  </w:pPr>
                  <w:r>
                    <w:rPr>
                      <w:rFonts w:hint="eastAsia"/>
                      <w:highlight w:val="none"/>
                      <w:u w:val="none" w:color="auto"/>
                    </w:rPr>
                    <w:t>/</w:t>
                  </w:r>
                </w:p>
              </w:tc>
              <w:tc>
                <w:tcPr>
                  <w:tcW w:w="1513" w:type="dxa"/>
                  <w:tcBorders>
                    <w:tl2br w:val="nil"/>
                    <w:tr2bl w:val="nil"/>
                  </w:tcBorders>
                  <w:vAlign w:val="center"/>
                </w:tcPr>
                <w:p w14:paraId="602BE67C">
                  <w:pPr>
                    <w:pStyle w:val="30"/>
                    <w:jc w:val="center"/>
                    <w:rPr>
                      <w:highlight w:val="none"/>
                      <w:u w:val="none" w:color="auto"/>
                    </w:rPr>
                  </w:pPr>
                  <w:r>
                    <w:rPr>
                      <w:rFonts w:hint="eastAsia"/>
                      <w:highlight w:val="none"/>
                      <w:u w:val="none" w:color="auto"/>
                    </w:rPr>
                    <w:t>/</w:t>
                  </w:r>
                </w:p>
              </w:tc>
            </w:tr>
            <w:tr w14:paraId="0EE7F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350" w:type="dxa"/>
                  <w:vMerge w:val="continue"/>
                  <w:tcBorders>
                    <w:tl2br w:val="nil"/>
                    <w:tr2bl w:val="nil"/>
                  </w:tcBorders>
                  <w:vAlign w:val="center"/>
                </w:tcPr>
                <w:p w14:paraId="25336223">
                  <w:pPr>
                    <w:pStyle w:val="30"/>
                    <w:jc w:val="center"/>
                    <w:rPr>
                      <w:highlight w:val="none"/>
                      <w:u w:val="none" w:color="auto"/>
                    </w:rPr>
                  </w:pPr>
                </w:p>
              </w:tc>
              <w:tc>
                <w:tcPr>
                  <w:tcW w:w="1315" w:type="dxa"/>
                  <w:tcBorders>
                    <w:tl2br w:val="nil"/>
                    <w:tr2bl w:val="nil"/>
                  </w:tcBorders>
                  <w:vAlign w:val="center"/>
                </w:tcPr>
                <w:p w14:paraId="3F48B21B">
                  <w:pPr>
                    <w:pStyle w:val="30"/>
                    <w:jc w:val="center"/>
                    <w:rPr>
                      <w:highlight w:val="none"/>
                      <w:u w:val="none" w:color="auto"/>
                    </w:rPr>
                  </w:pPr>
                  <w:r>
                    <w:rPr>
                      <w:highlight w:val="none"/>
                      <w:u w:val="none" w:color="auto"/>
                    </w:rPr>
                    <w:t>颗粒物</w:t>
                  </w:r>
                </w:p>
              </w:tc>
              <w:tc>
                <w:tcPr>
                  <w:tcW w:w="1189" w:type="dxa"/>
                  <w:tcBorders>
                    <w:tl2br w:val="nil"/>
                    <w:tr2bl w:val="nil"/>
                  </w:tcBorders>
                  <w:vAlign w:val="center"/>
                </w:tcPr>
                <w:p w14:paraId="62E58408">
                  <w:pPr>
                    <w:pStyle w:val="30"/>
                    <w:jc w:val="center"/>
                    <w:rPr>
                      <w:highlight w:val="none"/>
                      <w:u w:val="none" w:color="auto"/>
                    </w:rPr>
                  </w:pPr>
                  <w:r>
                    <w:rPr>
                      <w:highlight w:val="none"/>
                      <w:u w:val="none" w:color="auto"/>
                    </w:rPr>
                    <w:t>kg/t-原料</w:t>
                  </w:r>
                </w:p>
              </w:tc>
              <w:tc>
                <w:tcPr>
                  <w:tcW w:w="1114" w:type="dxa"/>
                  <w:tcBorders>
                    <w:tl2br w:val="nil"/>
                    <w:tr2bl w:val="nil"/>
                  </w:tcBorders>
                  <w:vAlign w:val="center"/>
                </w:tcPr>
                <w:p w14:paraId="1A071906">
                  <w:pPr>
                    <w:pStyle w:val="30"/>
                    <w:jc w:val="center"/>
                    <w:rPr>
                      <w:highlight w:val="none"/>
                      <w:u w:val="none" w:color="auto"/>
                    </w:rPr>
                  </w:pPr>
                  <w:r>
                    <w:rPr>
                      <w:highlight w:val="none"/>
                      <w:u w:val="none" w:color="auto"/>
                    </w:rPr>
                    <w:t>0.5</w:t>
                  </w:r>
                </w:p>
              </w:tc>
              <w:tc>
                <w:tcPr>
                  <w:tcW w:w="1455" w:type="dxa"/>
                  <w:tcBorders>
                    <w:tl2br w:val="nil"/>
                    <w:tr2bl w:val="nil"/>
                  </w:tcBorders>
                  <w:vAlign w:val="center"/>
                </w:tcPr>
                <w:p w14:paraId="1D57C729">
                  <w:pPr>
                    <w:pStyle w:val="30"/>
                    <w:jc w:val="center"/>
                    <w:rPr>
                      <w:highlight w:val="none"/>
                      <w:u w:val="none" w:color="auto"/>
                    </w:rPr>
                  </w:pPr>
                  <w:r>
                    <w:rPr>
                      <w:rFonts w:hint="eastAsia"/>
                      <w:highlight w:val="none"/>
                      <w:u w:val="none" w:color="auto"/>
                      <w:lang w:val="en-US" w:eastAsia="zh-CN"/>
                    </w:rPr>
                    <w:t>水膜</w:t>
                  </w:r>
                  <w:r>
                    <w:rPr>
                      <w:rFonts w:hint="eastAsia"/>
                      <w:highlight w:val="none"/>
                      <w:u w:val="none" w:color="auto"/>
                    </w:rPr>
                    <w:t>除尘</w:t>
                  </w:r>
                </w:p>
              </w:tc>
              <w:tc>
                <w:tcPr>
                  <w:tcW w:w="1513" w:type="dxa"/>
                  <w:tcBorders>
                    <w:tl2br w:val="nil"/>
                    <w:tr2bl w:val="nil"/>
                  </w:tcBorders>
                  <w:vAlign w:val="center"/>
                </w:tcPr>
                <w:p w14:paraId="4B802A6A">
                  <w:pPr>
                    <w:pStyle w:val="30"/>
                    <w:jc w:val="center"/>
                    <w:rPr>
                      <w:rFonts w:hint="default" w:eastAsia="宋体"/>
                      <w:highlight w:val="none"/>
                      <w:u w:val="none" w:color="auto"/>
                      <w:lang w:val="en-US" w:eastAsia="zh-CN"/>
                    </w:rPr>
                  </w:pPr>
                  <w:r>
                    <w:rPr>
                      <w:rFonts w:hint="eastAsia"/>
                      <w:highlight w:val="none"/>
                      <w:u w:val="none" w:color="auto"/>
                      <w:lang w:val="en-US" w:eastAsia="zh-CN"/>
                    </w:rPr>
                    <w:t>85</w:t>
                  </w:r>
                </w:p>
              </w:tc>
            </w:tr>
            <w:tr w14:paraId="53DE3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50" w:type="dxa"/>
                  <w:vMerge w:val="continue"/>
                  <w:tcBorders>
                    <w:tl2br w:val="nil"/>
                    <w:tr2bl w:val="nil"/>
                  </w:tcBorders>
                  <w:vAlign w:val="center"/>
                </w:tcPr>
                <w:p w14:paraId="7449572F">
                  <w:pPr>
                    <w:pStyle w:val="30"/>
                    <w:jc w:val="center"/>
                    <w:rPr>
                      <w:highlight w:val="none"/>
                      <w:u w:val="none" w:color="auto"/>
                    </w:rPr>
                  </w:pPr>
                </w:p>
              </w:tc>
              <w:tc>
                <w:tcPr>
                  <w:tcW w:w="1315" w:type="dxa"/>
                  <w:tcBorders>
                    <w:tl2br w:val="nil"/>
                    <w:tr2bl w:val="nil"/>
                  </w:tcBorders>
                  <w:vAlign w:val="center"/>
                </w:tcPr>
                <w:p w14:paraId="3CA29784">
                  <w:pPr>
                    <w:pStyle w:val="30"/>
                    <w:jc w:val="center"/>
                    <w:rPr>
                      <w:highlight w:val="none"/>
                      <w:u w:val="none" w:color="auto"/>
                    </w:rPr>
                  </w:pPr>
                  <w:r>
                    <w:rPr>
                      <w:highlight w:val="none"/>
                      <w:u w:val="none" w:color="auto"/>
                    </w:rPr>
                    <w:t>SO</w:t>
                  </w:r>
                  <w:r>
                    <w:rPr>
                      <w:highlight w:val="none"/>
                      <w:u w:val="none" w:color="auto"/>
                      <w:vertAlign w:val="subscript"/>
                    </w:rPr>
                    <w:t>2</w:t>
                  </w:r>
                </w:p>
              </w:tc>
              <w:tc>
                <w:tcPr>
                  <w:tcW w:w="1189" w:type="dxa"/>
                  <w:tcBorders>
                    <w:tl2br w:val="nil"/>
                    <w:tr2bl w:val="nil"/>
                  </w:tcBorders>
                  <w:vAlign w:val="center"/>
                </w:tcPr>
                <w:p w14:paraId="449B7D18">
                  <w:pPr>
                    <w:pStyle w:val="30"/>
                    <w:jc w:val="center"/>
                    <w:rPr>
                      <w:highlight w:val="none"/>
                      <w:u w:val="none" w:color="auto"/>
                    </w:rPr>
                  </w:pPr>
                  <w:r>
                    <w:rPr>
                      <w:highlight w:val="none"/>
                      <w:u w:val="none" w:color="auto"/>
                    </w:rPr>
                    <w:t>kg/t-原料</w:t>
                  </w:r>
                </w:p>
              </w:tc>
              <w:tc>
                <w:tcPr>
                  <w:tcW w:w="1114" w:type="dxa"/>
                  <w:tcBorders>
                    <w:tl2br w:val="nil"/>
                    <w:tr2bl w:val="nil"/>
                  </w:tcBorders>
                  <w:vAlign w:val="center"/>
                </w:tcPr>
                <w:p w14:paraId="1C1AC8E7">
                  <w:pPr>
                    <w:pStyle w:val="30"/>
                    <w:jc w:val="center"/>
                    <w:rPr>
                      <w:highlight w:val="none"/>
                      <w:u w:val="none" w:color="auto"/>
                    </w:rPr>
                  </w:pPr>
                  <w:r>
                    <w:rPr>
                      <w:highlight w:val="none"/>
                      <w:u w:val="none" w:color="auto"/>
                    </w:rPr>
                    <w:t>17S</w:t>
                  </w:r>
                  <w:r>
                    <w:rPr>
                      <w:szCs w:val="24"/>
                      <w:highlight w:val="none"/>
                      <w:u w:val="none" w:color="auto"/>
                      <w:vertAlign w:val="superscript"/>
                      <w:lang w:bidi="ar"/>
                    </w:rPr>
                    <w:t>①</w:t>
                  </w:r>
                </w:p>
              </w:tc>
              <w:tc>
                <w:tcPr>
                  <w:tcW w:w="1455" w:type="dxa"/>
                  <w:tcBorders>
                    <w:tl2br w:val="nil"/>
                    <w:tr2bl w:val="nil"/>
                  </w:tcBorders>
                  <w:vAlign w:val="center"/>
                </w:tcPr>
                <w:p w14:paraId="4A9A0ED3">
                  <w:pPr>
                    <w:pStyle w:val="30"/>
                    <w:jc w:val="center"/>
                    <w:rPr>
                      <w:highlight w:val="none"/>
                      <w:u w:val="none" w:color="auto"/>
                    </w:rPr>
                  </w:pPr>
                  <w:r>
                    <w:rPr>
                      <w:rFonts w:hint="eastAsia"/>
                      <w:highlight w:val="none"/>
                      <w:u w:val="none" w:color="auto"/>
                    </w:rPr>
                    <w:t>/</w:t>
                  </w:r>
                </w:p>
              </w:tc>
              <w:tc>
                <w:tcPr>
                  <w:tcW w:w="1513" w:type="dxa"/>
                  <w:tcBorders>
                    <w:tl2br w:val="nil"/>
                    <w:tr2bl w:val="nil"/>
                  </w:tcBorders>
                  <w:vAlign w:val="center"/>
                </w:tcPr>
                <w:p w14:paraId="13378461">
                  <w:pPr>
                    <w:pStyle w:val="30"/>
                    <w:jc w:val="center"/>
                    <w:rPr>
                      <w:highlight w:val="none"/>
                      <w:u w:val="none" w:color="auto"/>
                    </w:rPr>
                  </w:pPr>
                  <w:r>
                    <w:rPr>
                      <w:rFonts w:hint="eastAsia"/>
                      <w:highlight w:val="none"/>
                      <w:u w:val="none" w:color="auto"/>
                    </w:rPr>
                    <w:t>/</w:t>
                  </w:r>
                </w:p>
              </w:tc>
            </w:tr>
            <w:tr w14:paraId="57068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0" w:type="dxa"/>
                  <w:vMerge w:val="continue"/>
                  <w:tcBorders>
                    <w:tl2br w:val="nil"/>
                    <w:tr2bl w:val="nil"/>
                  </w:tcBorders>
                  <w:vAlign w:val="center"/>
                </w:tcPr>
                <w:p w14:paraId="0F869C91">
                  <w:pPr>
                    <w:pStyle w:val="30"/>
                    <w:jc w:val="center"/>
                    <w:rPr>
                      <w:highlight w:val="none"/>
                      <w:u w:val="none" w:color="auto"/>
                    </w:rPr>
                  </w:pPr>
                </w:p>
              </w:tc>
              <w:tc>
                <w:tcPr>
                  <w:tcW w:w="1315" w:type="dxa"/>
                  <w:tcBorders>
                    <w:tl2br w:val="nil"/>
                    <w:tr2bl w:val="nil"/>
                  </w:tcBorders>
                  <w:vAlign w:val="center"/>
                </w:tcPr>
                <w:p w14:paraId="3A3128B0">
                  <w:pPr>
                    <w:pStyle w:val="30"/>
                    <w:jc w:val="center"/>
                    <w:rPr>
                      <w:highlight w:val="none"/>
                      <w:u w:val="none" w:color="auto"/>
                    </w:rPr>
                  </w:pPr>
                  <w:r>
                    <w:rPr>
                      <w:highlight w:val="none"/>
                      <w:u w:val="none" w:color="auto"/>
                    </w:rPr>
                    <w:t>NO</w:t>
                  </w:r>
                  <w:r>
                    <w:rPr>
                      <w:highlight w:val="none"/>
                      <w:u w:val="none" w:color="auto"/>
                      <w:vertAlign w:val="subscript"/>
                    </w:rPr>
                    <w:t>X</w:t>
                  </w:r>
                </w:p>
              </w:tc>
              <w:tc>
                <w:tcPr>
                  <w:tcW w:w="1189" w:type="dxa"/>
                  <w:tcBorders>
                    <w:tl2br w:val="nil"/>
                    <w:tr2bl w:val="nil"/>
                  </w:tcBorders>
                  <w:vAlign w:val="center"/>
                </w:tcPr>
                <w:p w14:paraId="0AF2C2C1">
                  <w:pPr>
                    <w:pStyle w:val="30"/>
                    <w:jc w:val="center"/>
                    <w:rPr>
                      <w:highlight w:val="none"/>
                      <w:u w:val="none" w:color="auto"/>
                    </w:rPr>
                  </w:pPr>
                  <w:r>
                    <w:rPr>
                      <w:highlight w:val="none"/>
                      <w:u w:val="none" w:color="auto"/>
                    </w:rPr>
                    <w:t>kg/t-原料</w:t>
                  </w:r>
                </w:p>
              </w:tc>
              <w:tc>
                <w:tcPr>
                  <w:tcW w:w="1114" w:type="dxa"/>
                  <w:tcBorders>
                    <w:tl2br w:val="nil"/>
                    <w:tr2bl w:val="nil"/>
                  </w:tcBorders>
                  <w:vAlign w:val="center"/>
                </w:tcPr>
                <w:p w14:paraId="1E261F49">
                  <w:pPr>
                    <w:pStyle w:val="30"/>
                    <w:jc w:val="center"/>
                    <w:rPr>
                      <w:highlight w:val="none"/>
                      <w:u w:val="none" w:color="auto"/>
                    </w:rPr>
                  </w:pPr>
                  <w:r>
                    <w:rPr>
                      <w:highlight w:val="none"/>
                      <w:u w:val="none" w:color="auto"/>
                    </w:rPr>
                    <w:t>1.02</w:t>
                  </w:r>
                </w:p>
              </w:tc>
              <w:tc>
                <w:tcPr>
                  <w:tcW w:w="1455" w:type="dxa"/>
                  <w:tcBorders>
                    <w:tl2br w:val="nil"/>
                    <w:tr2bl w:val="nil"/>
                  </w:tcBorders>
                  <w:vAlign w:val="center"/>
                </w:tcPr>
                <w:p w14:paraId="378AFDB3">
                  <w:pPr>
                    <w:jc w:val="center"/>
                    <w:rPr>
                      <w:highlight w:val="none"/>
                      <w:u w:val="none" w:color="auto"/>
                    </w:rPr>
                  </w:pPr>
                  <w:r>
                    <w:rPr>
                      <w:rFonts w:hint="eastAsia"/>
                      <w:highlight w:val="none"/>
                      <w:u w:val="none" w:color="auto"/>
                    </w:rPr>
                    <w:t>/</w:t>
                  </w:r>
                </w:p>
              </w:tc>
              <w:tc>
                <w:tcPr>
                  <w:tcW w:w="1513" w:type="dxa"/>
                  <w:tcBorders>
                    <w:tl2br w:val="nil"/>
                    <w:tr2bl w:val="nil"/>
                  </w:tcBorders>
                  <w:vAlign w:val="center"/>
                </w:tcPr>
                <w:p w14:paraId="6A338F1F">
                  <w:pPr>
                    <w:jc w:val="center"/>
                    <w:rPr>
                      <w:highlight w:val="none"/>
                      <w:u w:val="none" w:color="auto"/>
                    </w:rPr>
                  </w:pPr>
                  <w:r>
                    <w:rPr>
                      <w:rFonts w:hint="eastAsia"/>
                      <w:highlight w:val="none"/>
                      <w:u w:val="none" w:color="auto"/>
                    </w:rPr>
                    <w:t>/</w:t>
                  </w:r>
                </w:p>
              </w:tc>
            </w:tr>
            <w:tr w14:paraId="7B6A6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36" w:type="dxa"/>
                  <w:gridSpan w:val="6"/>
                  <w:tcBorders>
                    <w:tl2br w:val="nil"/>
                    <w:tr2bl w:val="nil"/>
                  </w:tcBorders>
                  <w:vAlign w:val="center"/>
                </w:tcPr>
                <w:p w14:paraId="2FDAE405">
                  <w:pPr>
                    <w:pStyle w:val="30"/>
                    <w:rPr>
                      <w:highlight w:val="none"/>
                      <w:u w:val="none" w:color="auto"/>
                    </w:rPr>
                  </w:pPr>
                  <w:r>
                    <w:rPr>
                      <w:highlight w:val="none"/>
                      <w:u w:val="none" w:color="auto"/>
                    </w:rPr>
                    <w:t>注：①SO</w:t>
                  </w:r>
                  <w:r>
                    <w:rPr>
                      <w:highlight w:val="none"/>
                      <w:u w:val="none" w:color="auto"/>
                      <w:vertAlign w:val="subscript"/>
                    </w:rPr>
                    <w:t>2</w:t>
                  </w:r>
                  <w:r>
                    <w:rPr>
                      <w:highlight w:val="none"/>
                      <w:u w:val="none" w:color="auto"/>
                    </w:rPr>
                    <w:t>的产排污系数是以含硫量（S%）的形式表示的，其中含硫量（S%）是指生物质收到基硫分含量，以质量百分数的形式表示。例如生物质中含硫量（S%）为0.1％，则S=0.1。</w:t>
                  </w:r>
                  <w:r>
                    <w:rPr>
                      <w:rFonts w:hint="eastAsia"/>
                      <w:highlight w:val="none"/>
                      <w:u w:val="none" w:color="auto"/>
                      <w:lang w:val="en-US" w:eastAsia="zh-CN"/>
                    </w:rPr>
                    <w:t>根据附件中的生物质颗粒检测报告可知，</w:t>
                  </w:r>
                  <w:r>
                    <w:rPr>
                      <w:rFonts w:hint="eastAsia"/>
                      <w:highlight w:val="none"/>
                      <w:u w:val="none" w:color="auto"/>
                    </w:rPr>
                    <w:t>本项目S取0.0</w:t>
                  </w:r>
                  <w:r>
                    <w:rPr>
                      <w:rFonts w:hint="eastAsia"/>
                      <w:highlight w:val="none"/>
                      <w:u w:val="none" w:color="auto"/>
                      <w:lang w:val="en-US" w:eastAsia="zh-CN"/>
                    </w:rPr>
                    <w:t>1</w:t>
                  </w:r>
                  <w:r>
                    <w:rPr>
                      <w:rFonts w:hint="eastAsia"/>
                      <w:highlight w:val="none"/>
                      <w:u w:val="none" w:color="auto"/>
                    </w:rPr>
                    <w:t>。</w:t>
                  </w:r>
                </w:p>
              </w:tc>
            </w:tr>
          </w:tbl>
          <w:p w14:paraId="3BF243BB">
            <w:pPr>
              <w:pStyle w:val="25"/>
              <w:bidi w:val="0"/>
              <w:rPr>
                <w:highlight w:val="none"/>
                <w:u w:val="none" w:color="auto"/>
              </w:rPr>
            </w:pPr>
            <w:r>
              <w:rPr>
                <w:highlight w:val="none"/>
                <w:u w:val="none" w:color="auto"/>
              </w:rPr>
              <w:t>项目年使用生物质</w:t>
            </w:r>
            <w:r>
              <w:rPr>
                <w:rFonts w:hint="eastAsia"/>
                <w:highlight w:val="none"/>
                <w:u w:val="none" w:color="auto"/>
              </w:rPr>
              <w:t>燃料</w:t>
            </w:r>
            <w:r>
              <w:rPr>
                <w:rStyle w:val="35"/>
                <w:highlight w:val="none"/>
                <w:u w:val="none" w:color="auto"/>
              </w:rPr>
              <w:t>193.37</w:t>
            </w:r>
            <w:r>
              <w:rPr>
                <w:rStyle w:val="35"/>
                <w:rFonts w:hint="eastAsia"/>
                <w:highlight w:val="none"/>
                <w:u w:val="none" w:color="auto"/>
              </w:rPr>
              <w:t>吨</w:t>
            </w:r>
            <w:r>
              <w:rPr>
                <w:rStyle w:val="35"/>
                <w:rFonts w:hint="eastAsia"/>
                <w:highlight w:val="none"/>
                <w:u w:val="none" w:color="auto"/>
                <w:lang w:val="en-US" w:eastAsia="zh-CN"/>
              </w:rPr>
              <w:t>/年</w:t>
            </w:r>
            <w:r>
              <w:rPr>
                <w:highlight w:val="none"/>
                <w:u w:val="none" w:color="auto"/>
              </w:rPr>
              <w:t>，</w:t>
            </w:r>
            <w:r>
              <w:rPr>
                <w:rFonts w:hint="eastAsia"/>
                <w:highlight w:val="none"/>
                <w:u w:val="none" w:color="auto"/>
                <w:lang w:val="en-US" w:eastAsia="zh-CN"/>
              </w:rPr>
              <w:t>焚烧炉</w:t>
            </w:r>
            <w:r>
              <w:rPr>
                <w:rFonts w:hint="eastAsia"/>
                <w:highlight w:val="none"/>
                <w:u w:val="none" w:color="auto"/>
              </w:rPr>
              <w:t>废气产排情况</w:t>
            </w:r>
            <w:r>
              <w:rPr>
                <w:highlight w:val="none"/>
                <w:u w:val="none" w:color="auto"/>
              </w:rPr>
              <w:t>见下表。</w:t>
            </w:r>
          </w:p>
          <w:p w14:paraId="581D3606">
            <w:pPr>
              <w:pStyle w:val="30"/>
              <w:jc w:val="center"/>
              <w:rPr>
                <w:b/>
                <w:bCs/>
                <w:highlight w:val="none"/>
                <w:u w:val="none" w:color="auto"/>
              </w:rPr>
            </w:pPr>
            <w:r>
              <w:rPr>
                <w:b/>
                <w:bCs/>
                <w:highlight w:val="none"/>
                <w:u w:val="none" w:color="auto"/>
              </w:rPr>
              <w:t>表4-</w:t>
            </w:r>
            <w:r>
              <w:rPr>
                <w:rFonts w:hint="eastAsia"/>
                <w:b/>
                <w:bCs/>
                <w:highlight w:val="none"/>
                <w:u w:val="none" w:color="auto"/>
                <w:lang w:val="en-US" w:eastAsia="zh-CN"/>
              </w:rPr>
              <w:t xml:space="preserve">4   </w:t>
            </w:r>
            <w:r>
              <w:rPr>
                <w:b/>
                <w:bCs/>
                <w:highlight w:val="none"/>
                <w:u w:val="none" w:color="auto"/>
              </w:rPr>
              <w:t>焚烧炉大气污染物产排情况一览表</w:t>
            </w:r>
            <w:r>
              <w:rPr>
                <w:rFonts w:hint="eastAsia"/>
                <w:b/>
                <w:bCs/>
                <w:highlight w:val="none"/>
                <w:u w:val="none" w:color="auto"/>
                <w:lang w:eastAsia="zh-CN"/>
              </w:rPr>
              <w:t>（</w:t>
            </w:r>
            <w:r>
              <w:rPr>
                <w:rFonts w:hint="eastAsia"/>
                <w:b/>
                <w:bCs/>
                <w:highlight w:val="none"/>
                <w:u w:val="none" w:color="auto"/>
                <w:lang w:val="en-US" w:eastAsia="zh-CN"/>
              </w:rPr>
              <w:t>二</w:t>
            </w:r>
            <w:r>
              <w:rPr>
                <w:rFonts w:hint="eastAsia"/>
                <w:b/>
                <w:bCs/>
                <w:highlight w:val="none"/>
                <w:u w:val="none" w:color="auto"/>
                <w:lang w:eastAsia="zh-CN"/>
              </w:rPr>
              <w:t>）</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936"/>
              <w:gridCol w:w="818"/>
              <w:gridCol w:w="1114"/>
              <w:gridCol w:w="727"/>
              <w:gridCol w:w="931"/>
              <w:gridCol w:w="881"/>
              <w:gridCol w:w="949"/>
              <w:gridCol w:w="679"/>
            </w:tblGrid>
            <w:tr w14:paraId="62B0B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tcBorders>
                    <w:tl2br w:val="nil"/>
                    <w:tr2bl w:val="nil"/>
                  </w:tcBorders>
                  <w:vAlign w:val="center"/>
                </w:tcPr>
                <w:p w14:paraId="73AE5CE4">
                  <w:pPr>
                    <w:pStyle w:val="30"/>
                    <w:adjustRightInd/>
                    <w:jc w:val="center"/>
                    <w:rPr>
                      <w:highlight w:val="none"/>
                      <w:u w:val="none" w:color="auto"/>
                    </w:rPr>
                  </w:pPr>
                  <w:r>
                    <w:rPr>
                      <w:b/>
                      <w:bCs/>
                      <w:highlight w:val="none"/>
                      <w:u w:val="none" w:color="auto"/>
                    </w:rPr>
                    <w:t>污染物指标</w:t>
                  </w:r>
                </w:p>
              </w:tc>
              <w:tc>
                <w:tcPr>
                  <w:tcW w:w="936" w:type="dxa"/>
                  <w:tcBorders>
                    <w:tl2br w:val="nil"/>
                    <w:tr2bl w:val="nil"/>
                  </w:tcBorders>
                  <w:vAlign w:val="center"/>
                </w:tcPr>
                <w:p w14:paraId="032E996F">
                  <w:pPr>
                    <w:pStyle w:val="30"/>
                    <w:adjustRightInd/>
                    <w:jc w:val="center"/>
                    <w:rPr>
                      <w:highlight w:val="none"/>
                      <w:u w:val="none" w:color="auto"/>
                    </w:rPr>
                  </w:pPr>
                  <w:r>
                    <w:rPr>
                      <w:b/>
                      <w:bCs/>
                      <w:highlight w:val="none"/>
                      <w:u w:val="none" w:color="auto"/>
                    </w:rPr>
                    <w:t>污染物产生量t/a</w:t>
                  </w:r>
                </w:p>
              </w:tc>
              <w:tc>
                <w:tcPr>
                  <w:tcW w:w="818" w:type="dxa"/>
                  <w:tcBorders>
                    <w:tl2br w:val="nil"/>
                    <w:tr2bl w:val="nil"/>
                  </w:tcBorders>
                  <w:vAlign w:val="center"/>
                </w:tcPr>
                <w:p w14:paraId="2DC0DB84">
                  <w:pPr>
                    <w:pStyle w:val="30"/>
                    <w:adjustRightInd/>
                    <w:jc w:val="center"/>
                    <w:rPr>
                      <w:highlight w:val="none"/>
                      <w:u w:val="none" w:color="auto"/>
                    </w:rPr>
                  </w:pPr>
                  <w:r>
                    <w:rPr>
                      <w:b/>
                      <w:bCs/>
                      <w:highlight w:val="none"/>
                      <w:u w:val="none" w:color="auto"/>
                    </w:rPr>
                    <w:t>产生浓度mg/m</w:t>
                  </w:r>
                  <w:r>
                    <w:rPr>
                      <w:b/>
                      <w:bCs/>
                      <w:highlight w:val="none"/>
                      <w:u w:val="none" w:color="auto"/>
                      <w:vertAlign w:val="superscript"/>
                    </w:rPr>
                    <w:t>3</w:t>
                  </w:r>
                </w:p>
              </w:tc>
              <w:tc>
                <w:tcPr>
                  <w:tcW w:w="1114" w:type="dxa"/>
                  <w:tcBorders>
                    <w:tl2br w:val="nil"/>
                    <w:tr2bl w:val="nil"/>
                  </w:tcBorders>
                  <w:vAlign w:val="center"/>
                </w:tcPr>
                <w:p w14:paraId="5AB22687">
                  <w:pPr>
                    <w:pStyle w:val="30"/>
                    <w:adjustRightInd/>
                    <w:jc w:val="center"/>
                    <w:rPr>
                      <w:highlight w:val="none"/>
                      <w:u w:val="none" w:color="auto"/>
                    </w:rPr>
                  </w:pPr>
                  <w:r>
                    <w:rPr>
                      <w:rFonts w:hint="eastAsia"/>
                      <w:b/>
                      <w:bCs/>
                      <w:highlight w:val="none"/>
                      <w:u w:val="none" w:color="auto"/>
                    </w:rPr>
                    <w:t>治理措施</w:t>
                  </w:r>
                </w:p>
              </w:tc>
              <w:tc>
                <w:tcPr>
                  <w:tcW w:w="727" w:type="dxa"/>
                  <w:tcBorders>
                    <w:tl2br w:val="nil"/>
                    <w:tr2bl w:val="nil"/>
                  </w:tcBorders>
                  <w:vAlign w:val="center"/>
                </w:tcPr>
                <w:p w14:paraId="7F7CF623">
                  <w:pPr>
                    <w:pStyle w:val="30"/>
                    <w:adjustRightInd/>
                    <w:jc w:val="center"/>
                    <w:rPr>
                      <w:highlight w:val="none"/>
                      <w:u w:val="none" w:color="auto"/>
                    </w:rPr>
                  </w:pPr>
                  <w:r>
                    <w:rPr>
                      <w:rFonts w:hint="eastAsia"/>
                      <w:b/>
                      <w:bCs/>
                      <w:highlight w:val="none"/>
                      <w:u w:val="none" w:color="auto"/>
                    </w:rPr>
                    <w:t>去除效率</w:t>
                  </w:r>
                </w:p>
              </w:tc>
              <w:tc>
                <w:tcPr>
                  <w:tcW w:w="931" w:type="dxa"/>
                  <w:tcBorders>
                    <w:tl2br w:val="nil"/>
                    <w:tr2bl w:val="nil"/>
                  </w:tcBorders>
                  <w:vAlign w:val="center"/>
                </w:tcPr>
                <w:p w14:paraId="77FB8889">
                  <w:pPr>
                    <w:pStyle w:val="30"/>
                    <w:adjustRightInd/>
                    <w:jc w:val="center"/>
                    <w:rPr>
                      <w:highlight w:val="none"/>
                      <w:u w:val="none" w:color="auto"/>
                    </w:rPr>
                  </w:pPr>
                  <w:r>
                    <w:rPr>
                      <w:b/>
                      <w:bCs/>
                      <w:highlight w:val="none"/>
                      <w:u w:val="none" w:color="auto"/>
                    </w:rPr>
                    <w:t>污染物排放量t/a</w:t>
                  </w:r>
                </w:p>
              </w:tc>
              <w:tc>
                <w:tcPr>
                  <w:tcW w:w="881" w:type="dxa"/>
                  <w:tcBorders>
                    <w:tl2br w:val="nil"/>
                    <w:tr2bl w:val="nil"/>
                  </w:tcBorders>
                  <w:vAlign w:val="center"/>
                </w:tcPr>
                <w:p w14:paraId="07B1D84C">
                  <w:pPr>
                    <w:pStyle w:val="30"/>
                    <w:adjustRightInd/>
                    <w:jc w:val="center"/>
                    <w:rPr>
                      <w:highlight w:val="none"/>
                      <w:u w:val="none" w:color="auto"/>
                    </w:rPr>
                  </w:pPr>
                  <w:r>
                    <w:rPr>
                      <w:b/>
                      <w:bCs/>
                      <w:highlight w:val="none"/>
                      <w:u w:val="none" w:color="auto"/>
                    </w:rPr>
                    <w:t>排放浓度mg/m</w:t>
                  </w:r>
                  <w:r>
                    <w:rPr>
                      <w:b/>
                      <w:bCs/>
                      <w:highlight w:val="none"/>
                      <w:u w:val="none" w:color="auto"/>
                      <w:vertAlign w:val="superscript"/>
                    </w:rPr>
                    <w:t>3</w:t>
                  </w:r>
                </w:p>
              </w:tc>
              <w:tc>
                <w:tcPr>
                  <w:tcW w:w="949" w:type="dxa"/>
                  <w:tcBorders>
                    <w:tl2br w:val="nil"/>
                    <w:tr2bl w:val="nil"/>
                  </w:tcBorders>
                  <w:vAlign w:val="center"/>
                </w:tcPr>
                <w:p w14:paraId="1776D3AD">
                  <w:pPr>
                    <w:pStyle w:val="30"/>
                    <w:adjustRightInd/>
                    <w:jc w:val="center"/>
                    <w:rPr>
                      <w:rFonts w:hint="eastAsia" w:eastAsia="宋体"/>
                      <w:b/>
                      <w:bCs/>
                      <w:highlight w:val="none"/>
                      <w:u w:val="none" w:color="auto"/>
                      <w:lang w:val="en-US" w:eastAsia="zh-CN"/>
                    </w:rPr>
                  </w:pPr>
                  <w:r>
                    <w:rPr>
                      <w:rFonts w:hint="eastAsia"/>
                      <w:b/>
                      <w:bCs/>
                      <w:highlight w:val="none"/>
                      <w:u w:val="none" w:color="auto"/>
                      <w:lang w:val="en-US" w:eastAsia="zh-CN"/>
                    </w:rPr>
                    <w:t>排放速率</w:t>
                  </w:r>
                </w:p>
              </w:tc>
              <w:tc>
                <w:tcPr>
                  <w:tcW w:w="679" w:type="dxa"/>
                  <w:tcBorders>
                    <w:tl2br w:val="nil"/>
                    <w:tr2bl w:val="nil"/>
                  </w:tcBorders>
                  <w:vAlign w:val="center"/>
                </w:tcPr>
                <w:p w14:paraId="1BD9B8FE">
                  <w:pPr>
                    <w:pStyle w:val="30"/>
                    <w:adjustRightInd/>
                    <w:jc w:val="center"/>
                    <w:rPr>
                      <w:rFonts w:hint="default"/>
                      <w:b/>
                      <w:bCs/>
                      <w:highlight w:val="none"/>
                      <w:u w:val="none" w:color="auto"/>
                      <w:lang w:val="en-US" w:eastAsia="zh-CN"/>
                    </w:rPr>
                  </w:pPr>
                  <w:r>
                    <w:rPr>
                      <w:rFonts w:hint="eastAsia"/>
                      <w:b/>
                      <w:bCs/>
                      <w:highlight w:val="none"/>
                      <w:u w:val="none" w:color="auto"/>
                      <w:lang w:val="en-US" w:eastAsia="zh-CN"/>
                    </w:rPr>
                    <w:t>排放时间</w:t>
                  </w:r>
                </w:p>
              </w:tc>
            </w:tr>
            <w:tr w14:paraId="5EDDA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tcBorders>
                    <w:tl2br w:val="nil"/>
                    <w:tr2bl w:val="nil"/>
                  </w:tcBorders>
                  <w:vAlign w:val="center"/>
                </w:tcPr>
                <w:p w14:paraId="0793F6CD">
                  <w:pPr>
                    <w:pStyle w:val="30"/>
                    <w:jc w:val="center"/>
                    <w:rPr>
                      <w:highlight w:val="none"/>
                      <w:u w:val="none" w:color="auto"/>
                    </w:rPr>
                  </w:pPr>
                  <w:r>
                    <w:rPr>
                      <w:rFonts w:hint="eastAsia"/>
                      <w:highlight w:val="none"/>
                      <w:u w:val="none" w:color="auto"/>
                    </w:rPr>
                    <w:t>SO</w:t>
                  </w:r>
                  <w:r>
                    <w:rPr>
                      <w:rFonts w:hint="eastAsia"/>
                      <w:highlight w:val="none"/>
                      <w:u w:val="none" w:color="auto"/>
                      <w:vertAlign w:val="subscript"/>
                    </w:rPr>
                    <w:t>2</w:t>
                  </w:r>
                </w:p>
              </w:tc>
              <w:tc>
                <w:tcPr>
                  <w:tcW w:w="936" w:type="dxa"/>
                  <w:tcBorders>
                    <w:tl2br w:val="nil"/>
                    <w:tr2bl w:val="nil"/>
                  </w:tcBorders>
                  <w:vAlign w:val="center"/>
                </w:tcPr>
                <w:p w14:paraId="526FDD47">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0.03287</w:t>
                  </w:r>
                </w:p>
              </w:tc>
              <w:tc>
                <w:tcPr>
                  <w:tcW w:w="818" w:type="dxa"/>
                  <w:tcBorders>
                    <w:tl2br w:val="nil"/>
                    <w:tr2bl w:val="nil"/>
                  </w:tcBorders>
                  <w:vAlign w:val="center"/>
                </w:tcPr>
                <w:p w14:paraId="2888DF96">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2.74</w:t>
                  </w:r>
                </w:p>
              </w:tc>
              <w:tc>
                <w:tcPr>
                  <w:tcW w:w="1114" w:type="dxa"/>
                  <w:tcBorders>
                    <w:tl2br w:val="nil"/>
                    <w:tr2bl w:val="nil"/>
                  </w:tcBorders>
                  <w:vAlign w:val="center"/>
                </w:tcPr>
                <w:p w14:paraId="25F63B76">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w:t>
                  </w:r>
                </w:p>
              </w:tc>
              <w:tc>
                <w:tcPr>
                  <w:tcW w:w="727" w:type="dxa"/>
                  <w:tcBorders>
                    <w:tl2br w:val="nil"/>
                    <w:tr2bl w:val="nil"/>
                  </w:tcBorders>
                  <w:vAlign w:val="center"/>
                </w:tcPr>
                <w:p w14:paraId="7253D9A8">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w:t>
                  </w:r>
                </w:p>
              </w:tc>
              <w:tc>
                <w:tcPr>
                  <w:tcW w:w="931" w:type="dxa"/>
                  <w:tcBorders>
                    <w:tl2br w:val="nil"/>
                    <w:tr2bl w:val="nil"/>
                  </w:tcBorders>
                  <w:vAlign w:val="center"/>
                </w:tcPr>
                <w:p w14:paraId="15D2004A">
                  <w:pPr>
                    <w:pStyle w:val="30"/>
                    <w:jc w:val="center"/>
                    <w:rPr>
                      <w:rFonts w:hint="default" w:cs="Times New Roman"/>
                      <w:highlight w:val="none"/>
                      <w:u w:val="none" w:color="auto"/>
                      <w:lang w:val="en-US" w:eastAsia="zh-CN"/>
                    </w:rPr>
                  </w:pPr>
                  <w:r>
                    <w:rPr>
                      <w:rFonts w:hint="eastAsia" w:cs="Times New Roman"/>
                      <w:highlight w:val="none"/>
                      <w:u w:val="none" w:color="auto"/>
                      <w:lang w:val="en-US" w:eastAsia="zh-CN"/>
                    </w:rPr>
                    <w:t>0.03287</w:t>
                  </w:r>
                </w:p>
              </w:tc>
              <w:tc>
                <w:tcPr>
                  <w:tcW w:w="881" w:type="dxa"/>
                  <w:tcBorders>
                    <w:tl2br w:val="nil"/>
                    <w:tr2bl w:val="nil"/>
                  </w:tcBorders>
                  <w:vAlign w:val="center"/>
                </w:tcPr>
                <w:p w14:paraId="3461CCE8">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2.74</w:t>
                  </w:r>
                </w:p>
              </w:tc>
              <w:tc>
                <w:tcPr>
                  <w:tcW w:w="949" w:type="dxa"/>
                  <w:tcBorders>
                    <w:tl2br w:val="nil"/>
                    <w:tr2bl w:val="nil"/>
                  </w:tcBorders>
                  <w:vAlign w:val="center"/>
                </w:tcPr>
                <w:p w14:paraId="030A575C">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0.0137</w:t>
                  </w:r>
                </w:p>
              </w:tc>
              <w:tc>
                <w:tcPr>
                  <w:tcW w:w="679" w:type="dxa"/>
                  <w:vMerge w:val="restart"/>
                  <w:tcBorders>
                    <w:tl2br w:val="nil"/>
                    <w:tr2bl w:val="nil"/>
                  </w:tcBorders>
                  <w:vAlign w:val="center"/>
                </w:tcPr>
                <w:p w14:paraId="02C1FD6F">
                  <w:pPr>
                    <w:pStyle w:val="30"/>
                    <w:jc w:val="center"/>
                    <w:rPr>
                      <w:rFonts w:hint="default"/>
                      <w:highlight w:val="none"/>
                      <w:u w:val="none" w:color="auto"/>
                      <w:lang w:val="en-US" w:eastAsia="zh-CN"/>
                    </w:rPr>
                  </w:pPr>
                  <w:r>
                    <w:rPr>
                      <w:rFonts w:hint="eastAsia"/>
                      <w:highlight w:val="none"/>
                      <w:u w:val="none" w:color="auto"/>
                      <w:lang w:val="en-US" w:eastAsia="zh-CN"/>
                    </w:rPr>
                    <w:t>2400</w:t>
                  </w:r>
                </w:p>
              </w:tc>
            </w:tr>
            <w:tr w14:paraId="56338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97" w:type="dxa"/>
                  <w:tcBorders>
                    <w:tl2br w:val="nil"/>
                    <w:tr2bl w:val="nil"/>
                  </w:tcBorders>
                  <w:vAlign w:val="center"/>
                </w:tcPr>
                <w:p w14:paraId="15006B65">
                  <w:pPr>
                    <w:pStyle w:val="30"/>
                    <w:jc w:val="center"/>
                    <w:rPr>
                      <w:highlight w:val="none"/>
                      <w:u w:val="none" w:color="auto"/>
                    </w:rPr>
                  </w:pPr>
                  <w:r>
                    <w:rPr>
                      <w:rFonts w:hint="eastAsia"/>
                      <w:highlight w:val="none"/>
                      <w:u w:val="none" w:color="auto"/>
                    </w:rPr>
                    <w:t>颗粒物</w:t>
                  </w:r>
                </w:p>
              </w:tc>
              <w:tc>
                <w:tcPr>
                  <w:tcW w:w="936" w:type="dxa"/>
                  <w:tcBorders>
                    <w:tl2br w:val="nil"/>
                    <w:tr2bl w:val="nil"/>
                  </w:tcBorders>
                  <w:vAlign w:val="center"/>
                </w:tcPr>
                <w:p w14:paraId="4C24B64A">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0.09669</w:t>
                  </w:r>
                </w:p>
              </w:tc>
              <w:tc>
                <w:tcPr>
                  <w:tcW w:w="818" w:type="dxa"/>
                  <w:tcBorders>
                    <w:tl2br w:val="nil"/>
                    <w:tr2bl w:val="nil"/>
                  </w:tcBorders>
                  <w:vAlign w:val="center"/>
                </w:tcPr>
                <w:p w14:paraId="3772225B">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8.06</w:t>
                  </w:r>
                </w:p>
              </w:tc>
              <w:tc>
                <w:tcPr>
                  <w:tcW w:w="1114" w:type="dxa"/>
                  <w:tcBorders>
                    <w:tl2br w:val="nil"/>
                    <w:tr2bl w:val="nil"/>
                  </w:tcBorders>
                  <w:vAlign w:val="center"/>
                </w:tcPr>
                <w:p w14:paraId="309CBEFF">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水膜除尘</w:t>
                  </w:r>
                </w:p>
              </w:tc>
              <w:tc>
                <w:tcPr>
                  <w:tcW w:w="727" w:type="dxa"/>
                  <w:tcBorders>
                    <w:tl2br w:val="nil"/>
                    <w:tr2bl w:val="nil"/>
                  </w:tcBorders>
                  <w:vAlign w:val="center"/>
                </w:tcPr>
                <w:p w14:paraId="0858107C">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85%</w:t>
                  </w:r>
                </w:p>
              </w:tc>
              <w:tc>
                <w:tcPr>
                  <w:tcW w:w="931" w:type="dxa"/>
                  <w:tcBorders>
                    <w:tl2br w:val="nil"/>
                    <w:tr2bl w:val="nil"/>
                  </w:tcBorders>
                  <w:vAlign w:val="center"/>
                </w:tcPr>
                <w:p w14:paraId="357D2257">
                  <w:pPr>
                    <w:pStyle w:val="30"/>
                    <w:jc w:val="center"/>
                    <w:rPr>
                      <w:rFonts w:hint="default" w:cs="Times New Roman"/>
                      <w:highlight w:val="none"/>
                      <w:u w:val="none" w:color="auto"/>
                      <w:lang w:val="en-US" w:eastAsia="zh-CN"/>
                    </w:rPr>
                  </w:pPr>
                  <w:r>
                    <w:rPr>
                      <w:rFonts w:hint="eastAsia" w:cs="Times New Roman"/>
                      <w:highlight w:val="none"/>
                      <w:u w:val="none" w:color="auto"/>
                      <w:lang w:val="en-US" w:eastAsia="zh-CN"/>
                    </w:rPr>
                    <w:t>0.0145</w:t>
                  </w:r>
                </w:p>
              </w:tc>
              <w:tc>
                <w:tcPr>
                  <w:tcW w:w="881" w:type="dxa"/>
                  <w:tcBorders>
                    <w:tl2br w:val="nil"/>
                    <w:tr2bl w:val="nil"/>
                  </w:tcBorders>
                  <w:vAlign w:val="center"/>
                </w:tcPr>
                <w:p w14:paraId="1C9B2D6A">
                  <w:pPr>
                    <w:pStyle w:val="30"/>
                    <w:jc w:val="center"/>
                    <w:rPr>
                      <w:rFonts w:hint="default" w:cs="Times New Roman"/>
                      <w:highlight w:val="none"/>
                      <w:u w:val="none" w:color="auto"/>
                      <w:lang w:val="en-US" w:eastAsia="zh-CN"/>
                    </w:rPr>
                  </w:pPr>
                  <w:r>
                    <w:rPr>
                      <w:rFonts w:hint="eastAsia" w:cs="Times New Roman"/>
                      <w:highlight w:val="none"/>
                      <w:u w:val="none" w:color="auto"/>
                      <w:lang w:val="en-US" w:eastAsia="zh-CN"/>
                    </w:rPr>
                    <w:t>1.21</w:t>
                  </w:r>
                </w:p>
              </w:tc>
              <w:tc>
                <w:tcPr>
                  <w:tcW w:w="949" w:type="dxa"/>
                  <w:tcBorders>
                    <w:tl2br w:val="nil"/>
                    <w:tr2bl w:val="nil"/>
                  </w:tcBorders>
                  <w:vAlign w:val="center"/>
                </w:tcPr>
                <w:p w14:paraId="71674FCE">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0.00604</w:t>
                  </w:r>
                </w:p>
              </w:tc>
              <w:tc>
                <w:tcPr>
                  <w:tcW w:w="679" w:type="dxa"/>
                  <w:vMerge w:val="continue"/>
                  <w:tcBorders>
                    <w:tl2br w:val="nil"/>
                    <w:tr2bl w:val="nil"/>
                  </w:tcBorders>
                  <w:vAlign w:val="center"/>
                </w:tcPr>
                <w:p w14:paraId="56B32F20">
                  <w:pPr>
                    <w:pStyle w:val="30"/>
                    <w:jc w:val="center"/>
                    <w:rPr>
                      <w:rFonts w:hint="eastAsia"/>
                      <w:highlight w:val="none"/>
                      <w:u w:val="none" w:color="auto"/>
                      <w:lang w:val="en-US" w:eastAsia="zh-CN"/>
                    </w:rPr>
                  </w:pPr>
                </w:p>
              </w:tc>
            </w:tr>
            <w:tr w14:paraId="1DDFC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7" w:type="dxa"/>
                  <w:tcBorders>
                    <w:tl2br w:val="nil"/>
                    <w:tr2bl w:val="nil"/>
                  </w:tcBorders>
                  <w:vAlign w:val="center"/>
                </w:tcPr>
                <w:p w14:paraId="4B4670C8">
                  <w:pPr>
                    <w:pStyle w:val="30"/>
                    <w:jc w:val="center"/>
                    <w:rPr>
                      <w:highlight w:val="none"/>
                      <w:u w:val="none" w:color="auto"/>
                    </w:rPr>
                  </w:pPr>
                  <w:r>
                    <w:rPr>
                      <w:rFonts w:hint="eastAsia"/>
                      <w:highlight w:val="none"/>
                      <w:u w:val="none" w:color="auto"/>
                    </w:rPr>
                    <w:t>NOx</w:t>
                  </w:r>
                </w:p>
              </w:tc>
              <w:tc>
                <w:tcPr>
                  <w:tcW w:w="936" w:type="dxa"/>
                  <w:tcBorders>
                    <w:tl2br w:val="nil"/>
                    <w:tr2bl w:val="nil"/>
                  </w:tcBorders>
                  <w:vAlign w:val="center"/>
                </w:tcPr>
                <w:p w14:paraId="6861736F">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0.19724</w:t>
                  </w:r>
                </w:p>
              </w:tc>
              <w:tc>
                <w:tcPr>
                  <w:tcW w:w="818" w:type="dxa"/>
                  <w:tcBorders>
                    <w:tl2br w:val="nil"/>
                    <w:tr2bl w:val="nil"/>
                  </w:tcBorders>
                  <w:vAlign w:val="center"/>
                </w:tcPr>
                <w:p w14:paraId="7D964DCD">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16.44</w:t>
                  </w:r>
                </w:p>
              </w:tc>
              <w:tc>
                <w:tcPr>
                  <w:tcW w:w="1114" w:type="dxa"/>
                  <w:tcBorders>
                    <w:tl2br w:val="nil"/>
                    <w:tr2bl w:val="nil"/>
                  </w:tcBorders>
                  <w:vAlign w:val="center"/>
                </w:tcPr>
                <w:p w14:paraId="0A33A192">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w:t>
                  </w:r>
                </w:p>
              </w:tc>
              <w:tc>
                <w:tcPr>
                  <w:tcW w:w="727" w:type="dxa"/>
                  <w:tcBorders>
                    <w:tl2br w:val="nil"/>
                    <w:tr2bl w:val="nil"/>
                  </w:tcBorders>
                  <w:vAlign w:val="center"/>
                </w:tcPr>
                <w:p w14:paraId="79CA0752">
                  <w:pPr>
                    <w:pStyle w:val="30"/>
                    <w:jc w:val="center"/>
                    <w:rPr>
                      <w:rFonts w:hint="default" w:cs="Times New Roman"/>
                      <w:highlight w:val="none"/>
                      <w:u w:val="none" w:color="auto"/>
                      <w:lang w:val="en-US" w:eastAsia="zh-CN"/>
                    </w:rPr>
                  </w:pPr>
                  <w:r>
                    <w:rPr>
                      <w:rFonts w:hint="eastAsia" w:cs="Times New Roman"/>
                      <w:highlight w:val="none"/>
                      <w:u w:val="none" w:color="auto"/>
                      <w:lang w:val="en-US" w:eastAsia="zh-CN"/>
                    </w:rPr>
                    <w:t>/</w:t>
                  </w:r>
                </w:p>
              </w:tc>
              <w:tc>
                <w:tcPr>
                  <w:tcW w:w="931" w:type="dxa"/>
                  <w:tcBorders>
                    <w:tl2br w:val="nil"/>
                    <w:tr2bl w:val="nil"/>
                  </w:tcBorders>
                  <w:vAlign w:val="center"/>
                </w:tcPr>
                <w:p w14:paraId="5687D836">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0.19724</w:t>
                  </w:r>
                </w:p>
              </w:tc>
              <w:tc>
                <w:tcPr>
                  <w:tcW w:w="881" w:type="dxa"/>
                  <w:tcBorders>
                    <w:tl2br w:val="nil"/>
                    <w:tr2bl w:val="nil"/>
                  </w:tcBorders>
                  <w:vAlign w:val="center"/>
                </w:tcPr>
                <w:p w14:paraId="347E8089">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16.44</w:t>
                  </w:r>
                </w:p>
              </w:tc>
              <w:tc>
                <w:tcPr>
                  <w:tcW w:w="949" w:type="dxa"/>
                  <w:tcBorders>
                    <w:tl2br w:val="nil"/>
                    <w:tr2bl w:val="nil"/>
                  </w:tcBorders>
                  <w:vAlign w:val="center"/>
                </w:tcPr>
                <w:p w14:paraId="28C3C197">
                  <w:pPr>
                    <w:pStyle w:val="30"/>
                    <w:jc w:val="center"/>
                    <w:rPr>
                      <w:rFonts w:hint="eastAsia" w:cs="Times New Roman"/>
                      <w:highlight w:val="none"/>
                      <w:u w:val="none" w:color="auto"/>
                      <w:lang w:val="en-US" w:eastAsia="zh-CN"/>
                    </w:rPr>
                  </w:pPr>
                  <w:r>
                    <w:rPr>
                      <w:rFonts w:hint="eastAsia" w:cs="Times New Roman"/>
                      <w:highlight w:val="none"/>
                      <w:u w:val="none" w:color="auto"/>
                      <w:lang w:val="en-US" w:eastAsia="zh-CN"/>
                    </w:rPr>
                    <w:t>0.0822</w:t>
                  </w:r>
                </w:p>
              </w:tc>
              <w:tc>
                <w:tcPr>
                  <w:tcW w:w="679" w:type="dxa"/>
                  <w:vMerge w:val="continue"/>
                  <w:tcBorders>
                    <w:tl2br w:val="nil"/>
                    <w:tr2bl w:val="nil"/>
                  </w:tcBorders>
                  <w:vAlign w:val="center"/>
                </w:tcPr>
                <w:p w14:paraId="1A74724B">
                  <w:pPr>
                    <w:pStyle w:val="30"/>
                    <w:jc w:val="center"/>
                    <w:rPr>
                      <w:rFonts w:hint="eastAsia"/>
                      <w:highlight w:val="none"/>
                      <w:u w:val="none" w:color="auto"/>
                      <w:lang w:val="en-US" w:eastAsia="zh-CN"/>
                    </w:rPr>
                  </w:pPr>
                </w:p>
              </w:tc>
            </w:tr>
            <w:tr w14:paraId="0790D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32" w:type="dxa"/>
                  <w:gridSpan w:val="9"/>
                  <w:tcBorders>
                    <w:tl2br w:val="nil"/>
                    <w:tr2bl w:val="nil"/>
                  </w:tcBorders>
                  <w:vAlign w:val="center"/>
                </w:tcPr>
                <w:p w14:paraId="5A24B546">
                  <w:pPr>
                    <w:pStyle w:val="30"/>
                    <w:jc w:val="both"/>
                    <w:rPr>
                      <w:rFonts w:hint="eastAsia"/>
                      <w:highlight w:val="none"/>
                      <w:u w:val="none" w:color="auto"/>
                    </w:rPr>
                  </w:pPr>
                  <w:r>
                    <w:rPr>
                      <w:rStyle w:val="52"/>
                      <w:rFonts w:hint="default"/>
                      <w:highlight w:val="none"/>
                      <w:u w:val="none" w:color="auto"/>
                    </w:rPr>
                    <w:t>涂层尘</w:t>
                  </w:r>
                  <w:r>
                    <w:rPr>
                      <w:rStyle w:val="52"/>
                      <w:rFonts w:hint="eastAsia"/>
                      <w:highlight w:val="none"/>
                      <w:u w:val="none" w:color="auto"/>
                      <w:lang w:val="en-US" w:eastAsia="zh-CN"/>
                    </w:rPr>
                    <w:t>风机风量为5000m</w:t>
                  </w:r>
                  <w:r>
                    <w:rPr>
                      <w:rStyle w:val="52"/>
                      <w:rFonts w:hint="eastAsia"/>
                      <w:highlight w:val="none"/>
                      <w:u w:val="none" w:color="auto"/>
                      <w:vertAlign w:val="superscript"/>
                      <w:lang w:val="en-US" w:eastAsia="zh-CN"/>
                    </w:rPr>
                    <w:t>3</w:t>
                  </w:r>
                  <w:r>
                    <w:rPr>
                      <w:rStyle w:val="52"/>
                      <w:rFonts w:hint="eastAsia"/>
                      <w:highlight w:val="none"/>
                      <w:u w:val="none" w:color="auto"/>
                      <w:lang w:val="en-US" w:eastAsia="zh-CN"/>
                    </w:rPr>
                    <w:t>/h，</w:t>
                  </w:r>
                  <w:r>
                    <w:rPr>
                      <w:rStyle w:val="52"/>
                      <w:highlight w:val="none"/>
                      <w:u w:val="none" w:color="auto"/>
                    </w:rPr>
                    <w:t>总废气量为</w:t>
                  </w:r>
                  <w:r>
                    <w:rPr>
                      <w:rStyle w:val="52"/>
                      <w:rFonts w:hint="default"/>
                      <w:highlight w:val="none"/>
                      <w:u w:val="none" w:color="auto"/>
                    </w:rPr>
                    <w:t>12000000Nm</w:t>
                  </w:r>
                  <w:r>
                    <w:rPr>
                      <w:rStyle w:val="52"/>
                      <w:rFonts w:hint="eastAsia"/>
                      <w:highlight w:val="none"/>
                      <w:u w:val="none" w:color="auto"/>
                      <w:vertAlign w:val="superscript"/>
                      <w:lang w:val="en-US"/>
                    </w:rPr>
                    <w:t>3</w:t>
                  </w:r>
                  <w:r>
                    <w:rPr>
                      <w:rStyle w:val="52"/>
                      <w:rFonts w:hint="default"/>
                      <w:highlight w:val="none"/>
                      <w:u w:val="none" w:color="auto"/>
                    </w:rPr>
                    <w:t>/a</w:t>
                  </w:r>
                </w:p>
              </w:tc>
            </w:tr>
          </w:tbl>
          <w:p w14:paraId="1F4C1646">
            <w:pPr>
              <w:pStyle w:val="25"/>
              <w:bidi w:val="0"/>
              <w:rPr>
                <w:rFonts w:hint="default"/>
                <w:highlight w:val="none"/>
                <w:u w:val="none" w:color="auto"/>
                <w:lang w:val="en-US" w:eastAsia="zh-CN"/>
              </w:rPr>
            </w:pPr>
            <w:r>
              <w:rPr>
                <w:rFonts w:hint="eastAsia"/>
                <w:highlight w:val="none"/>
                <w:u w:val="none" w:color="auto"/>
                <w:lang w:val="en-US" w:eastAsia="zh-CN"/>
              </w:rPr>
              <w:t>综上，本项目产排废气见下表。</w:t>
            </w:r>
          </w:p>
          <w:p w14:paraId="0BB6937E">
            <w:pPr>
              <w:pStyle w:val="42"/>
              <w:keepNext w:val="0"/>
              <w:keepLines w:val="0"/>
              <w:pageBreakBefore w:val="0"/>
              <w:widowControl/>
              <w:kinsoku/>
              <w:wordWrap w:val="0"/>
              <w:overflowPunct/>
              <w:topLinePunct/>
              <w:autoSpaceDE/>
              <w:autoSpaceDN/>
              <w:bidi w:val="0"/>
              <w:adjustRightInd/>
              <w:snapToGrid/>
              <w:spacing w:line="224" w:lineRule="auto"/>
              <w:jc w:val="center"/>
              <w:textAlignment w:val="auto"/>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ascii="Times New Roman" w:hAnsi="Times New Roman" w:cs="Times New Roman"/>
                <w:b/>
                <w:bCs/>
                <w:color w:val="auto"/>
                <w:kern w:val="0"/>
                <w:sz w:val="21"/>
                <w:szCs w:val="20"/>
                <w:highlight w:val="none"/>
                <w:u w:val="none" w:color="auto"/>
                <w:lang w:val="en-US" w:eastAsia="zh-CN" w:bidi="ar-SA"/>
              </w:rPr>
              <w:t>5   有组织</w:t>
            </w:r>
            <w:r>
              <w:rPr>
                <w:rFonts w:hint="default" w:ascii="Times New Roman" w:hAnsi="Times New Roman" w:eastAsia="宋体" w:cs="Times New Roman"/>
                <w:b/>
                <w:bCs/>
                <w:color w:val="auto"/>
                <w:kern w:val="0"/>
                <w:sz w:val="21"/>
                <w:szCs w:val="20"/>
                <w:highlight w:val="none"/>
                <w:u w:val="none" w:color="auto"/>
                <w:lang w:val="en-US" w:eastAsia="zh-CN" w:bidi="ar-SA"/>
              </w:rPr>
              <w:t>废气产排一览表</w:t>
            </w:r>
          </w:p>
          <w:tbl>
            <w:tblPr>
              <w:tblStyle w:val="45"/>
              <w:tblW w:w="4996"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527"/>
              <w:gridCol w:w="736"/>
              <w:gridCol w:w="693"/>
              <w:gridCol w:w="541"/>
              <w:gridCol w:w="543"/>
              <w:gridCol w:w="443"/>
              <w:gridCol w:w="504"/>
              <w:gridCol w:w="947"/>
              <w:gridCol w:w="1114"/>
              <w:gridCol w:w="1205"/>
              <w:gridCol w:w="709"/>
            </w:tblGrid>
            <w:tr w14:paraId="27688EB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0" w:hRule="atLeast"/>
                <w:jc w:val="center"/>
              </w:trPr>
              <w:tc>
                <w:tcPr>
                  <w:tcW w:w="332" w:type="pct"/>
                  <w:vMerge w:val="restart"/>
                  <w:tcBorders>
                    <w:tl2br w:val="nil"/>
                    <w:tr2bl w:val="nil"/>
                  </w:tcBorders>
                  <w:vAlign w:val="center"/>
                </w:tcPr>
                <w:p w14:paraId="64DDF851">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产排</w:t>
                  </w:r>
                </w:p>
                <w:p w14:paraId="4EE4A850">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污环</w:t>
                  </w:r>
                </w:p>
                <w:p w14:paraId="1D2A8BCD">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节</w:t>
                  </w:r>
                </w:p>
              </w:tc>
              <w:tc>
                <w:tcPr>
                  <w:tcW w:w="463" w:type="pct"/>
                  <w:vMerge w:val="restart"/>
                  <w:tcBorders>
                    <w:tl2br w:val="nil"/>
                    <w:tr2bl w:val="nil"/>
                  </w:tcBorders>
                  <w:vAlign w:val="center"/>
                </w:tcPr>
                <w:p w14:paraId="51A361D1">
                  <w:pPr>
                    <w:pStyle w:val="30"/>
                    <w:autoSpaceDE w:val="0"/>
                    <w:autoSpaceDN w:val="0"/>
                    <w:bidi w:val="0"/>
                    <w:jc w:val="center"/>
                    <w:rPr>
                      <w:rFonts w:hint="default"/>
                      <w:b/>
                      <w:bCs/>
                      <w:color w:val="auto"/>
                      <w:szCs w:val="21"/>
                      <w:highlight w:val="none"/>
                      <w:u w:val="none" w:color="auto"/>
                    </w:rPr>
                  </w:pPr>
                  <w:r>
                    <w:rPr>
                      <w:rFonts w:hint="default"/>
                      <w:b/>
                      <w:bCs/>
                      <w:highlight w:val="none"/>
                      <w:u w:val="none" w:color="auto"/>
                    </w:rPr>
                    <w:t>污染物</w:t>
                  </w:r>
                </w:p>
              </w:tc>
              <w:tc>
                <w:tcPr>
                  <w:tcW w:w="426" w:type="pct"/>
                  <w:vMerge w:val="restart"/>
                  <w:tcBorders>
                    <w:tl2br w:val="nil"/>
                    <w:tr2bl w:val="nil"/>
                  </w:tcBorders>
                  <w:vAlign w:val="center"/>
                </w:tcPr>
                <w:p w14:paraId="7A1CB505">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产生量</w:t>
                  </w:r>
                </w:p>
                <w:p w14:paraId="42C5AA7B">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w:t>
                  </w:r>
                  <w:r>
                    <w:rPr>
                      <w:rFonts w:hint="default"/>
                      <w:b/>
                      <w:bCs/>
                      <w:color w:val="auto"/>
                      <w:sz w:val="21"/>
                      <w:szCs w:val="21"/>
                      <w:highlight w:val="none"/>
                      <w:u w:val="none" w:color="auto"/>
                      <w:lang w:val="en-US" w:eastAsia="zh-CN"/>
                    </w:rPr>
                    <w:t>t</w:t>
                  </w:r>
                  <w:r>
                    <w:rPr>
                      <w:rFonts w:hint="default"/>
                      <w:b/>
                      <w:bCs/>
                      <w:color w:val="auto"/>
                      <w:sz w:val="21"/>
                      <w:szCs w:val="21"/>
                      <w:highlight w:val="none"/>
                      <w:u w:val="none" w:color="auto"/>
                    </w:rPr>
                    <w:t>/a)</w:t>
                  </w:r>
                </w:p>
              </w:tc>
              <w:tc>
                <w:tcPr>
                  <w:tcW w:w="341" w:type="pct"/>
                  <w:vMerge w:val="restart"/>
                  <w:tcBorders>
                    <w:tl2br w:val="nil"/>
                    <w:tr2bl w:val="nil"/>
                  </w:tcBorders>
                  <w:vAlign w:val="center"/>
                </w:tcPr>
                <w:p w14:paraId="7730A79C">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治理设施</w:t>
                  </w:r>
                </w:p>
              </w:tc>
              <w:tc>
                <w:tcPr>
                  <w:tcW w:w="342" w:type="pct"/>
                  <w:vMerge w:val="restart"/>
                  <w:tcBorders>
                    <w:tl2br w:val="nil"/>
                    <w:tr2bl w:val="nil"/>
                  </w:tcBorders>
                  <w:vAlign w:val="center"/>
                </w:tcPr>
                <w:p w14:paraId="6E51C776">
                  <w:pPr>
                    <w:pStyle w:val="30"/>
                    <w:keepNext w:val="0"/>
                    <w:keepLines w:val="0"/>
                    <w:pageBreakBefore w:val="0"/>
                    <w:widowControl/>
                    <w:kinsoku/>
                    <w:wordWrap w:val="0"/>
                    <w:overflowPunct/>
                    <w:topLinePunct/>
                    <w:autoSpaceDE/>
                    <w:autoSpaceDN/>
                    <w:bidi w:val="0"/>
                    <w:adjustRightInd/>
                    <w:snapToGrid/>
                    <w:jc w:val="center"/>
                    <w:rPr>
                      <w:rFonts w:hint="eastAsia" w:eastAsia="宋体"/>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收集效率</w:t>
                  </w:r>
                </w:p>
              </w:tc>
              <w:tc>
                <w:tcPr>
                  <w:tcW w:w="279" w:type="pct"/>
                  <w:vMerge w:val="restart"/>
                  <w:tcBorders>
                    <w:tl2br w:val="nil"/>
                    <w:tr2bl w:val="nil"/>
                  </w:tcBorders>
                  <w:vAlign w:val="center"/>
                </w:tcPr>
                <w:p w14:paraId="178EBA63">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去除</w:t>
                  </w:r>
                  <w:r>
                    <w:rPr>
                      <w:rFonts w:hint="default"/>
                      <w:b/>
                      <w:bCs/>
                      <w:color w:val="auto"/>
                      <w:sz w:val="21"/>
                      <w:szCs w:val="21"/>
                      <w:highlight w:val="none"/>
                      <w:u w:val="none" w:color="auto"/>
                    </w:rPr>
                    <w:t>效率</w:t>
                  </w:r>
                </w:p>
              </w:tc>
              <w:tc>
                <w:tcPr>
                  <w:tcW w:w="317" w:type="pct"/>
                  <w:vMerge w:val="restart"/>
                  <w:tcBorders>
                    <w:tl2br w:val="nil"/>
                    <w:tr2bl w:val="nil"/>
                  </w:tcBorders>
                  <w:vAlign w:val="center"/>
                </w:tcPr>
                <w:p w14:paraId="7E77111A">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是否为可行技术</w:t>
                  </w:r>
                </w:p>
              </w:tc>
              <w:tc>
                <w:tcPr>
                  <w:tcW w:w="2052" w:type="pct"/>
                  <w:gridSpan w:val="3"/>
                  <w:tcBorders>
                    <w:tl2br w:val="nil"/>
                    <w:tr2bl w:val="nil"/>
                  </w:tcBorders>
                  <w:vAlign w:val="center"/>
                </w:tcPr>
                <w:p w14:paraId="717AF579">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eastAsia"/>
                      <w:b/>
                      <w:bCs/>
                      <w:color w:val="auto"/>
                      <w:sz w:val="21"/>
                      <w:szCs w:val="21"/>
                      <w:highlight w:val="none"/>
                      <w:u w:val="none" w:color="auto"/>
                      <w:lang w:val="en-US" w:eastAsia="zh-CN"/>
                    </w:rPr>
                    <w:t>有</w:t>
                  </w:r>
                  <w:r>
                    <w:rPr>
                      <w:rFonts w:hint="default"/>
                      <w:b/>
                      <w:bCs/>
                      <w:color w:val="auto"/>
                      <w:sz w:val="21"/>
                      <w:szCs w:val="21"/>
                      <w:highlight w:val="none"/>
                      <w:u w:val="none" w:color="auto"/>
                    </w:rPr>
                    <w:t>组织废气</w:t>
                  </w:r>
                </w:p>
              </w:tc>
              <w:tc>
                <w:tcPr>
                  <w:tcW w:w="446" w:type="pct"/>
                  <w:vMerge w:val="restart"/>
                  <w:tcBorders>
                    <w:tl2br w:val="nil"/>
                    <w:tr2bl w:val="nil"/>
                  </w:tcBorders>
                  <w:vAlign w:val="center"/>
                </w:tcPr>
                <w:p w14:paraId="2FA01E71">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排放时间（h）</w:t>
                  </w:r>
                </w:p>
              </w:tc>
            </w:tr>
            <w:tr w14:paraId="54F2BB9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332" w:type="pct"/>
                  <w:vMerge w:val="continue"/>
                  <w:tcBorders>
                    <w:tl2br w:val="nil"/>
                    <w:tr2bl w:val="nil"/>
                  </w:tcBorders>
                  <w:vAlign w:val="center"/>
                </w:tcPr>
                <w:p w14:paraId="1365ED60">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463" w:type="pct"/>
                  <w:vMerge w:val="continue"/>
                  <w:tcBorders>
                    <w:tl2br w:val="nil"/>
                    <w:tr2bl w:val="nil"/>
                  </w:tcBorders>
                  <w:vAlign w:val="center"/>
                </w:tcPr>
                <w:p w14:paraId="762BF51E">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426" w:type="pct"/>
                  <w:vMerge w:val="continue"/>
                  <w:tcBorders>
                    <w:tl2br w:val="nil"/>
                    <w:tr2bl w:val="nil"/>
                  </w:tcBorders>
                  <w:vAlign w:val="center"/>
                </w:tcPr>
                <w:p w14:paraId="3DE1E7AA">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41" w:type="pct"/>
                  <w:vMerge w:val="continue"/>
                  <w:tcBorders>
                    <w:tl2br w:val="nil"/>
                    <w:tr2bl w:val="nil"/>
                  </w:tcBorders>
                  <w:vAlign w:val="center"/>
                </w:tcPr>
                <w:p w14:paraId="4B638E28">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42" w:type="pct"/>
                  <w:vMerge w:val="continue"/>
                  <w:tcBorders>
                    <w:tl2br w:val="nil"/>
                    <w:tr2bl w:val="nil"/>
                  </w:tcBorders>
                  <w:vAlign w:val="center"/>
                </w:tcPr>
                <w:p w14:paraId="69F276E3">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279" w:type="pct"/>
                  <w:vMerge w:val="continue"/>
                  <w:tcBorders>
                    <w:tl2br w:val="nil"/>
                    <w:tr2bl w:val="nil"/>
                  </w:tcBorders>
                  <w:vAlign w:val="center"/>
                </w:tcPr>
                <w:p w14:paraId="22174232">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17" w:type="pct"/>
                  <w:vMerge w:val="continue"/>
                  <w:tcBorders>
                    <w:tl2br w:val="nil"/>
                    <w:tr2bl w:val="nil"/>
                  </w:tcBorders>
                  <w:vAlign w:val="center"/>
                </w:tcPr>
                <w:p w14:paraId="1B2EF402">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595" w:type="pct"/>
                  <w:tcBorders>
                    <w:tl2br w:val="nil"/>
                    <w:tr2bl w:val="nil"/>
                  </w:tcBorders>
                  <w:vAlign w:val="center"/>
                </w:tcPr>
                <w:p w14:paraId="22B051FE">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排放</w:t>
                  </w:r>
                  <w:r>
                    <w:rPr>
                      <w:rFonts w:hint="default"/>
                      <w:b/>
                      <w:bCs/>
                      <w:color w:val="auto"/>
                      <w:sz w:val="21"/>
                      <w:szCs w:val="21"/>
                      <w:highlight w:val="none"/>
                      <w:u w:val="none" w:color="auto"/>
                    </w:rPr>
                    <w:t>量</w:t>
                  </w:r>
                </w:p>
                <w:p w14:paraId="5765A3D5">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（t/a）</w:t>
                  </w:r>
                </w:p>
              </w:tc>
              <w:tc>
                <w:tcPr>
                  <w:tcW w:w="700" w:type="pct"/>
                  <w:tcBorders>
                    <w:tl2br w:val="nil"/>
                    <w:tr2bl w:val="nil"/>
                  </w:tcBorders>
                  <w:vAlign w:val="center"/>
                </w:tcPr>
                <w:p w14:paraId="21F01D75">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排放速率</w:t>
                  </w:r>
                  <w:r>
                    <w:rPr>
                      <w:rFonts w:hint="default"/>
                      <w:b/>
                      <w:bCs/>
                      <w:color w:val="auto"/>
                      <w:sz w:val="21"/>
                      <w:szCs w:val="21"/>
                      <w:highlight w:val="none"/>
                      <w:u w:val="none" w:color="auto"/>
                    </w:rPr>
                    <w:t>（</w:t>
                  </w:r>
                  <w:r>
                    <w:rPr>
                      <w:rFonts w:hint="default"/>
                      <w:b/>
                      <w:bCs/>
                      <w:color w:val="auto"/>
                      <w:sz w:val="21"/>
                      <w:szCs w:val="21"/>
                      <w:highlight w:val="none"/>
                      <w:u w:val="none" w:color="auto"/>
                      <w:lang w:val="en-US" w:eastAsia="zh-CN"/>
                    </w:rPr>
                    <w:t>kg/h</w:t>
                  </w:r>
                  <w:r>
                    <w:rPr>
                      <w:rFonts w:hint="default"/>
                      <w:b/>
                      <w:bCs/>
                      <w:color w:val="auto"/>
                      <w:sz w:val="21"/>
                      <w:szCs w:val="21"/>
                      <w:highlight w:val="none"/>
                      <w:u w:val="none" w:color="auto"/>
                    </w:rPr>
                    <w:t>)</w:t>
                  </w:r>
                </w:p>
              </w:tc>
              <w:tc>
                <w:tcPr>
                  <w:tcW w:w="757" w:type="pct"/>
                  <w:tcBorders>
                    <w:tl2br w:val="nil"/>
                    <w:tr2bl w:val="nil"/>
                  </w:tcBorders>
                  <w:vAlign w:val="center"/>
                </w:tcPr>
                <w:p w14:paraId="7933C7CF">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排放浓度</w:t>
                  </w:r>
                </w:p>
                <w:p w14:paraId="60B265A9">
                  <w:pPr>
                    <w:pStyle w:val="30"/>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（mg/m</w:t>
                  </w:r>
                  <w:r>
                    <w:rPr>
                      <w:rFonts w:hint="default"/>
                      <w:b/>
                      <w:bCs/>
                      <w:color w:val="auto"/>
                      <w:sz w:val="21"/>
                      <w:szCs w:val="21"/>
                      <w:highlight w:val="none"/>
                      <w:u w:val="none" w:color="auto"/>
                      <w:vertAlign w:val="superscript"/>
                    </w:rPr>
                    <w:t>3</w:t>
                  </w:r>
                  <w:r>
                    <w:rPr>
                      <w:rFonts w:hint="default"/>
                      <w:b/>
                      <w:bCs/>
                      <w:color w:val="auto"/>
                      <w:sz w:val="21"/>
                      <w:szCs w:val="21"/>
                      <w:highlight w:val="none"/>
                      <w:u w:val="none" w:color="auto"/>
                    </w:rPr>
                    <w:t>)</w:t>
                  </w:r>
                </w:p>
              </w:tc>
              <w:tc>
                <w:tcPr>
                  <w:tcW w:w="446" w:type="pct"/>
                  <w:vMerge w:val="continue"/>
                  <w:tcBorders>
                    <w:tl2br w:val="nil"/>
                    <w:tr2bl w:val="nil"/>
                  </w:tcBorders>
                  <w:vAlign w:val="center"/>
                </w:tcPr>
                <w:p w14:paraId="2E361EF6">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r>
            <w:tr w14:paraId="73D07CA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vMerge w:val="restart"/>
                  <w:tcBorders>
                    <w:tl2br w:val="nil"/>
                    <w:tr2bl w:val="nil"/>
                  </w:tcBorders>
                  <w:vAlign w:val="center"/>
                </w:tcPr>
                <w:p w14:paraId="16C315EC">
                  <w:pPr>
                    <w:pStyle w:val="30"/>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焚烧（以抽取残液作为燃料）</w:t>
                  </w:r>
                </w:p>
              </w:tc>
              <w:tc>
                <w:tcPr>
                  <w:tcW w:w="463" w:type="pct"/>
                  <w:tcBorders>
                    <w:tl2br w:val="nil"/>
                    <w:tr2bl w:val="nil"/>
                  </w:tcBorders>
                  <w:vAlign w:val="center"/>
                </w:tcPr>
                <w:p w14:paraId="0B538CB8">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SO</w:t>
                  </w:r>
                  <w:r>
                    <w:rPr>
                      <w:rFonts w:hint="eastAsia" w:ascii="Times New Roman" w:hAnsi="Times New Roman" w:eastAsia="宋体" w:cs="Times New Roman"/>
                      <w:b w:val="0"/>
                      <w:bCs/>
                      <w:color w:val="auto"/>
                      <w:kern w:val="0"/>
                      <w:sz w:val="21"/>
                      <w:szCs w:val="21"/>
                      <w:highlight w:val="none"/>
                      <w:u w:val="none" w:color="auto"/>
                      <w:vertAlign w:val="subscript"/>
                      <w:lang w:val="en-US" w:eastAsia="zh-CN" w:bidi="ar-SA"/>
                    </w:rPr>
                    <w:t>2</w:t>
                  </w:r>
                </w:p>
              </w:tc>
              <w:tc>
                <w:tcPr>
                  <w:tcW w:w="426" w:type="pct"/>
                  <w:tcBorders>
                    <w:tl2br w:val="nil"/>
                    <w:tr2bl w:val="nil"/>
                  </w:tcBorders>
                  <w:vAlign w:val="center"/>
                </w:tcPr>
                <w:p w14:paraId="02687BAA">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0.00197</w:t>
                  </w:r>
                </w:p>
              </w:tc>
              <w:tc>
                <w:tcPr>
                  <w:tcW w:w="341" w:type="pct"/>
                  <w:tcBorders>
                    <w:tl2br w:val="nil"/>
                    <w:tr2bl w:val="nil"/>
                  </w:tcBorders>
                  <w:vAlign w:val="center"/>
                </w:tcPr>
                <w:p w14:paraId="51581FC0">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42" w:type="pct"/>
                  <w:vMerge w:val="restart"/>
                  <w:tcBorders>
                    <w:tl2br w:val="nil"/>
                    <w:tr2bl w:val="nil"/>
                  </w:tcBorders>
                  <w:vAlign w:val="center"/>
                </w:tcPr>
                <w:p w14:paraId="14A77C4A">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100%</w:t>
                  </w:r>
                </w:p>
              </w:tc>
              <w:tc>
                <w:tcPr>
                  <w:tcW w:w="279" w:type="pct"/>
                  <w:tcBorders>
                    <w:tl2br w:val="nil"/>
                    <w:tr2bl w:val="nil"/>
                  </w:tcBorders>
                  <w:vAlign w:val="center"/>
                </w:tcPr>
                <w:p w14:paraId="31B3E04B">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17" w:type="pct"/>
                  <w:vMerge w:val="restart"/>
                  <w:tcBorders>
                    <w:tl2br w:val="nil"/>
                    <w:tr2bl w:val="nil"/>
                  </w:tcBorders>
                  <w:vAlign w:val="center"/>
                </w:tcPr>
                <w:p w14:paraId="5537C673">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595" w:type="pct"/>
                  <w:tcBorders>
                    <w:tl2br w:val="nil"/>
                    <w:tr2bl w:val="nil"/>
                  </w:tcBorders>
                  <w:vAlign w:val="center"/>
                </w:tcPr>
                <w:p w14:paraId="4FA0EF5D">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0.00197</w:t>
                  </w:r>
                </w:p>
              </w:tc>
              <w:tc>
                <w:tcPr>
                  <w:tcW w:w="700" w:type="pct"/>
                  <w:tcBorders>
                    <w:tl2br w:val="nil"/>
                    <w:tr2bl w:val="nil"/>
                  </w:tcBorders>
                  <w:vAlign w:val="center"/>
                </w:tcPr>
                <w:p w14:paraId="4F307BFE">
                  <w:pPr>
                    <w:pStyle w:val="30"/>
                    <w:autoSpaceDE w:val="0"/>
                    <w:autoSpaceDN w:val="0"/>
                    <w:ind w:firstLine="0" w:firstLineChars="0"/>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0.00082</w:t>
                  </w:r>
                </w:p>
              </w:tc>
              <w:tc>
                <w:tcPr>
                  <w:tcW w:w="757" w:type="pct"/>
                  <w:tcBorders>
                    <w:tl2br w:val="nil"/>
                    <w:tr2bl w:val="nil"/>
                  </w:tcBorders>
                  <w:vAlign w:val="center"/>
                </w:tcPr>
                <w:p w14:paraId="5D0E068F">
                  <w:pPr>
                    <w:pStyle w:val="30"/>
                    <w:autoSpaceDE w:val="0"/>
                    <w:autoSpaceDN w:val="0"/>
                    <w:ind w:firstLine="0" w:firstLineChars="0"/>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0.164</w:t>
                  </w:r>
                </w:p>
              </w:tc>
              <w:tc>
                <w:tcPr>
                  <w:tcW w:w="446" w:type="pct"/>
                  <w:vMerge w:val="restart"/>
                  <w:tcBorders>
                    <w:tl2br w:val="nil"/>
                    <w:tr2bl w:val="nil"/>
                  </w:tcBorders>
                  <w:vAlign w:val="center"/>
                </w:tcPr>
                <w:p w14:paraId="018927C7">
                  <w:pPr>
                    <w:pStyle w:val="33"/>
                    <w:keepNext w:val="0"/>
                    <w:keepLines w:val="0"/>
                    <w:pageBreakBefore w:val="0"/>
                    <w:widowControl/>
                    <w:kinsoku/>
                    <w:wordWrap w:val="0"/>
                    <w:overflowPunct/>
                    <w:topLinePunct/>
                    <w:autoSpaceDE/>
                    <w:autoSpaceDN/>
                    <w:bidi w:val="0"/>
                    <w:adjustRightInd/>
                    <w:snapToGrid/>
                    <w:rPr>
                      <w:rFonts w:hint="default"/>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2400</w:t>
                  </w:r>
                </w:p>
              </w:tc>
            </w:tr>
            <w:tr w14:paraId="6A737E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332" w:type="pct"/>
                  <w:vMerge w:val="continue"/>
                  <w:tcBorders>
                    <w:tl2br w:val="nil"/>
                    <w:tr2bl w:val="nil"/>
                  </w:tcBorders>
                  <w:vAlign w:val="center"/>
                </w:tcPr>
                <w:p w14:paraId="5549E671">
                  <w:pPr>
                    <w:pStyle w:val="33"/>
                    <w:keepNext w:val="0"/>
                    <w:keepLines w:val="0"/>
                    <w:pageBreakBefore w:val="0"/>
                    <w:widowControl/>
                    <w:kinsoku/>
                    <w:wordWrap w:val="0"/>
                    <w:overflowPunct/>
                    <w:topLinePunct/>
                    <w:autoSpaceDE/>
                    <w:autoSpaceDN/>
                    <w:bidi w:val="0"/>
                    <w:adjustRightInd/>
                    <w:snapToGrid/>
                    <w:rPr>
                      <w:highlight w:val="none"/>
                      <w:u w:val="none" w:color="auto"/>
                    </w:rPr>
                  </w:pPr>
                </w:p>
              </w:tc>
              <w:tc>
                <w:tcPr>
                  <w:tcW w:w="463" w:type="pct"/>
                  <w:tcBorders>
                    <w:tl2br w:val="nil"/>
                    <w:tr2bl w:val="nil"/>
                  </w:tcBorders>
                  <w:vAlign w:val="center"/>
                </w:tcPr>
                <w:p w14:paraId="25367CC6">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颗粒物</w:t>
                  </w:r>
                  <w:r>
                    <w:rPr>
                      <w:rFonts w:hint="default" w:ascii="Times New Roman" w:hAnsi="Times New Roman" w:eastAsia="宋体" w:cs="Times New Roman"/>
                      <w:b w:val="0"/>
                      <w:bCs/>
                      <w:color w:val="auto"/>
                      <w:kern w:val="0"/>
                      <w:sz w:val="21"/>
                      <w:szCs w:val="21"/>
                      <w:highlight w:val="none"/>
                      <w:u w:val="none" w:color="auto"/>
                      <w:lang w:val="en-US" w:eastAsia="zh-CN" w:bidi="ar-SA"/>
                    </w:rPr>
                    <w:t>（燃料尘）</w:t>
                  </w:r>
                </w:p>
              </w:tc>
              <w:tc>
                <w:tcPr>
                  <w:tcW w:w="426" w:type="pct"/>
                  <w:tcBorders>
                    <w:tl2br w:val="nil"/>
                    <w:tr2bl w:val="nil"/>
                  </w:tcBorders>
                  <w:vAlign w:val="center"/>
                </w:tcPr>
                <w:p w14:paraId="01208578">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0.00634</w:t>
                  </w:r>
                </w:p>
              </w:tc>
              <w:tc>
                <w:tcPr>
                  <w:tcW w:w="341" w:type="pct"/>
                  <w:tcBorders>
                    <w:tl2br w:val="nil"/>
                    <w:tr2bl w:val="nil"/>
                  </w:tcBorders>
                  <w:vAlign w:val="center"/>
                </w:tcPr>
                <w:p w14:paraId="1E592C99">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水膜除尘</w:t>
                  </w:r>
                </w:p>
              </w:tc>
              <w:tc>
                <w:tcPr>
                  <w:tcW w:w="342" w:type="pct"/>
                  <w:vMerge w:val="continue"/>
                  <w:tcBorders>
                    <w:tl2br w:val="nil"/>
                    <w:tr2bl w:val="nil"/>
                  </w:tcBorders>
                  <w:vAlign w:val="center"/>
                </w:tcPr>
                <w:p w14:paraId="7B4C230E">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p>
              </w:tc>
              <w:tc>
                <w:tcPr>
                  <w:tcW w:w="279" w:type="pct"/>
                  <w:tcBorders>
                    <w:tl2br w:val="nil"/>
                    <w:tr2bl w:val="nil"/>
                  </w:tcBorders>
                  <w:vAlign w:val="center"/>
                </w:tcPr>
                <w:p w14:paraId="747B17A0">
                  <w:pPr>
                    <w:pStyle w:val="33"/>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85%</w:t>
                  </w:r>
                </w:p>
              </w:tc>
              <w:tc>
                <w:tcPr>
                  <w:tcW w:w="317" w:type="pct"/>
                  <w:vMerge w:val="continue"/>
                  <w:tcBorders>
                    <w:tl2br w:val="nil"/>
                    <w:tr2bl w:val="nil"/>
                  </w:tcBorders>
                  <w:vAlign w:val="center"/>
                </w:tcPr>
                <w:p w14:paraId="405BD19C">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p>
              </w:tc>
              <w:tc>
                <w:tcPr>
                  <w:tcW w:w="595" w:type="pct"/>
                  <w:tcBorders>
                    <w:tl2br w:val="nil"/>
                    <w:tr2bl w:val="nil"/>
                  </w:tcBorders>
                  <w:vAlign w:val="center"/>
                </w:tcPr>
                <w:p w14:paraId="572C449C">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0.00095</w:t>
                  </w:r>
                </w:p>
              </w:tc>
              <w:tc>
                <w:tcPr>
                  <w:tcW w:w="700" w:type="pct"/>
                  <w:tcBorders>
                    <w:tl2br w:val="nil"/>
                    <w:tr2bl w:val="nil"/>
                  </w:tcBorders>
                  <w:vAlign w:val="center"/>
                </w:tcPr>
                <w:p w14:paraId="30E06DC0">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0.00040</w:t>
                  </w:r>
                </w:p>
              </w:tc>
              <w:tc>
                <w:tcPr>
                  <w:tcW w:w="757" w:type="pct"/>
                  <w:tcBorders>
                    <w:tl2br w:val="nil"/>
                    <w:tr2bl w:val="nil"/>
                  </w:tcBorders>
                  <w:vAlign w:val="center"/>
                </w:tcPr>
                <w:p w14:paraId="01886A2A">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0.079</w:t>
                  </w:r>
                </w:p>
              </w:tc>
              <w:tc>
                <w:tcPr>
                  <w:tcW w:w="446" w:type="pct"/>
                  <w:vMerge w:val="continue"/>
                  <w:tcBorders>
                    <w:tl2br w:val="nil"/>
                    <w:tr2bl w:val="nil"/>
                  </w:tcBorders>
                  <w:vAlign w:val="center"/>
                </w:tcPr>
                <w:p w14:paraId="6DBE6969">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r>
            <w:tr w14:paraId="2C37A6D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vMerge w:val="continue"/>
                  <w:tcBorders>
                    <w:tl2br w:val="nil"/>
                    <w:tr2bl w:val="nil"/>
                  </w:tcBorders>
                  <w:vAlign w:val="center"/>
                </w:tcPr>
                <w:p w14:paraId="19F68EBA">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c>
                <w:tcPr>
                  <w:tcW w:w="463" w:type="pct"/>
                  <w:tcBorders>
                    <w:tl2br w:val="nil"/>
                    <w:tr2bl w:val="nil"/>
                  </w:tcBorders>
                  <w:vAlign w:val="center"/>
                </w:tcPr>
                <w:p w14:paraId="4AF59EA3">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氮氧化物</w:t>
                  </w:r>
                </w:p>
              </w:tc>
              <w:tc>
                <w:tcPr>
                  <w:tcW w:w="426" w:type="pct"/>
                  <w:tcBorders>
                    <w:tl2br w:val="nil"/>
                    <w:tr2bl w:val="nil"/>
                  </w:tcBorders>
                  <w:vAlign w:val="center"/>
                </w:tcPr>
                <w:p w14:paraId="4A6CFDB1">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0.1716</w:t>
                  </w:r>
                </w:p>
              </w:tc>
              <w:tc>
                <w:tcPr>
                  <w:tcW w:w="341" w:type="pct"/>
                  <w:tcBorders>
                    <w:tl2br w:val="nil"/>
                    <w:tr2bl w:val="nil"/>
                  </w:tcBorders>
                  <w:vAlign w:val="center"/>
                </w:tcPr>
                <w:p w14:paraId="150C9BF1">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42" w:type="pct"/>
                  <w:vMerge w:val="continue"/>
                  <w:tcBorders>
                    <w:tl2br w:val="nil"/>
                    <w:tr2bl w:val="nil"/>
                  </w:tcBorders>
                  <w:vAlign w:val="center"/>
                </w:tcPr>
                <w:p w14:paraId="31A52A5B">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p>
              </w:tc>
              <w:tc>
                <w:tcPr>
                  <w:tcW w:w="279" w:type="pct"/>
                  <w:tcBorders>
                    <w:tl2br w:val="nil"/>
                    <w:tr2bl w:val="nil"/>
                  </w:tcBorders>
                  <w:vAlign w:val="center"/>
                </w:tcPr>
                <w:p w14:paraId="3C81B407">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17" w:type="pct"/>
                  <w:vMerge w:val="continue"/>
                  <w:tcBorders>
                    <w:tl2br w:val="nil"/>
                    <w:tr2bl w:val="nil"/>
                  </w:tcBorders>
                  <w:vAlign w:val="center"/>
                </w:tcPr>
                <w:p w14:paraId="7244A2CF">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p>
              </w:tc>
              <w:tc>
                <w:tcPr>
                  <w:tcW w:w="595" w:type="pct"/>
                  <w:tcBorders>
                    <w:tl2br w:val="nil"/>
                    <w:tr2bl w:val="nil"/>
                  </w:tcBorders>
                  <w:vAlign w:val="center"/>
                </w:tcPr>
                <w:p w14:paraId="4603861E">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0.1287</w:t>
                  </w:r>
                </w:p>
              </w:tc>
              <w:tc>
                <w:tcPr>
                  <w:tcW w:w="700" w:type="pct"/>
                  <w:tcBorders>
                    <w:tl2br w:val="nil"/>
                    <w:tr2bl w:val="nil"/>
                  </w:tcBorders>
                  <w:vAlign w:val="center"/>
                </w:tcPr>
                <w:p w14:paraId="5E288694">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0.0536</w:t>
                  </w:r>
                </w:p>
              </w:tc>
              <w:tc>
                <w:tcPr>
                  <w:tcW w:w="757" w:type="pct"/>
                  <w:tcBorders>
                    <w:tl2br w:val="nil"/>
                    <w:tr2bl w:val="nil"/>
                  </w:tcBorders>
                  <w:vAlign w:val="center"/>
                </w:tcPr>
                <w:p w14:paraId="11D3633D">
                  <w:pPr>
                    <w:pStyle w:val="33"/>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10.73</w:t>
                  </w:r>
                </w:p>
              </w:tc>
              <w:tc>
                <w:tcPr>
                  <w:tcW w:w="446" w:type="pct"/>
                  <w:vMerge w:val="continue"/>
                  <w:tcBorders>
                    <w:tl2br w:val="nil"/>
                    <w:tr2bl w:val="nil"/>
                  </w:tcBorders>
                  <w:vAlign w:val="center"/>
                </w:tcPr>
                <w:p w14:paraId="6664E476">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r>
            <w:tr w14:paraId="4A99A6D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vMerge w:val="restart"/>
                  <w:tcBorders>
                    <w:tl2br w:val="nil"/>
                    <w:tr2bl w:val="nil"/>
                  </w:tcBorders>
                  <w:vAlign w:val="center"/>
                </w:tcPr>
                <w:p w14:paraId="029A4EF2">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焚烧（以生物质颗粒作为燃料）</w:t>
                  </w:r>
                </w:p>
              </w:tc>
              <w:tc>
                <w:tcPr>
                  <w:tcW w:w="463" w:type="pct"/>
                  <w:tcBorders>
                    <w:tl2br w:val="nil"/>
                    <w:tr2bl w:val="nil"/>
                  </w:tcBorders>
                  <w:vAlign w:val="center"/>
                </w:tcPr>
                <w:p w14:paraId="2DF1E045">
                  <w:pPr>
                    <w:pStyle w:val="30"/>
                    <w:keepNext w:val="0"/>
                    <w:keepLines w:val="0"/>
                    <w:pageBreakBefore w:val="0"/>
                    <w:widowControl/>
                    <w:kinsoku/>
                    <w:wordWrap w:val="0"/>
                    <w:overflowPunct/>
                    <w:topLinePunct/>
                    <w:autoSpaceDE/>
                    <w:autoSpaceDN/>
                    <w:bidi w:val="0"/>
                    <w:adjustRightInd/>
                    <w:snapToGrid/>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SO</w:t>
                  </w:r>
                  <w:r>
                    <w:rPr>
                      <w:rFonts w:hint="eastAsia" w:ascii="Times New Roman" w:hAnsi="Times New Roman" w:eastAsia="宋体" w:cs="Times New Roman"/>
                      <w:b w:val="0"/>
                      <w:bCs/>
                      <w:color w:val="auto"/>
                      <w:kern w:val="0"/>
                      <w:sz w:val="21"/>
                      <w:szCs w:val="21"/>
                      <w:highlight w:val="none"/>
                      <w:u w:val="none" w:color="auto"/>
                      <w:vertAlign w:val="subscript"/>
                      <w:lang w:val="en-US" w:eastAsia="zh-CN" w:bidi="ar-SA"/>
                    </w:rPr>
                    <w:t>2</w:t>
                  </w:r>
                </w:p>
              </w:tc>
              <w:tc>
                <w:tcPr>
                  <w:tcW w:w="426" w:type="pct"/>
                  <w:tcBorders>
                    <w:tl2br w:val="nil"/>
                    <w:tr2bl w:val="nil"/>
                  </w:tcBorders>
                  <w:vAlign w:val="center"/>
                </w:tcPr>
                <w:p w14:paraId="0328F28F">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0.03287</w:t>
                  </w:r>
                </w:p>
              </w:tc>
              <w:tc>
                <w:tcPr>
                  <w:tcW w:w="341" w:type="pct"/>
                  <w:tcBorders>
                    <w:tl2br w:val="nil"/>
                    <w:tr2bl w:val="nil"/>
                  </w:tcBorders>
                  <w:vAlign w:val="center"/>
                </w:tcPr>
                <w:p w14:paraId="459C8190">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42" w:type="pct"/>
                  <w:vMerge w:val="restart"/>
                  <w:tcBorders>
                    <w:tl2br w:val="nil"/>
                    <w:tr2bl w:val="nil"/>
                  </w:tcBorders>
                  <w:vAlign w:val="center"/>
                </w:tcPr>
                <w:p w14:paraId="4731EE0D">
                  <w:pPr>
                    <w:pStyle w:val="30"/>
                    <w:autoSpaceDE w:val="0"/>
                    <w:autoSpaceDN w:val="0"/>
                    <w:ind w:firstLine="0" w:firstLineChars="0"/>
                    <w:jc w:val="center"/>
                    <w:rPr>
                      <w:rFonts w:hint="default"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100%</w:t>
                  </w:r>
                </w:p>
              </w:tc>
              <w:tc>
                <w:tcPr>
                  <w:tcW w:w="279" w:type="pct"/>
                  <w:tcBorders>
                    <w:tl2br w:val="nil"/>
                    <w:tr2bl w:val="nil"/>
                  </w:tcBorders>
                  <w:vAlign w:val="center"/>
                </w:tcPr>
                <w:p w14:paraId="0531F908">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317" w:type="pct"/>
                  <w:vMerge w:val="restart"/>
                  <w:tcBorders>
                    <w:tl2br w:val="nil"/>
                    <w:tr2bl w:val="nil"/>
                  </w:tcBorders>
                  <w:vAlign w:val="center"/>
                </w:tcPr>
                <w:p w14:paraId="3B40A852">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w:t>
                  </w:r>
                </w:p>
              </w:tc>
              <w:tc>
                <w:tcPr>
                  <w:tcW w:w="595" w:type="pct"/>
                  <w:tcBorders>
                    <w:tl2br w:val="nil"/>
                    <w:tr2bl w:val="nil"/>
                  </w:tcBorders>
                  <w:vAlign w:val="center"/>
                </w:tcPr>
                <w:p w14:paraId="4ED3F281">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0.03287</w:t>
                  </w:r>
                </w:p>
              </w:tc>
              <w:tc>
                <w:tcPr>
                  <w:tcW w:w="700" w:type="pct"/>
                  <w:tcBorders>
                    <w:tl2br w:val="nil"/>
                    <w:tr2bl w:val="nil"/>
                  </w:tcBorders>
                  <w:vAlign w:val="center"/>
                </w:tcPr>
                <w:p w14:paraId="5FBC82EA">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0.0137</w:t>
                  </w:r>
                </w:p>
              </w:tc>
              <w:tc>
                <w:tcPr>
                  <w:tcW w:w="757" w:type="pct"/>
                  <w:tcBorders>
                    <w:tl2br w:val="nil"/>
                    <w:tr2bl w:val="nil"/>
                  </w:tcBorders>
                  <w:vAlign w:val="center"/>
                </w:tcPr>
                <w:p w14:paraId="151CB4E9">
                  <w:pPr>
                    <w:pStyle w:val="30"/>
                    <w:autoSpaceDE w:val="0"/>
                    <w:autoSpaceDN w:val="0"/>
                    <w:ind w:firstLine="0" w:firstLineChars="0"/>
                    <w:jc w:val="center"/>
                    <w:rPr>
                      <w:rFonts w:hint="eastAsia" w:ascii="Times New Roman" w:hAnsi="Times New Roman" w:eastAsia="宋体" w:cs="Times New Roman"/>
                      <w:b w:val="0"/>
                      <w:bCs/>
                      <w:color w:val="auto"/>
                      <w:kern w:val="0"/>
                      <w:sz w:val="21"/>
                      <w:szCs w:val="21"/>
                      <w:highlight w:val="none"/>
                      <w:u w:val="none" w:color="auto"/>
                      <w:lang w:val="en-US" w:eastAsia="zh-CN" w:bidi="ar-SA"/>
                    </w:rPr>
                  </w:pPr>
                  <w:r>
                    <w:rPr>
                      <w:rFonts w:hint="eastAsia" w:ascii="Times New Roman" w:hAnsi="Times New Roman" w:eastAsia="宋体" w:cs="Times New Roman"/>
                      <w:b w:val="0"/>
                      <w:bCs/>
                      <w:color w:val="auto"/>
                      <w:kern w:val="0"/>
                      <w:sz w:val="21"/>
                      <w:szCs w:val="21"/>
                      <w:highlight w:val="none"/>
                      <w:u w:val="none" w:color="auto"/>
                      <w:lang w:val="en-US" w:eastAsia="zh-CN" w:bidi="ar-SA"/>
                    </w:rPr>
                    <w:t>2.74</w:t>
                  </w:r>
                </w:p>
              </w:tc>
              <w:tc>
                <w:tcPr>
                  <w:tcW w:w="446" w:type="pct"/>
                  <w:vMerge w:val="restart"/>
                  <w:tcBorders>
                    <w:tl2br w:val="nil"/>
                    <w:tr2bl w:val="nil"/>
                  </w:tcBorders>
                  <w:vAlign w:val="center"/>
                </w:tcPr>
                <w:p w14:paraId="621BB1DB">
                  <w:pPr>
                    <w:pStyle w:val="33"/>
                    <w:keepNext w:val="0"/>
                    <w:keepLines w:val="0"/>
                    <w:pageBreakBefore w:val="0"/>
                    <w:widowControl/>
                    <w:kinsoku/>
                    <w:wordWrap w:val="0"/>
                    <w:overflowPunct/>
                    <w:topLinePunct/>
                    <w:autoSpaceDE/>
                    <w:autoSpaceDN/>
                    <w:bidi w:val="0"/>
                    <w:adjustRightInd/>
                    <w:snapToGrid/>
                    <w:rPr>
                      <w:rFonts w:hint="default"/>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2400</w:t>
                  </w:r>
                </w:p>
              </w:tc>
            </w:tr>
            <w:tr w14:paraId="61BA000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vMerge w:val="continue"/>
                  <w:tcBorders>
                    <w:tl2br w:val="nil"/>
                    <w:tr2bl w:val="nil"/>
                  </w:tcBorders>
                  <w:vAlign w:val="center"/>
                </w:tcPr>
                <w:p w14:paraId="5EA6EBB7">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c>
                <w:tcPr>
                  <w:tcW w:w="463" w:type="pct"/>
                  <w:tcBorders>
                    <w:tl2br w:val="nil"/>
                    <w:tr2bl w:val="nil"/>
                  </w:tcBorders>
                  <w:vAlign w:val="center"/>
                </w:tcPr>
                <w:p w14:paraId="3437CA0D">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颗粒物</w:t>
                  </w:r>
                </w:p>
              </w:tc>
              <w:tc>
                <w:tcPr>
                  <w:tcW w:w="426" w:type="pct"/>
                  <w:tcBorders>
                    <w:tl2br w:val="nil"/>
                    <w:tr2bl w:val="nil"/>
                  </w:tcBorders>
                  <w:vAlign w:val="center"/>
                </w:tcPr>
                <w:p w14:paraId="0AC493D0">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0.09669</w:t>
                  </w:r>
                </w:p>
              </w:tc>
              <w:tc>
                <w:tcPr>
                  <w:tcW w:w="341" w:type="pct"/>
                  <w:tcBorders>
                    <w:tl2br w:val="nil"/>
                    <w:tr2bl w:val="nil"/>
                  </w:tcBorders>
                  <w:vAlign w:val="center"/>
                </w:tcPr>
                <w:p w14:paraId="14C3294E">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水膜除尘</w:t>
                  </w:r>
                </w:p>
              </w:tc>
              <w:tc>
                <w:tcPr>
                  <w:tcW w:w="342" w:type="pct"/>
                  <w:vMerge w:val="continue"/>
                  <w:tcBorders>
                    <w:tl2br w:val="nil"/>
                    <w:tr2bl w:val="nil"/>
                  </w:tcBorders>
                  <w:vAlign w:val="center"/>
                </w:tcPr>
                <w:p w14:paraId="60B650B6">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p>
              </w:tc>
              <w:tc>
                <w:tcPr>
                  <w:tcW w:w="279" w:type="pct"/>
                  <w:tcBorders>
                    <w:tl2br w:val="nil"/>
                    <w:tr2bl w:val="nil"/>
                  </w:tcBorders>
                  <w:vAlign w:val="center"/>
                </w:tcPr>
                <w:p w14:paraId="75D53156">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85%</w:t>
                  </w:r>
                </w:p>
              </w:tc>
              <w:tc>
                <w:tcPr>
                  <w:tcW w:w="317" w:type="pct"/>
                  <w:vMerge w:val="continue"/>
                  <w:tcBorders>
                    <w:tl2br w:val="nil"/>
                    <w:tr2bl w:val="nil"/>
                  </w:tcBorders>
                  <w:vAlign w:val="center"/>
                </w:tcPr>
                <w:p w14:paraId="2E4A42B1">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p>
              </w:tc>
              <w:tc>
                <w:tcPr>
                  <w:tcW w:w="595" w:type="pct"/>
                  <w:tcBorders>
                    <w:tl2br w:val="nil"/>
                    <w:tr2bl w:val="nil"/>
                  </w:tcBorders>
                  <w:vAlign w:val="center"/>
                </w:tcPr>
                <w:p w14:paraId="11BC5253">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0.01450</w:t>
                  </w:r>
                </w:p>
              </w:tc>
              <w:tc>
                <w:tcPr>
                  <w:tcW w:w="700" w:type="pct"/>
                  <w:tcBorders>
                    <w:tl2br w:val="nil"/>
                    <w:tr2bl w:val="nil"/>
                  </w:tcBorders>
                  <w:vAlign w:val="center"/>
                </w:tcPr>
                <w:p w14:paraId="1502F563">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0.00604</w:t>
                  </w:r>
                </w:p>
              </w:tc>
              <w:tc>
                <w:tcPr>
                  <w:tcW w:w="757" w:type="pct"/>
                  <w:tcBorders>
                    <w:tl2br w:val="nil"/>
                    <w:tr2bl w:val="nil"/>
                  </w:tcBorders>
                  <w:vAlign w:val="center"/>
                </w:tcPr>
                <w:p w14:paraId="7873BCA9">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1.21</w:t>
                  </w:r>
                </w:p>
              </w:tc>
              <w:tc>
                <w:tcPr>
                  <w:tcW w:w="446" w:type="pct"/>
                  <w:vMerge w:val="continue"/>
                  <w:tcBorders>
                    <w:tl2br w:val="nil"/>
                    <w:tr2bl w:val="nil"/>
                  </w:tcBorders>
                  <w:vAlign w:val="center"/>
                </w:tcPr>
                <w:p w14:paraId="165ACBB8">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r>
            <w:tr w14:paraId="2F0D71E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vMerge w:val="continue"/>
                  <w:tcBorders>
                    <w:tl2br w:val="nil"/>
                    <w:tr2bl w:val="nil"/>
                  </w:tcBorders>
                  <w:vAlign w:val="center"/>
                </w:tcPr>
                <w:p w14:paraId="7A0F71E5">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c>
                <w:tcPr>
                  <w:tcW w:w="463" w:type="pct"/>
                  <w:tcBorders>
                    <w:tl2br w:val="nil"/>
                    <w:tr2bl w:val="nil"/>
                  </w:tcBorders>
                  <w:vAlign w:val="center"/>
                </w:tcPr>
                <w:p w14:paraId="65AB0B79">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氮氧化物</w:t>
                  </w:r>
                </w:p>
              </w:tc>
              <w:tc>
                <w:tcPr>
                  <w:tcW w:w="426" w:type="pct"/>
                  <w:tcBorders>
                    <w:tl2br w:val="nil"/>
                    <w:tr2bl w:val="nil"/>
                  </w:tcBorders>
                  <w:vAlign w:val="center"/>
                </w:tcPr>
                <w:p w14:paraId="7FEC3895">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0.19724</w:t>
                  </w:r>
                </w:p>
              </w:tc>
              <w:tc>
                <w:tcPr>
                  <w:tcW w:w="341" w:type="pct"/>
                  <w:tcBorders>
                    <w:tl2br w:val="nil"/>
                    <w:tr2bl w:val="nil"/>
                  </w:tcBorders>
                  <w:vAlign w:val="center"/>
                </w:tcPr>
                <w:p w14:paraId="73D60F34">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w:t>
                  </w:r>
                </w:p>
              </w:tc>
              <w:tc>
                <w:tcPr>
                  <w:tcW w:w="342" w:type="pct"/>
                  <w:vMerge w:val="continue"/>
                  <w:tcBorders>
                    <w:tl2br w:val="nil"/>
                    <w:tr2bl w:val="nil"/>
                  </w:tcBorders>
                  <w:vAlign w:val="center"/>
                </w:tcPr>
                <w:p w14:paraId="58FB79EA">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p>
              </w:tc>
              <w:tc>
                <w:tcPr>
                  <w:tcW w:w="279" w:type="pct"/>
                  <w:tcBorders>
                    <w:tl2br w:val="nil"/>
                    <w:tr2bl w:val="nil"/>
                  </w:tcBorders>
                  <w:vAlign w:val="center"/>
                </w:tcPr>
                <w:p w14:paraId="572D7C67">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w:t>
                  </w:r>
                </w:p>
              </w:tc>
              <w:tc>
                <w:tcPr>
                  <w:tcW w:w="317" w:type="pct"/>
                  <w:vMerge w:val="continue"/>
                  <w:tcBorders>
                    <w:tl2br w:val="nil"/>
                    <w:tr2bl w:val="nil"/>
                  </w:tcBorders>
                  <w:vAlign w:val="center"/>
                </w:tcPr>
                <w:p w14:paraId="2DA67BE6">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p>
              </w:tc>
              <w:tc>
                <w:tcPr>
                  <w:tcW w:w="595" w:type="pct"/>
                  <w:tcBorders>
                    <w:tl2br w:val="nil"/>
                    <w:tr2bl w:val="nil"/>
                  </w:tcBorders>
                  <w:vAlign w:val="center"/>
                </w:tcPr>
                <w:p w14:paraId="08F21256">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0.19724</w:t>
                  </w:r>
                </w:p>
              </w:tc>
              <w:tc>
                <w:tcPr>
                  <w:tcW w:w="700" w:type="pct"/>
                  <w:tcBorders>
                    <w:tl2br w:val="nil"/>
                    <w:tr2bl w:val="nil"/>
                  </w:tcBorders>
                  <w:vAlign w:val="center"/>
                </w:tcPr>
                <w:p w14:paraId="2570917F">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0.0822</w:t>
                  </w:r>
                </w:p>
              </w:tc>
              <w:tc>
                <w:tcPr>
                  <w:tcW w:w="757" w:type="pct"/>
                  <w:tcBorders>
                    <w:tl2br w:val="nil"/>
                    <w:tr2bl w:val="nil"/>
                  </w:tcBorders>
                  <w:vAlign w:val="center"/>
                </w:tcPr>
                <w:p w14:paraId="2F3D430F">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16.44</w:t>
                  </w:r>
                </w:p>
              </w:tc>
              <w:tc>
                <w:tcPr>
                  <w:tcW w:w="446" w:type="pct"/>
                  <w:vMerge w:val="continue"/>
                  <w:tcBorders>
                    <w:tl2br w:val="nil"/>
                    <w:tr2bl w:val="nil"/>
                  </w:tcBorders>
                  <w:vAlign w:val="center"/>
                </w:tcPr>
                <w:p w14:paraId="6D1FFA70">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r>
            <w:tr w14:paraId="0D34EE4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20" w:hRule="atLeast"/>
                <w:jc w:val="center"/>
              </w:trPr>
              <w:tc>
                <w:tcPr>
                  <w:tcW w:w="332" w:type="pct"/>
                  <w:tcBorders>
                    <w:tl2br w:val="nil"/>
                    <w:tr2bl w:val="nil"/>
                  </w:tcBorders>
                  <w:vAlign w:val="center"/>
                </w:tcPr>
                <w:p w14:paraId="7E8D43C8">
                  <w:pPr>
                    <w:pStyle w:val="33"/>
                    <w:keepNext w:val="0"/>
                    <w:keepLines w:val="0"/>
                    <w:pageBreakBefore w:val="0"/>
                    <w:widowControl/>
                    <w:kinsoku/>
                    <w:wordWrap w:val="0"/>
                    <w:overflowPunct/>
                    <w:topLinePunct/>
                    <w:autoSpaceDE/>
                    <w:autoSpaceDN/>
                    <w:bidi w:val="0"/>
                    <w:adjustRightInd/>
                    <w:snapToGrid/>
                    <w:rPr>
                      <w:rFonts w:hint="default"/>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焚烧钢瓶表面</w:t>
                  </w:r>
                </w:p>
              </w:tc>
              <w:tc>
                <w:tcPr>
                  <w:tcW w:w="463" w:type="pct"/>
                  <w:tcBorders>
                    <w:tl2br w:val="nil"/>
                    <w:tr2bl w:val="nil"/>
                  </w:tcBorders>
                  <w:vAlign w:val="center"/>
                </w:tcPr>
                <w:p w14:paraId="4C11AAAC">
                  <w:pPr>
                    <w:pStyle w:val="33"/>
                    <w:keepNext w:val="0"/>
                    <w:keepLines w:val="0"/>
                    <w:pageBreakBefore w:val="0"/>
                    <w:widowControl/>
                    <w:kinsoku/>
                    <w:wordWrap w:val="0"/>
                    <w:overflowPunct/>
                    <w:topLinePunct/>
                    <w:autoSpaceDE/>
                    <w:autoSpaceDN/>
                    <w:bidi w:val="0"/>
                    <w:adjustRightInd/>
                    <w:snapToGrid/>
                    <w:rPr>
                      <w:rFonts w:hint="default"/>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颗粒物</w:t>
                  </w:r>
                  <w:r>
                    <w:rPr>
                      <w:rFonts w:hint="default"/>
                      <w:b w:val="0"/>
                      <w:bCs/>
                      <w:color w:val="auto"/>
                      <w:sz w:val="21"/>
                      <w:szCs w:val="21"/>
                      <w:highlight w:val="none"/>
                      <w:u w:val="none" w:color="auto"/>
                      <w:lang w:val="en-US" w:eastAsia="zh-CN"/>
                    </w:rPr>
                    <w:t>（涂料尘）</w:t>
                  </w:r>
                </w:p>
              </w:tc>
              <w:tc>
                <w:tcPr>
                  <w:tcW w:w="426" w:type="pct"/>
                  <w:tcBorders>
                    <w:tl2br w:val="nil"/>
                    <w:tr2bl w:val="nil"/>
                  </w:tcBorders>
                  <w:vAlign w:val="center"/>
                </w:tcPr>
                <w:p w14:paraId="0D77D8A9">
                  <w:pPr>
                    <w:pStyle w:val="33"/>
                    <w:keepNext w:val="0"/>
                    <w:keepLines w:val="0"/>
                    <w:pageBreakBefore w:val="0"/>
                    <w:widowControl/>
                    <w:kinsoku/>
                    <w:wordWrap w:val="0"/>
                    <w:overflowPunct/>
                    <w:topLinePunct/>
                    <w:autoSpaceDE/>
                    <w:autoSpaceDN/>
                    <w:bidi w:val="0"/>
                    <w:adjustRightInd/>
                    <w:snapToGrid/>
                    <w:rPr>
                      <w:rFonts w:hint="default"/>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1.800</w:t>
                  </w:r>
                </w:p>
              </w:tc>
              <w:tc>
                <w:tcPr>
                  <w:tcW w:w="341" w:type="pct"/>
                  <w:tcBorders>
                    <w:tl2br w:val="nil"/>
                    <w:tr2bl w:val="nil"/>
                  </w:tcBorders>
                  <w:vAlign w:val="center"/>
                </w:tcPr>
                <w:p w14:paraId="0ADF4C65">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水膜除尘</w:t>
                  </w:r>
                </w:p>
              </w:tc>
              <w:tc>
                <w:tcPr>
                  <w:tcW w:w="342" w:type="pct"/>
                  <w:tcBorders>
                    <w:tl2br w:val="nil"/>
                    <w:tr2bl w:val="nil"/>
                  </w:tcBorders>
                  <w:vAlign w:val="center"/>
                </w:tcPr>
                <w:p w14:paraId="471CBDBF">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100%</w:t>
                  </w:r>
                </w:p>
              </w:tc>
              <w:tc>
                <w:tcPr>
                  <w:tcW w:w="279" w:type="pct"/>
                  <w:tcBorders>
                    <w:tl2br w:val="nil"/>
                    <w:tr2bl w:val="nil"/>
                  </w:tcBorders>
                  <w:vAlign w:val="center"/>
                </w:tcPr>
                <w:p w14:paraId="55B71574">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85%</w:t>
                  </w:r>
                </w:p>
              </w:tc>
              <w:tc>
                <w:tcPr>
                  <w:tcW w:w="317" w:type="pct"/>
                  <w:tcBorders>
                    <w:tl2br w:val="nil"/>
                    <w:tr2bl w:val="nil"/>
                  </w:tcBorders>
                  <w:vAlign w:val="center"/>
                </w:tcPr>
                <w:p w14:paraId="6992C2A4">
                  <w:pPr>
                    <w:pStyle w:val="33"/>
                    <w:keepNext w:val="0"/>
                    <w:keepLines w:val="0"/>
                    <w:pageBreakBefore w:val="0"/>
                    <w:widowControl/>
                    <w:kinsoku/>
                    <w:wordWrap w:val="0"/>
                    <w:overflowPunct/>
                    <w:topLinePunct/>
                    <w:autoSpaceDE/>
                    <w:autoSpaceDN/>
                    <w:bidi w:val="0"/>
                    <w:adjustRightInd/>
                    <w:snapToGrid/>
                    <w:rPr>
                      <w:rFonts w:hint="default"/>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w:t>
                  </w:r>
                </w:p>
              </w:tc>
              <w:tc>
                <w:tcPr>
                  <w:tcW w:w="595" w:type="pct"/>
                  <w:tcBorders>
                    <w:tl2br w:val="nil"/>
                    <w:tr2bl w:val="nil"/>
                  </w:tcBorders>
                  <w:vAlign w:val="center"/>
                </w:tcPr>
                <w:p w14:paraId="7DD02297">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0.270</w:t>
                  </w:r>
                </w:p>
              </w:tc>
              <w:tc>
                <w:tcPr>
                  <w:tcW w:w="700" w:type="pct"/>
                  <w:tcBorders>
                    <w:tl2br w:val="nil"/>
                    <w:tr2bl w:val="nil"/>
                  </w:tcBorders>
                  <w:vAlign w:val="center"/>
                </w:tcPr>
                <w:p w14:paraId="1074EF08">
                  <w:pPr>
                    <w:pStyle w:val="33"/>
                    <w:keepNext w:val="0"/>
                    <w:keepLines w:val="0"/>
                    <w:pageBreakBefore w:val="0"/>
                    <w:widowControl/>
                    <w:kinsoku/>
                    <w:wordWrap w:val="0"/>
                    <w:overflowPunct/>
                    <w:topLinePunct/>
                    <w:autoSpaceDE/>
                    <w:autoSpaceDN/>
                    <w:bidi w:val="0"/>
                    <w:adjustRightInd/>
                    <w:snapToGrid/>
                    <w:rPr>
                      <w:rFonts w:hint="eastAsia"/>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0.1125</w:t>
                  </w:r>
                </w:p>
              </w:tc>
              <w:tc>
                <w:tcPr>
                  <w:tcW w:w="757" w:type="pct"/>
                  <w:tcBorders>
                    <w:tl2br w:val="nil"/>
                    <w:tr2bl w:val="nil"/>
                  </w:tcBorders>
                  <w:vAlign w:val="center"/>
                </w:tcPr>
                <w:p w14:paraId="5AECF97F">
                  <w:pPr>
                    <w:pStyle w:val="33"/>
                    <w:keepNext w:val="0"/>
                    <w:keepLines w:val="0"/>
                    <w:pageBreakBefore w:val="0"/>
                    <w:widowControl/>
                    <w:kinsoku/>
                    <w:wordWrap w:val="0"/>
                    <w:overflowPunct/>
                    <w:topLinePunct/>
                    <w:autoSpaceDE/>
                    <w:autoSpaceDN/>
                    <w:bidi w:val="0"/>
                    <w:adjustRightInd/>
                    <w:snapToGrid/>
                    <w:rPr>
                      <w:rFonts w:hint="default"/>
                      <w:b w:val="0"/>
                      <w:bCs/>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22.5</w:t>
                  </w:r>
                </w:p>
              </w:tc>
              <w:tc>
                <w:tcPr>
                  <w:tcW w:w="446" w:type="pct"/>
                  <w:vMerge w:val="continue"/>
                  <w:tcBorders>
                    <w:tl2br w:val="nil"/>
                    <w:tr2bl w:val="nil"/>
                  </w:tcBorders>
                  <w:vAlign w:val="center"/>
                </w:tcPr>
                <w:p w14:paraId="08668B82">
                  <w:pPr>
                    <w:pStyle w:val="33"/>
                    <w:keepNext w:val="0"/>
                    <w:keepLines w:val="0"/>
                    <w:pageBreakBefore w:val="0"/>
                    <w:widowControl/>
                    <w:kinsoku/>
                    <w:wordWrap w:val="0"/>
                    <w:overflowPunct/>
                    <w:topLinePunct/>
                    <w:autoSpaceDE/>
                    <w:autoSpaceDN/>
                    <w:bidi w:val="0"/>
                    <w:adjustRightInd/>
                    <w:snapToGrid/>
                    <w:rPr>
                      <w:rFonts w:hint="eastAsia"/>
                      <w:color w:val="auto"/>
                      <w:sz w:val="21"/>
                      <w:szCs w:val="21"/>
                      <w:highlight w:val="none"/>
                      <w:u w:val="none" w:color="auto"/>
                      <w:lang w:val="en-US" w:eastAsia="zh-CN"/>
                    </w:rPr>
                  </w:pPr>
                </w:p>
              </w:tc>
            </w:tr>
          </w:tbl>
          <w:p w14:paraId="52FD6611">
            <w:pPr>
              <w:pStyle w:val="30"/>
              <w:bidi w:val="0"/>
              <w:jc w:val="center"/>
              <w:rPr>
                <w:rFonts w:hint="eastAsia"/>
                <w:b/>
                <w:bCs/>
                <w:highlight w:val="none"/>
                <w:u w:val="none" w:color="auto"/>
                <w:lang w:val="en-US" w:eastAsia="zh-CN"/>
              </w:rPr>
            </w:pPr>
            <w:r>
              <w:rPr>
                <w:rFonts w:hint="eastAsia"/>
                <w:b/>
                <w:bCs/>
                <w:highlight w:val="none"/>
                <w:u w:val="none" w:color="auto"/>
                <w:lang w:val="en-US" w:eastAsia="zh-CN"/>
              </w:rPr>
              <w:t>表4-6   无组织废气产排情况一览表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3"/>
              <w:gridCol w:w="480"/>
              <w:gridCol w:w="661"/>
              <w:gridCol w:w="1312"/>
              <w:gridCol w:w="1429"/>
              <w:gridCol w:w="1758"/>
              <w:gridCol w:w="990"/>
              <w:gridCol w:w="1052"/>
            </w:tblGrid>
            <w:tr w14:paraId="417913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78" w:type="pct"/>
                  <w:vMerge w:val="restart"/>
                  <w:tcBorders>
                    <w:tl2br w:val="nil"/>
                    <w:tr2bl w:val="nil"/>
                  </w:tcBorders>
                  <w:vAlign w:val="center"/>
                </w:tcPr>
                <w:p w14:paraId="0439558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序号</w:t>
                  </w:r>
                </w:p>
              </w:tc>
              <w:tc>
                <w:tcPr>
                  <w:tcW w:w="301" w:type="pct"/>
                  <w:vMerge w:val="restart"/>
                  <w:tcBorders>
                    <w:tl2br w:val="nil"/>
                    <w:tr2bl w:val="nil"/>
                  </w:tcBorders>
                  <w:vAlign w:val="center"/>
                </w:tcPr>
                <w:p w14:paraId="51706AF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产污环节</w:t>
                  </w:r>
                </w:p>
              </w:tc>
              <w:tc>
                <w:tcPr>
                  <w:tcW w:w="415" w:type="pct"/>
                  <w:vMerge w:val="restart"/>
                  <w:tcBorders>
                    <w:tl2br w:val="nil"/>
                    <w:tr2bl w:val="nil"/>
                  </w:tcBorders>
                  <w:vAlign w:val="center"/>
                </w:tcPr>
                <w:p w14:paraId="511A72A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污染物</w:t>
                  </w:r>
                </w:p>
              </w:tc>
              <w:tc>
                <w:tcPr>
                  <w:tcW w:w="823" w:type="pct"/>
                  <w:vMerge w:val="restart"/>
                  <w:tcBorders>
                    <w:tl2br w:val="nil"/>
                    <w:tr2bl w:val="nil"/>
                  </w:tcBorders>
                  <w:vAlign w:val="center"/>
                </w:tcPr>
                <w:p w14:paraId="6A6AFF3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主要污染防治措施</w:t>
                  </w:r>
                </w:p>
              </w:tc>
              <w:tc>
                <w:tcPr>
                  <w:tcW w:w="2621" w:type="pct"/>
                  <w:gridSpan w:val="3"/>
                  <w:tcBorders>
                    <w:tl2br w:val="nil"/>
                    <w:tr2bl w:val="nil"/>
                  </w:tcBorders>
                  <w:vAlign w:val="center"/>
                </w:tcPr>
                <w:p w14:paraId="77C9D6B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国家污染物排放标准</w:t>
                  </w:r>
                </w:p>
              </w:tc>
              <w:tc>
                <w:tcPr>
                  <w:tcW w:w="660" w:type="pct"/>
                  <w:vMerge w:val="restart"/>
                  <w:tcBorders>
                    <w:tl2br w:val="nil"/>
                    <w:tr2bl w:val="nil"/>
                  </w:tcBorders>
                  <w:vAlign w:val="center"/>
                </w:tcPr>
                <w:p w14:paraId="28412AEC">
                  <w:pPr>
                    <w:pStyle w:val="30"/>
                    <w:keepNext w:val="0"/>
                    <w:keepLines w:val="0"/>
                    <w:pageBreakBefore w:val="0"/>
                    <w:widowControl/>
                    <w:kinsoku/>
                    <w:wordWrap w:val="0"/>
                    <w:overflowPunct/>
                    <w:topLinePunct/>
                    <w:autoSpaceDE/>
                    <w:autoSpaceDN/>
                    <w:bidi w:val="0"/>
                    <w:adjustRightInd/>
                    <w:snapToGrid/>
                    <w:jc w:val="center"/>
                    <w:rPr>
                      <w:rFonts w:hint="default"/>
                      <w:b/>
                      <w:bCs/>
                      <w:sz w:val="21"/>
                      <w:szCs w:val="21"/>
                      <w:highlight w:val="none"/>
                      <w:u w:val="none" w:color="auto"/>
                      <w:lang w:val="en-US" w:eastAsia="zh-CN"/>
                    </w:rPr>
                  </w:pPr>
                  <w:r>
                    <w:rPr>
                      <w:rFonts w:hint="default"/>
                      <w:b/>
                      <w:bCs/>
                      <w:sz w:val="21"/>
                      <w:szCs w:val="21"/>
                      <w:highlight w:val="none"/>
                      <w:u w:val="none" w:color="auto"/>
                      <w:lang w:val="en-US" w:eastAsia="zh-CN"/>
                    </w:rPr>
                    <w:t>年排放量</w:t>
                  </w:r>
                </w:p>
                <w:p w14:paraId="26458E68">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b/>
                      <w:bCs/>
                      <w:sz w:val="21"/>
                      <w:szCs w:val="21"/>
                      <w:highlight w:val="none"/>
                      <w:u w:val="none" w:color="auto"/>
                      <w:lang w:val="en-US" w:eastAsia="zh-CN"/>
                    </w:rPr>
                    <w:t>（t/a）</w:t>
                  </w:r>
                </w:p>
              </w:tc>
            </w:tr>
            <w:tr w14:paraId="7CBC2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78" w:type="pct"/>
                  <w:vMerge w:val="continue"/>
                  <w:tcBorders>
                    <w:tl2br w:val="nil"/>
                    <w:tr2bl w:val="nil"/>
                  </w:tcBorders>
                  <w:vAlign w:val="center"/>
                </w:tcPr>
                <w:p w14:paraId="0765BF3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301" w:type="pct"/>
                  <w:vMerge w:val="continue"/>
                  <w:tcBorders>
                    <w:tl2br w:val="nil"/>
                    <w:tr2bl w:val="nil"/>
                  </w:tcBorders>
                  <w:vAlign w:val="center"/>
                </w:tcPr>
                <w:p w14:paraId="3FC38D0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415" w:type="pct"/>
                  <w:vMerge w:val="continue"/>
                  <w:tcBorders>
                    <w:tl2br w:val="nil"/>
                    <w:tr2bl w:val="nil"/>
                  </w:tcBorders>
                  <w:vAlign w:val="center"/>
                </w:tcPr>
                <w:p w14:paraId="3B70CEB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823" w:type="pct"/>
                  <w:vMerge w:val="continue"/>
                  <w:tcBorders>
                    <w:tl2br w:val="nil"/>
                    <w:tr2bl w:val="nil"/>
                  </w:tcBorders>
                  <w:vAlign w:val="center"/>
                </w:tcPr>
                <w:p w14:paraId="149A678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897" w:type="pct"/>
                  <w:tcBorders>
                    <w:tl2br w:val="nil"/>
                    <w:tr2bl w:val="nil"/>
                  </w:tcBorders>
                  <w:vAlign w:val="center"/>
                </w:tcPr>
                <w:p w14:paraId="58F43D9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标准名称</w:t>
                  </w:r>
                </w:p>
              </w:tc>
              <w:tc>
                <w:tcPr>
                  <w:tcW w:w="1103" w:type="pct"/>
                  <w:tcBorders>
                    <w:tl2br w:val="nil"/>
                    <w:tr2bl w:val="nil"/>
                  </w:tcBorders>
                  <w:vAlign w:val="center"/>
                </w:tcPr>
                <w:p w14:paraId="5F12B83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浓度限值</w:t>
                  </w:r>
                  <w:r>
                    <w:rPr>
                      <w:rFonts w:hint="eastAsia" w:cs="Times New Roman"/>
                      <w:b/>
                      <w:bCs/>
                      <w:snapToGrid/>
                      <w:color w:val="auto"/>
                      <w:kern w:val="0"/>
                      <w:sz w:val="21"/>
                      <w:szCs w:val="21"/>
                      <w:highlight w:val="none"/>
                      <w:u w:val="none" w:color="auto"/>
                      <w:lang w:val="en-US" w:eastAsia="zh-CN" w:bidi="ar-SA"/>
                    </w:rPr>
                    <w:t>（mg/m</w:t>
                  </w:r>
                  <w:r>
                    <w:rPr>
                      <w:rFonts w:hint="eastAsia" w:cs="Times New Roman"/>
                      <w:b/>
                      <w:bCs/>
                      <w:snapToGrid/>
                      <w:color w:val="auto"/>
                      <w:kern w:val="0"/>
                      <w:sz w:val="21"/>
                      <w:szCs w:val="21"/>
                      <w:highlight w:val="none"/>
                      <w:u w:val="none" w:color="auto"/>
                      <w:vertAlign w:val="superscript"/>
                      <w:lang w:val="en-US" w:eastAsia="zh-CN" w:bidi="ar-SA"/>
                    </w:rPr>
                    <w:t>3</w:t>
                  </w:r>
                  <w:r>
                    <w:rPr>
                      <w:rFonts w:hint="eastAsia" w:cs="Times New Roman"/>
                      <w:b/>
                      <w:bCs/>
                      <w:snapToGrid/>
                      <w:color w:val="auto"/>
                      <w:kern w:val="0"/>
                      <w:sz w:val="21"/>
                      <w:szCs w:val="21"/>
                      <w:highlight w:val="none"/>
                      <w:u w:val="none" w:color="auto"/>
                      <w:lang w:val="en-US" w:eastAsia="zh-CN" w:bidi="ar-SA"/>
                    </w:rPr>
                    <w:t>）</w:t>
                  </w:r>
                </w:p>
              </w:tc>
              <w:tc>
                <w:tcPr>
                  <w:tcW w:w="620" w:type="pct"/>
                  <w:tcBorders>
                    <w:tl2br w:val="nil"/>
                    <w:tr2bl w:val="nil"/>
                  </w:tcBorders>
                  <w:vAlign w:val="center"/>
                </w:tcPr>
                <w:p w14:paraId="1D809EA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eastAsia" w:ascii="Times New Roman" w:hAnsi="Times New Roman" w:eastAsia="宋体" w:cs="Times New Roman"/>
                      <w:b/>
                      <w:bCs/>
                      <w:snapToGrid/>
                      <w:color w:val="auto"/>
                      <w:kern w:val="0"/>
                      <w:sz w:val="21"/>
                      <w:szCs w:val="21"/>
                      <w:highlight w:val="none"/>
                      <w:u w:val="none" w:color="auto"/>
                      <w:lang w:val="en-US" w:eastAsia="zh-CN" w:bidi="ar-SA"/>
                    </w:rPr>
                    <w:t>限值含义</w:t>
                  </w:r>
                </w:p>
              </w:tc>
              <w:tc>
                <w:tcPr>
                  <w:tcW w:w="660" w:type="pct"/>
                  <w:vMerge w:val="continue"/>
                  <w:tcBorders>
                    <w:tl2br w:val="nil"/>
                    <w:tr2bl w:val="nil"/>
                  </w:tcBorders>
                  <w:vAlign w:val="center"/>
                </w:tcPr>
                <w:p w14:paraId="1C33C9D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r>
            <w:tr w14:paraId="11C8F3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8" w:type="pct"/>
                  <w:tcBorders>
                    <w:tl2br w:val="nil"/>
                    <w:tr2bl w:val="nil"/>
                  </w:tcBorders>
                  <w:vAlign w:val="center"/>
                </w:tcPr>
                <w:p w14:paraId="70CED82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c>
                <w:tcPr>
                  <w:tcW w:w="301" w:type="pct"/>
                  <w:tcBorders>
                    <w:tl2br w:val="nil"/>
                    <w:tr2bl w:val="nil"/>
                  </w:tcBorders>
                  <w:vAlign w:val="center"/>
                </w:tcPr>
                <w:p w14:paraId="5F404B8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u w:val="none" w:color="auto"/>
                      <w:lang w:val="en-US" w:eastAsia="zh-CN"/>
                    </w:rPr>
                    <w:t>泄漏废气</w:t>
                  </w:r>
                </w:p>
              </w:tc>
              <w:tc>
                <w:tcPr>
                  <w:tcW w:w="415" w:type="pct"/>
                  <w:tcBorders>
                    <w:tl2br w:val="nil"/>
                    <w:tr2bl w:val="nil"/>
                  </w:tcBorders>
                  <w:vAlign w:val="center"/>
                </w:tcPr>
                <w:p w14:paraId="7EC743C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非甲烷总烃</w:t>
                  </w:r>
                </w:p>
              </w:tc>
              <w:tc>
                <w:tcPr>
                  <w:tcW w:w="823" w:type="pct"/>
                  <w:tcBorders>
                    <w:tl2br w:val="nil"/>
                    <w:tr2bl w:val="nil"/>
                  </w:tcBorders>
                  <w:vAlign w:val="center"/>
                </w:tcPr>
                <w:p w14:paraId="4CD80A15">
                  <w:pPr>
                    <w:keepNext w:val="0"/>
                    <w:keepLines w:val="0"/>
                    <w:pageBreakBefore w:val="0"/>
                    <w:widowControl/>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无组织扩散</w:t>
                  </w:r>
                </w:p>
              </w:tc>
              <w:tc>
                <w:tcPr>
                  <w:tcW w:w="897" w:type="pct"/>
                  <w:tcBorders>
                    <w:tl2br w:val="nil"/>
                    <w:tr2bl w:val="nil"/>
                  </w:tcBorders>
                  <w:vAlign w:val="center"/>
                </w:tcPr>
                <w:p w14:paraId="73EC611E">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pacing w:val="8"/>
                      <w:kern w:val="2"/>
                      <w:sz w:val="21"/>
                      <w:szCs w:val="21"/>
                      <w:highlight w:val="none"/>
                      <w:u w:val="none" w:color="auto"/>
                      <w:lang w:val="en-US" w:eastAsia="en-US" w:bidi="ar-SA"/>
                      <w14:textOutline w14:w="3795" w14:cap="sq" w14:cmpd="sng">
                        <w14:solidFill>
                          <w14:srgbClr w14:val="000000"/>
                        </w14:solidFill>
                        <w14:prstDash w14:val="solid"/>
                        <w14:bevel/>
                      </w14:textOutline>
                    </w:rPr>
                  </w:pPr>
                  <w:r>
                    <w:rPr>
                      <w:rFonts w:hint="eastAsia" w:ascii="Times New Roman" w:hAnsi="Times New Roman" w:eastAsia="宋体" w:cs="Times New Roman"/>
                      <w:color w:val="auto"/>
                      <w:kern w:val="2"/>
                      <w:sz w:val="21"/>
                      <w:szCs w:val="21"/>
                      <w:highlight w:val="none"/>
                      <w:u w:val="none" w:color="auto"/>
                      <w:lang w:val="en-US" w:eastAsia="zh-CN" w:bidi="ar-SA"/>
                    </w:rPr>
                    <w:t>《挥发性有机物无组织排放控制标准》（GB37822-2019）</w:t>
                  </w:r>
                </w:p>
              </w:tc>
              <w:tc>
                <w:tcPr>
                  <w:tcW w:w="1103" w:type="pct"/>
                  <w:tcBorders>
                    <w:tl2br w:val="nil"/>
                    <w:tr2bl w:val="nil"/>
                  </w:tcBorders>
                  <w:vAlign w:val="center"/>
                </w:tcPr>
                <w:p w14:paraId="4884E71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kern w:val="2"/>
                      <w:sz w:val="21"/>
                      <w:szCs w:val="21"/>
                      <w:highlight w:val="none"/>
                      <w:u w:val="none" w:color="auto"/>
                      <w:lang w:val="en-US" w:eastAsia="zh-CN" w:bidi="ar-SA"/>
                      <w14:textOutline w14:w="3795" w14:cap="sq" w14:cmpd="sng">
                        <w14:solidFill>
                          <w14:srgbClr w14:val="000000"/>
                        </w14:solidFill>
                        <w14:prstDash w14:val="solid"/>
                        <w14:bevel/>
                      </w14:textOutline>
                    </w:rPr>
                  </w:pPr>
                  <w:r>
                    <w:rPr>
                      <w:rFonts w:hint="eastAsia"/>
                      <w:b w:val="0"/>
                      <w:bCs w:val="0"/>
                      <w:highlight w:val="none"/>
                      <w:u w:val="none" w:color="auto"/>
                      <w:lang w:val="en-US" w:eastAsia="zh-CN"/>
                    </w:rPr>
                    <w:t>6</w:t>
                  </w:r>
                </w:p>
              </w:tc>
              <w:tc>
                <w:tcPr>
                  <w:tcW w:w="620" w:type="pct"/>
                  <w:tcBorders>
                    <w:tl2br w:val="nil"/>
                    <w:tr2bl w:val="nil"/>
                  </w:tcBorders>
                  <w:vAlign w:val="center"/>
                </w:tcPr>
                <w:p w14:paraId="73A3067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b w:val="0"/>
                      <w:bCs w:val="0"/>
                      <w:highlight w:val="none"/>
                      <w:u w:val="none" w:color="auto"/>
                      <w:lang w:val="en-US" w:eastAsia="zh-CN"/>
                    </w:rPr>
                  </w:pPr>
                  <w:r>
                    <w:rPr>
                      <w:rFonts w:hint="default"/>
                      <w:b w:val="0"/>
                      <w:bCs w:val="0"/>
                      <w:highlight w:val="none"/>
                      <w:u w:val="none" w:color="auto"/>
                      <w:lang w:val="en-US" w:eastAsia="zh-CN"/>
                    </w:rPr>
                    <w:t>监控点处1h平均浓度值</w:t>
                  </w:r>
                </w:p>
              </w:tc>
              <w:tc>
                <w:tcPr>
                  <w:tcW w:w="660" w:type="pct"/>
                  <w:tcBorders>
                    <w:tl2br w:val="nil"/>
                    <w:tr2bl w:val="nil"/>
                  </w:tcBorders>
                  <w:vAlign w:val="center"/>
                </w:tcPr>
                <w:p w14:paraId="1C42453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b w:val="0"/>
                      <w:bCs w:val="0"/>
                      <w:highlight w:val="none"/>
                      <w:u w:val="none" w:color="auto"/>
                      <w:lang w:val="en-US" w:eastAsia="zh-CN"/>
                    </w:rPr>
                    <w:t>0.03</w:t>
                  </w:r>
                </w:p>
              </w:tc>
            </w:tr>
          </w:tbl>
          <w:p w14:paraId="17E55DA4">
            <w:pPr>
              <w:pStyle w:val="25"/>
              <w:ind w:left="0" w:leftChars="0" w:firstLine="0" w:firstLineChars="0"/>
              <w:rPr>
                <w:rFonts w:hint="eastAsia" w:eastAsia="宋体"/>
                <w:b/>
                <w:bCs/>
                <w:highlight w:val="none"/>
                <w:u w:val="none" w:color="auto"/>
                <w:lang w:eastAsia="zh-CN"/>
              </w:rPr>
            </w:pPr>
            <w:r>
              <w:rPr>
                <w:rFonts w:hint="eastAsia"/>
                <w:b/>
                <w:bCs/>
                <w:highlight w:val="none"/>
                <w:u w:val="none" w:color="auto"/>
              </w:rPr>
              <w:t>非正常排放</w:t>
            </w:r>
            <w:r>
              <w:rPr>
                <w:rFonts w:hint="eastAsia"/>
                <w:b/>
                <w:bCs/>
                <w:highlight w:val="none"/>
                <w:u w:val="none" w:color="auto"/>
                <w:lang w:eastAsia="zh-CN"/>
              </w:rPr>
              <w:t>：</w:t>
            </w:r>
          </w:p>
          <w:p w14:paraId="55462BC7">
            <w:pPr>
              <w:pStyle w:val="25"/>
              <w:ind w:firstLine="480"/>
              <w:rPr>
                <w:highlight w:val="none"/>
                <w:u w:val="none" w:color="auto"/>
              </w:rPr>
            </w:pPr>
            <w:r>
              <w:rPr>
                <w:rFonts w:hint="eastAsia"/>
                <w:highlight w:val="none"/>
                <w:u w:val="none" w:color="auto"/>
              </w:rPr>
              <w:t>非正常排放工况：锅炉除尘器故障，锅炉废气未经处理直接排放。</w:t>
            </w:r>
          </w:p>
          <w:p w14:paraId="000A4AE9">
            <w:pPr>
              <w:pStyle w:val="30"/>
              <w:jc w:val="center"/>
              <w:rPr>
                <w:b/>
                <w:bCs/>
                <w:highlight w:val="none"/>
                <w:u w:val="none" w:color="auto"/>
              </w:rPr>
            </w:pPr>
            <w:r>
              <w:rPr>
                <w:rFonts w:hint="eastAsia"/>
                <w:b/>
                <w:bCs/>
                <w:highlight w:val="none"/>
                <w:u w:val="none" w:color="auto"/>
              </w:rPr>
              <w:t>表4-</w:t>
            </w:r>
            <w:r>
              <w:rPr>
                <w:rFonts w:hint="eastAsia"/>
                <w:b/>
                <w:bCs/>
                <w:highlight w:val="none"/>
                <w:u w:val="none" w:color="auto"/>
                <w:lang w:val="en-US" w:eastAsia="zh-CN"/>
              </w:rPr>
              <w:t>7</w:t>
            </w:r>
            <w:r>
              <w:rPr>
                <w:rFonts w:hint="eastAsia"/>
                <w:b/>
                <w:bCs/>
                <w:highlight w:val="none"/>
                <w:u w:val="none" w:color="auto"/>
              </w:rPr>
              <w:t xml:space="preserve">   废气污染物非正常排放一览表</w:t>
            </w:r>
          </w:p>
          <w:tbl>
            <w:tblPr>
              <w:tblStyle w:val="19"/>
              <w:tblW w:w="79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77"/>
              <w:gridCol w:w="936"/>
              <w:gridCol w:w="1194"/>
              <w:gridCol w:w="1103"/>
              <w:gridCol w:w="996"/>
              <w:gridCol w:w="996"/>
              <w:gridCol w:w="996"/>
            </w:tblGrid>
            <w:tr w14:paraId="77E84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70" w:type="dxa"/>
                  <w:tcBorders>
                    <w:tl2br w:val="nil"/>
                    <w:tr2bl w:val="nil"/>
                  </w:tcBorders>
                  <w:vAlign w:val="center"/>
                </w:tcPr>
                <w:p w14:paraId="25E8896A">
                  <w:pPr>
                    <w:pStyle w:val="30"/>
                    <w:jc w:val="center"/>
                    <w:rPr>
                      <w:b/>
                      <w:bCs/>
                      <w:highlight w:val="none"/>
                      <w:u w:val="none" w:color="auto"/>
                    </w:rPr>
                  </w:pPr>
                  <w:r>
                    <w:rPr>
                      <w:rFonts w:hint="eastAsia"/>
                      <w:b/>
                      <w:bCs/>
                      <w:highlight w:val="none"/>
                      <w:u w:val="none" w:color="auto"/>
                    </w:rPr>
                    <w:t>排放源</w:t>
                  </w:r>
                </w:p>
              </w:tc>
              <w:tc>
                <w:tcPr>
                  <w:tcW w:w="877" w:type="dxa"/>
                  <w:tcBorders>
                    <w:tl2br w:val="nil"/>
                    <w:tr2bl w:val="nil"/>
                  </w:tcBorders>
                  <w:vAlign w:val="center"/>
                </w:tcPr>
                <w:p w14:paraId="64EC66E6">
                  <w:pPr>
                    <w:pStyle w:val="30"/>
                    <w:jc w:val="center"/>
                    <w:rPr>
                      <w:b/>
                      <w:bCs/>
                      <w:highlight w:val="none"/>
                      <w:u w:val="none" w:color="auto"/>
                    </w:rPr>
                  </w:pPr>
                  <w:r>
                    <w:rPr>
                      <w:rFonts w:hint="eastAsia"/>
                      <w:b/>
                      <w:bCs/>
                      <w:highlight w:val="none"/>
                      <w:u w:val="none" w:color="auto"/>
                    </w:rPr>
                    <w:t>非正常排放原因</w:t>
                  </w:r>
                </w:p>
              </w:tc>
              <w:tc>
                <w:tcPr>
                  <w:tcW w:w="936" w:type="dxa"/>
                  <w:tcBorders>
                    <w:tl2br w:val="nil"/>
                    <w:tr2bl w:val="nil"/>
                  </w:tcBorders>
                  <w:vAlign w:val="center"/>
                </w:tcPr>
                <w:p w14:paraId="5C34604B">
                  <w:pPr>
                    <w:pStyle w:val="30"/>
                    <w:jc w:val="center"/>
                    <w:rPr>
                      <w:b/>
                      <w:bCs/>
                      <w:highlight w:val="none"/>
                      <w:u w:val="none" w:color="auto"/>
                    </w:rPr>
                  </w:pPr>
                  <w:r>
                    <w:rPr>
                      <w:rFonts w:hint="eastAsia"/>
                      <w:b/>
                      <w:bCs/>
                      <w:highlight w:val="none"/>
                      <w:u w:val="none" w:color="auto"/>
                    </w:rPr>
                    <w:t>污染物</w:t>
                  </w:r>
                </w:p>
              </w:tc>
              <w:tc>
                <w:tcPr>
                  <w:tcW w:w="1194" w:type="dxa"/>
                  <w:tcBorders>
                    <w:tl2br w:val="nil"/>
                    <w:tr2bl w:val="nil"/>
                  </w:tcBorders>
                  <w:vAlign w:val="center"/>
                </w:tcPr>
                <w:p w14:paraId="605EF5CF">
                  <w:pPr>
                    <w:pStyle w:val="30"/>
                    <w:widowControl/>
                    <w:wordWrap w:val="0"/>
                    <w:topLinePunct/>
                    <w:adjustRightInd/>
                    <w:jc w:val="center"/>
                    <w:rPr>
                      <w:b/>
                      <w:bCs/>
                      <w:highlight w:val="none"/>
                      <w:u w:val="none" w:color="auto"/>
                    </w:rPr>
                  </w:pPr>
                  <w:r>
                    <w:rPr>
                      <w:rFonts w:hint="eastAsia"/>
                      <w:b/>
                      <w:bCs/>
                      <w:szCs w:val="21"/>
                      <w:highlight w:val="none"/>
                      <w:u w:val="none" w:color="auto"/>
                    </w:rPr>
                    <w:t>非正常</w:t>
                  </w:r>
                  <w:r>
                    <w:rPr>
                      <w:b/>
                      <w:bCs/>
                      <w:szCs w:val="21"/>
                      <w:highlight w:val="none"/>
                      <w:u w:val="none" w:color="auto"/>
                    </w:rPr>
                    <w:t>排放</w:t>
                  </w:r>
                  <w:r>
                    <w:rPr>
                      <w:rFonts w:hint="eastAsia"/>
                      <w:b/>
                      <w:bCs/>
                      <w:szCs w:val="21"/>
                      <w:highlight w:val="none"/>
                      <w:u w:val="none" w:color="auto"/>
                    </w:rPr>
                    <w:t>量</w:t>
                  </w:r>
                  <w:r>
                    <w:rPr>
                      <w:b/>
                      <w:bCs/>
                      <w:szCs w:val="21"/>
                      <w:highlight w:val="none"/>
                      <w:u w:val="none" w:color="auto"/>
                    </w:rPr>
                    <w:t>（</w:t>
                  </w:r>
                  <w:r>
                    <w:rPr>
                      <w:rFonts w:hint="eastAsia"/>
                      <w:b/>
                      <w:bCs/>
                      <w:szCs w:val="21"/>
                      <w:highlight w:val="none"/>
                      <w:u w:val="none" w:color="auto"/>
                    </w:rPr>
                    <w:t>t/a</w:t>
                  </w:r>
                  <w:r>
                    <w:rPr>
                      <w:b/>
                      <w:bCs/>
                      <w:szCs w:val="21"/>
                      <w:highlight w:val="none"/>
                      <w:u w:val="none" w:color="auto"/>
                    </w:rPr>
                    <w:t>)</w:t>
                  </w:r>
                </w:p>
              </w:tc>
              <w:tc>
                <w:tcPr>
                  <w:tcW w:w="1103" w:type="dxa"/>
                  <w:tcBorders>
                    <w:tl2br w:val="nil"/>
                    <w:tr2bl w:val="nil"/>
                  </w:tcBorders>
                  <w:vAlign w:val="center"/>
                </w:tcPr>
                <w:p w14:paraId="3608FADD">
                  <w:pPr>
                    <w:pStyle w:val="30"/>
                    <w:widowControl/>
                    <w:wordWrap w:val="0"/>
                    <w:topLinePunct/>
                    <w:adjustRightInd/>
                    <w:jc w:val="center"/>
                    <w:rPr>
                      <w:b/>
                      <w:bCs/>
                      <w:szCs w:val="21"/>
                      <w:highlight w:val="none"/>
                      <w:u w:val="none" w:color="auto"/>
                    </w:rPr>
                  </w:pPr>
                  <w:r>
                    <w:rPr>
                      <w:rFonts w:hint="eastAsia"/>
                      <w:b/>
                      <w:bCs/>
                      <w:szCs w:val="21"/>
                      <w:highlight w:val="none"/>
                      <w:u w:val="none" w:color="auto"/>
                    </w:rPr>
                    <w:t>非正常</w:t>
                  </w:r>
                  <w:r>
                    <w:rPr>
                      <w:b/>
                      <w:bCs/>
                      <w:szCs w:val="21"/>
                      <w:highlight w:val="none"/>
                      <w:u w:val="none" w:color="auto"/>
                    </w:rPr>
                    <w:t>排放浓度</w:t>
                  </w:r>
                </w:p>
                <w:p w14:paraId="118CC302">
                  <w:pPr>
                    <w:pStyle w:val="30"/>
                    <w:jc w:val="center"/>
                    <w:rPr>
                      <w:b/>
                      <w:bCs/>
                      <w:highlight w:val="none"/>
                      <w:u w:val="none" w:color="auto"/>
                    </w:rPr>
                  </w:pPr>
                  <w:r>
                    <w:rPr>
                      <w:b/>
                      <w:bCs/>
                      <w:szCs w:val="21"/>
                      <w:highlight w:val="none"/>
                      <w:u w:val="none" w:color="auto"/>
                    </w:rPr>
                    <w:t>（mg/m</w:t>
                  </w:r>
                  <w:r>
                    <w:rPr>
                      <w:b/>
                      <w:bCs/>
                      <w:szCs w:val="21"/>
                      <w:highlight w:val="none"/>
                      <w:u w:val="none" w:color="auto"/>
                      <w:vertAlign w:val="superscript"/>
                    </w:rPr>
                    <w:t>3</w:t>
                  </w:r>
                  <w:r>
                    <w:rPr>
                      <w:b/>
                      <w:bCs/>
                      <w:szCs w:val="21"/>
                      <w:highlight w:val="none"/>
                      <w:u w:val="none" w:color="auto"/>
                    </w:rPr>
                    <w:t>)</w:t>
                  </w:r>
                </w:p>
              </w:tc>
              <w:tc>
                <w:tcPr>
                  <w:tcW w:w="996" w:type="dxa"/>
                  <w:tcBorders>
                    <w:tl2br w:val="nil"/>
                    <w:tr2bl w:val="nil"/>
                  </w:tcBorders>
                  <w:vAlign w:val="center"/>
                </w:tcPr>
                <w:p w14:paraId="6021EB95">
                  <w:pPr>
                    <w:pStyle w:val="30"/>
                    <w:jc w:val="center"/>
                    <w:rPr>
                      <w:b/>
                      <w:bCs/>
                      <w:highlight w:val="none"/>
                      <w:u w:val="none" w:color="auto"/>
                    </w:rPr>
                  </w:pPr>
                  <w:r>
                    <w:rPr>
                      <w:rFonts w:hint="eastAsia"/>
                      <w:b/>
                      <w:bCs/>
                      <w:highlight w:val="none"/>
                      <w:u w:val="none" w:color="auto"/>
                    </w:rPr>
                    <w:t>单次持续时间（h）</w:t>
                  </w:r>
                </w:p>
              </w:tc>
              <w:tc>
                <w:tcPr>
                  <w:tcW w:w="996" w:type="dxa"/>
                  <w:tcBorders>
                    <w:tl2br w:val="nil"/>
                    <w:tr2bl w:val="nil"/>
                  </w:tcBorders>
                  <w:vAlign w:val="center"/>
                </w:tcPr>
                <w:p w14:paraId="10579464">
                  <w:pPr>
                    <w:pStyle w:val="30"/>
                    <w:jc w:val="center"/>
                    <w:rPr>
                      <w:b/>
                      <w:bCs/>
                      <w:highlight w:val="none"/>
                      <w:u w:val="none" w:color="auto"/>
                    </w:rPr>
                  </w:pPr>
                  <w:r>
                    <w:rPr>
                      <w:rFonts w:hint="eastAsia"/>
                      <w:b/>
                      <w:bCs/>
                      <w:highlight w:val="none"/>
                      <w:u w:val="none" w:color="auto"/>
                    </w:rPr>
                    <w:t>年发生频次/次</w:t>
                  </w:r>
                </w:p>
              </w:tc>
              <w:tc>
                <w:tcPr>
                  <w:tcW w:w="996" w:type="dxa"/>
                  <w:tcBorders>
                    <w:tl2br w:val="nil"/>
                    <w:tr2bl w:val="nil"/>
                  </w:tcBorders>
                  <w:vAlign w:val="center"/>
                </w:tcPr>
                <w:p w14:paraId="0AE46AF7">
                  <w:pPr>
                    <w:pStyle w:val="30"/>
                    <w:jc w:val="center"/>
                    <w:rPr>
                      <w:b/>
                      <w:bCs/>
                      <w:highlight w:val="none"/>
                      <w:u w:val="none" w:color="auto"/>
                    </w:rPr>
                  </w:pPr>
                  <w:r>
                    <w:rPr>
                      <w:rFonts w:hint="eastAsia"/>
                      <w:b/>
                      <w:bCs/>
                      <w:highlight w:val="none"/>
                      <w:u w:val="none" w:color="auto"/>
                    </w:rPr>
                    <w:t>应对措施</w:t>
                  </w:r>
                </w:p>
              </w:tc>
            </w:tr>
            <w:tr w14:paraId="5A3E6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restart"/>
                  <w:tcBorders>
                    <w:tl2br w:val="nil"/>
                    <w:tr2bl w:val="nil"/>
                  </w:tcBorders>
                  <w:vAlign w:val="center"/>
                </w:tcPr>
                <w:p w14:paraId="24EFC085">
                  <w:pPr>
                    <w:pStyle w:val="30"/>
                    <w:jc w:val="center"/>
                    <w:rPr>
                      <w:highlight w:val="none"/>
                      <w:u w:val="none" w:color="auto"/>
                    </w:rPr>
                  </w:pPr>
                  <w:r>
                    <w:rPr>
                      <w:rFonts w:hint="eastAsia"/>
                      <w:highlight w:val="none"/>
                      <w:u w:val="none" w:color="auto"/>
                    </w:rPr>
                    <w:t>DA001</w:t>
                  </w:r>
                </w:p>
              </w:tc>
              <w:tc>
                <w:tcPr>
                  <w:tcW w:w="877" w:type="dxa"/>
                  <w:vMerge w:val="restart"/>
                  <w:tcBorders>
                    <w:tl2br w:val="nil"/>
                    <w:tr2bl w:val="nil"/>
                  </w:tcBorders>
                  <w:vAlign w:val="center"/>
                </w:tcPr>
                <w:p w14:paraId="1CB976C6">
                  <w:pPr>
                    <w:pStyle w:val="30"/>
                    <w:jc w:val="center"/>
                    <w:rPr>
                      <w:highlight w:val="none"/>
                      <w:u w:val="none" w:color="auto"/>
                    </w:rPr>
                  </w:pPr>
                  <w:r>
                    <w:rPr>
                      <w:rFonts w:hint="eastAsia"/>
                      <w:highlight w:val="none"/>
                      <w:u w:val="none" w:color="auto"/>
                      <w:lang w:val="en-US" w:eastAsia="zh-CN"/>
                    </w:rPr>
                    <w:t>焚烧炉</w:t>
                  </w:r>
                  <w:r>
                    <w:rPr>
                      <w:rFonts w:hint="eastAsia"/>
                      <w:highlight w:val="none"/>
                      <w:u w:val="none" w:color="auto"/>
                    </w:rPr>
                    <w:t>故障</w:t>
                  </w:r>
                </w:p>
              </w:tc>
              <w:tc>
                <w:tcPr>
                  <w:tcW w:w="936" w:type="dxa"/>
                  <w:tcBorders>
                    <w:tl2br w:val="nil"/>
                    <w:tr2bl w:val="nil"/>
                  </w:tcBorders>
                  <w:vAlign w:val="center"/>
                </w:tcPr>
                <w:p w14:paraId="120E5636">
                  <w:pPr>
                    <w:pStyle w:val="30"/>
                    <w:jc w:val="center"/>
                    <w:rPr>
                      <w:highlight w:val="none"/>
                      <w:u w:val="none" w:color="auto"/>
                    </w:rPr>
                  </w:pPr>
                  <w:r>
                    <w:rPr>
                      <w:rFonts w:hint="eastAsia"/>
                      <w:highlight w:val="none"/>
                      <w:u w:val="none" w:color="auto"/>
                    </w:rPr>
                    <w:t>SO</w:t>
                  </w:r>
                  <w:r>
                    <w:rPr>
                      <w:rFonts w:hint="eastAsia"/>
                      <w:highlight w:val="none"/>
                      <w:u w:val="none" w:color="auto"/>
                      <w:vertAlign w:val="subscript"/>
                    </w:rPr>
                    <w:t>2</w:t>
                  </w:r>
                </w:p>
              </w:tc>
              <w:tc>
                <w:tcPr>
                  <w:tcW w:w="1194" w:type="dxa"/>
                  <w:tcBorders>
                    <w:tl2br w:val="nil"/>
                    <w:tr2bl w:val="nil"/>
                  </w:tcBorders>
                  <w:vAlign w:val="center"/>
                </w:tcPr>
                <w:p w14:paraId="4B0E05A5">
                  <w:pPr>
                    <w:pStyle w:val="30"/>
                    <w:jc w:val="center"/>
                    <w:rPr>
                      <w:highlight w:val="none"/>
                      <w:u w:val="none" w:color="auto"/>
                    </w:rPr>
                  </w:pPr>
                  <w:r>
                    <w:rPr>
                      <w:rFonts w:hint="eastAsia" w:ascii="Times New Roman" w:hAnsi="Times New Roman" w:eastAsia="宋体" w:cs="Times New Roman"/>
                      <w:color w:val="auto"/>
                      <w:kern w:val="0"/>
                      <w:sz w:val="21"/>
                      <w:szCs w:val="20"/>
                      <w:highlight w:val="none"/>
                      <w:u w:val="none" w:color="auto"/>
                      <w:lang w:val="en-US" w:eastAsia="zh-CN" w:bidi="ar-SA"/>
                    </w:rPr>
                    <w:t>0.03484</w:t>
                  </w:r>
                </w:p>
              </w:tc>
              <w:tc>
                <w:tcPr>
                  <w:tcW w:w="1103" w:type="dxa"/>
                  <w:tcBorders>
                    <w:tl2br w:val="nil"/>
                    <w:tr2bl w:val="nil"/>
                  </w:tcBorders>
                  <w:vAlign w:val="center"/>
                </w:tcPr>
                <w:p w14:paraId="73FB7556">
                  <w:pPr>
                    <w:pStyle w:val="30"/>
                    <w:jc w:val="center"/>
                    <w:rPr>
                      <w:highlight w:val="none"/>
                      <w:u w:val="none" w:color="auto"/>
                    </w:rPr>
                  </w:pPr>
                  <w:r>
                    <w:rPr>
                      <w:rFonts w:hint="eastAsia"/>
                      <w:highlight w:val="none"/>
                      <w:u w:val="none" w:color="auto"/>
                    </w:rPr>
                    <w:t>2.904</w:t>
                  </w:r>
                </w:p>
              </w:tc>
              <w:tc>
                <w:tcPr>
                  <w:tcW w:w="996" w:type="dxa"/>
                  <w:vMerge w:val="restart"/>
                  <w:tcBorders>
                    <w:tl2br w:val="nil"/>
                    <w:tr2bl w:val="nil"/>
                  </w:tcBorders>
                  <w:vAlign w:val="center"/>
                </w:tcPr>
                <w:p w14:paraId="10D161C0">
                  <w:pPr>
                    <w:pStyle w:val="30"/>
                    <w:jc w:val="center"/>
                    <w:rPr>
                      <w:highlight w:val="none"/>
                      <w:u w:val="none" w:color="auto"/>
                    </w:rPr>
                  </w:pPr>
                  <w:r>
                    <w:rPr>
                      <w:rFonts w:hint="eastAsia"/>
                      <w:highlight w:val="none"/>
                      <w:u w:val="none" w:color="auto"/>
                    </w:rPr>
                    <w:t>/</w:t>
                  </w:r>
                </w:p>
              </w:tc>
              <w:tc>
                <w:tcPr>
                  <w:tcW w:w="996" w:type="dxa"/>
                  <w:vMerge w:val="restart"/>
                  <w:tcBorders>
                    <w:tl2br w:val="nil"/>
                    <w:tr2bl w:val="nil"/>
                  </w:tcBorders>
                  <w:vAlign w:val="center"/>
                </w:tcPr>
                <w:p w14:paraId="4B9FBFD1">
                  <w:pPr>
                    <w:pStyle w:val="30"/>
                    <w:jc w:val="center"/>
                    <w:rPr>
                      <w:highlight w:val="none"/>
                      <w:u w:val="none" w:color="auto"/>
                    </w:rPr>
                  </w:pPr>
                  <w:r>
                    <w:rPr>
                      <w:rFonts w:hint="eastAsia"/>
                      <w:highlight w:val="none"/>
                      <w:u w:val="none" w:color="auto"/>
                    </w:rPr>
                    <w:t>1</w:t>
                  </w:r>
                </w:p>
              </w:tc>
              <w:tc>
                <w:tcPr>
                  <w:tcW w:w="996" w:type="dxa"/>
                  <w:vMerge w:val="restart"/>
                  <w:tcBorders>
                    <w:tl2br w:val="nil"/>
                    <w:tr2bl w:val="nil"/>
                  </w:tcBorders>
                  <w:vAlign w:val="center"/>
                </w:tcPr>
                <w:p w14:paraId="4A8E9030">
                  <w:pPr>
                    <w:pStyle w:val="30"/>
                    <w:jc w:val="center"/>
                    <w:rPr>
                      <w:highlight w:val="none"/>
                      <w:u w:val="none" w:color="auto"/>
                    </w:rPr>
                  </w:pPr>
                  <w:r>
                    <w:rPr>
                      <w:rFonts w:hint="eastAsia"/>
                      <w:highlight w:val="none"/>
                      <w:u w:val="none" w:color="auto"/>
                    </w:rPr>
                    <w:t>停止生产，及时维修</w:t>
                  </w:r>
                </w:p>
              </w:tc>
            </w:tr>
            <w:tr w14:paraId="12705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0" w:type="dxa"/>
                  <w:vMerge w:val="continue"/>
                  <w:tcBorders>
                    <w:tl2br w:val="nil"/>
                    <w:tr2bl w:val="nil"/>
                  </w:tcBorders>
                  <w:vAlign w:val="center"/>
                </w:tcPr>
                <w:p w14:paraId="269F34B0">
                  <w:pPr>
                    <w:pStyle w:val="30"/>
                    <w:jc w:val="center"/>
                    <w:rPr>
                      <w:highlight w:val="none"/>
                      <w:u w:val="none" w:color="auto"/>
                    </w:rPr>
                  </w:pPr>
                </w:p>
              </w:tc>
              <w:tc>
                <w:tcPr>
                  <w:tcW w:w="877" w:type="dxa"/>
                  <w:vMerge w:val="continue"/>
                  <w:tcBorders>
                    <w:tl2br w:val="nil"/>
                    <w:tr2bl w:val="nil"/>
                  </w:tcBorders>
                  <w:vAlign w:val="center"/>
                </w:tcPr>
                <w:p w14:paraId="44B51948">
                  <w:pPr>
                    <w:pStyle w:val="30"/>
                    <w:jc w:val="center"/>
                    <w:rPr>
                      <w:highlight w:val="none"/>
                      <w:u w:val="none" w:color="auto"/>
                    </w:rPr>
                  </w:pPr>
                </w:p>
              </w:tc>
              <w:tc>
                <w:tcPr>
                  <w:tcW w:w="936" w:type="dxa"/>
                  <w:tcBorders>
                    <w:tl2br w:val="nil"/>
                    <w:tr2bl w:val="nil"/>
                  </w:tcBorders>
                  <w:vAlign w:val="center"/>
                </w:tcPr>
                <w:p w14:paraId="7297B4B9">
                  <w:pPr>
                    <w:pStyle w:val="30"/>
                    <w:jc w:val="both"/>
                    <w:rPr>
                      <w:highlight w:val="none"/>
                      <w:u w:val="none" w:color="auto"/>
                    </w:rPr>
                  </w:pPr>
                  <w:r>
                    <w:rPr>
                      <w:rFonts w:hint="eastAsia"/>
                      <w:highlight w:val="none"/>
                      <w:u w:val="none" w:color="auto"/>
                    </w:rPr>
                    <w:t>颗粒物</w:t>
                  </w:r>
                </w:p>
              </w:tc>
              <w:tc>
                <w:tcPr>
                  <w:tcW w:w="1194" w:type="dxa"/>
                  <w:tcBorders>
                    <w:tl2br w:val="nil"/>
                    <w:tr2bl w:val="nil"/>
                  </w:tcBorders>
                  <w:vAlign w:val="center"/>
                </w:tcPr>
                <w:p w14:paraId="40FD07AE">
                  <w:pPr>
                    <w:pStyle w:val="30"/>
                    <w:jc w:val="center"/>
                    <w:rPr>
                      <w:highlight w:val="none"/>
                      <w:u w:val="none" w:color="auto"/>
                    </w:rPr>
                  </w:pPr>
                  <w:r>
                    <w:rPr>
                      <w:rFonts w:hint="eastAsia"/>
                      <w:highlight w:val="none"/>
                      <w:u w:val="none" w:color="auto"/>
                    </w:rPr>
                    <w:t>1.90303</w:t>
                  </w:r>
                </w:p>
              </w:tc>
              <w:tc>
                <w:tcPr>
                  <w:tcW w:w="1103" w:type="dxa"/>
                  <w:tcBorders>
                    <w:tl2br w:val="nil"/>
                    <w:tr2bl w:val="nil"/>
                  </w:tcBorders>
                  <w:vAlign w:val="center"/>
                </w:tcPr>
                <w:p w14:paraId="461C7C65">
                  <w:pPr>
                    <w:pStyle w:val="30"/>
                    <w:jc w:val="center"/>
                    <w:rPr>
                      <w:highlight w:val="none"/>
                      <w:u w:val="none" w:color="auto"/>
                    </w:rPr>
                  </w:pPr>
                  <w:r>
                    <w:rPr>
                      <w:rFonts w:hint="eastAsia"/>
                      <w:highlight w:val="none"/>
                      <w:u w:val="none" w:color="auto"/>
                    </w:rPr>
                    <w:t>23.789</w:t>
                  </w:r>
                </w:p>
              </w:tc>
              <w:tc>
                <w:tcPr>
                  <w:tcW w:w="996" w:type="dxa"/>
                  <w:vMerge w:val="continue"/>
                  <w:tcBorders>
                    <w:tl2br w:val="nil"/>
                    <w:tr2bl w:val="nil"/>
                  </w:tcBorders>
                  <w:vAlign w:val="center"/>
                </w:tcPr>
                <w:p w14:paraId="4DDD14E5">
                  <w:pPr>
                    <w:pStyle w:val="30"/>
                    <w:jc w:val="center"/>
                    <w:rPr>
                      <w:highlight w:val="none"/>
                      <w:u w:val="none" w:color="auto"/>
                    </w:rPr>
                  </w:pPr>
                </w:p>
              </w:tc>
              <w:tc>
                <w:tcPr>
                  <w:tcW w:w="996" w:type="dxa"/>
                  <w:vMerge w:val="continue"/>
                  <w:tcBorders>
                    <w:tl2br w:val="nil"/>
                    <w:tr2bl w:val="nil"/>
                  </w:tcBorders>
                  <w:vAlign w:val="center"/>
                </w:tcPr>
                <w:p w14:paraId="357765BE">
                  <w:pPr>
                    <w:pStyle w:val="30"/>
                    <w:jc w:val="center"/>
                    <w:rPr>
                      <w:highlight w:val="none"/>
                      <w:u w:val="none" w:color="auto"/>
                    </w:rPr>
                  </w:pPr>
                </w:p>
              </w:tc>
              <w:tc>
                <w:tcPr>
                  <w:tcW w:w="996" w:type="dxa"/>
                  <w:vMerge w:val="continue"/>
                  <w:tcBorders>
                    <w:tl2br w:val="nil"/>
                    <w:tr2bl w:val="nil"/>
                  </w:tcBorders>
                  <w:vAlign w:val="center"/>
                </w:tcPr>
                <w:p w14:paraId="4086E79D">
                  <w:pPr>
                    <w:pStyle w:val="30"/>
                    <w:jc w:val="center"/>
                    <w:rPr>
                      <w:highlight w:val="none"/>
                      <w:u w:val="none" w:color="auto"/>
                    </w:rPr>
                  </w:pPr>
                </w:p>
              </w:tc>
            </w:tr>
            <w:tr w14:paraId="7C997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Merge w:val="continue"/>
                  <w:tcBorders>
                    <w:tl2br w:val="nil"/>
                    <w:tr2bl w:val="nil"/>
                  </w:tcBorders>
                  <w:vAlign w:val="center"/>
                </w:tcPr>
                <w:p w14:paraId="7AE1CD9C">
                  <w:pPr>
                    <w:pStyle w:val="30"/>
                    <w:jc w:val="center"/>
                    <w:rPr>
                      <w:highlight w:val="none"/>
                      <w:u w:val="none" w:color="auto"/>
                    </w:rPr>
                  </w:pPr>
                </w:p>
              </w:tc>
              <w:tc>
                <w:tcPr>
                  <w:tcW w:w="877" w:type="dxa"/>
                  <w:vMerge w:val="continue"/>
                  <w:tcBorders>
                    <w:tl2br w:val="nil"/>
                    <w:tr2bl w:val="nil"/>
                  </w:tcBorders>
                  <w:vAlign w:val="center"/>
                </w:tcPr>
                <w:p w14:paraId="4399DA79">
                  <w:pPr>
                    <w:pStyle w:val="30"/>
                    <w:jc w:val="center"/>
                    <w:rPr>
                      <w:highlight w:val="none"/>
                      <w:u w:val="none" w:color="auto"/>
                    </w:rPr>
                  </w:pPr>
                </w:p>
              </w:tc>
              <w:tc>
                <w:tcPr>
                  <w:tcW w:w="936" w:type="dxa"/>
                  <w:tcBorders>
                    <w:tl2br w:val="nil"/>
                    <w:tr2bl w:val="nil"/>
                  </w:tcBorders>
                  <w:vAlign w:val="center"/>
                </w:tcPr>
                <w:p w14:paraId="005F3717">
                  <w:pPr>
                    <w:pStyle w:val="30"/>
                    <w:jc w:val="center"/>
                    <w:rPr>
                      <w:highlight w:val="none"/>
                      <w:u w:val="none" w:color="auto"/>
                    </w:rPr>
                  </w:pPr>
                  <w:r>
                    <w:rPr>
                      <w:rFonts w:hint="eastAsia"/>
                      <w:highlight w:val="none"/>
                      <w:u w:val="none" w:color="auto"/>
                    </w:rPr>
                    <w:t>NOx</w:t>
                  </w:r>
                </w:p>
              </w:tc>
              <w:tc>
                <w:tcPr>
                  <w:tcW w:w="1194" w:type="dxa"/>
                  <w:tcBorders>
                    <w:tl2br w:val="nil"/>
                    <w:tr2bl w:val="nil"/>
                  </w:tcBorders>
                  <w:vAlign w:val="center"/>
                </w:tcPr>
                <w:p w14:paraId="5FD12CBE">
                  <w:pPr>
                    <w:pStyle w:val="30"/>
                    <w:jc w:val="center"/>
                    <w:rPr>
                      <w:highlight w:val="none"/>
                      <w:u w:val="none" w:color="auto"/>
                    </w:rPr>
                  </w:pPr>
                  <w:r>
                    <w:rPr>
                      <w:rFonts w:hint="eastAsia"/>
                      <w:highlight w:val="none"/>
                      <w:u w:val="none" w:color="auto"/>
                    </w:rPr>
                    <w:t>0.36884</w:t>
                  </w:r>
                </w:p>
              </w:tc>
              <w:tc>
                <w:tcPr>
                  <w:tcW w:w="1103" w:type="dxa"/>
                  <w:tcBorders>
                    <w:tl2br w:val="nil"/>
                    <w:tr2bl w:val="nil"/>
                  </w:tcBorders>
                  <w:vAlign w:val="center"/>
                </w:tcPr>
                <w:p w14:paraId="76AE687D">
                  <w:pPr>
                    <w:pStyle w:val="30"/>
                    <w:jc w:val="center"/>
                    <w:rPr>
                      <w:highlight w:val="none"/>
                      <w:u w:val="none" w:color="auto"/>
                    </w:rPr>
                  </w:pPr>
                  <w:r>
                    <w:rPr>
                      <w:rFonts w:hint="eastAsia"/>
                      <w:highlight w:val="none"/>
                      <w:u w:val="none" w:color="auto"/>
                    </w:rPr>
                    <w:t>27.17</w:t>
                  </w:r>
                </w:p>
              </w:tc>
              <w:tc>
                <w:tcPr>
                  <w:tcW w:w="996" w:type="dxa"/>
                  <w:vMerge w:val="continue"/>
                  <w:tcBorders>
                    <w:tl2br w:val="nil"/>
                    <w:tr2bl w:val="nil"/>
                  </w:tcBorders>
                  <w:vAlign w:val="center"/>
                </w:tcPr>
                <w:p w14:paraId="1BEB681E">
                  <w:pPr>
                    <w:pStyle w:val="30"/>
                    <w:jc w:val="center"/>
                    <w:rPr>
                      <w:highlight w:val="none"/>
                      <w:u w:val="none" w:color="auto"/>
                    </w:rPr>
                  </w:pPr>
                </w:p>
              </w:tc>
              <w:tc>
                <w:tcPr>
                  <w:tcW w:w="996" w:type="dxa"/>
                  <w:vMerge w:val="continue"/>
                  <w:tcBorders>
                    <w:tl2br w:val="nil"/>
                    <w:tr2bl w:val="nil"/>
                  </w:tcBorders>
                  <w:vAlign w:val="center"/>
                </w:tcPr>
                <w:p w14:paraId="3105FF2C">
                  <w:pPr>
                    <w:pStyle w:val="30"/>
                    <w:jc w:val="center"/>
                    <w:rPr>
                      <w:highlight w:val="none"/>
                      <w:u w:val="none" w:color="auto"/>
                    </w:rPr>
                  </w:pPr>
                </w:p>
              </w:tc>
              <w:tc>
                <w:tcPr>
                  <w:tcW w:w="996" w:type="dxa"/>
                  <w:vMerge w:val="continue"/>
                  <w:tcBorders>
                    <w:tl2br w:val="nil"/>
                    <w:tr2bl w:val="nil"/>
                  </w:tcBorders>
                  <w:vAlign w:val="center"/>
                </w:tcPr>
                <w:p w14:paraId="4E1AFE45">
                  <w:pPr>
                    <w:pStyle w:val="30"/>
                    <w:jc w:val="center"/>
                    <w:rPr>
                      <w:highlight w:val="none"/>
                      <w:u w:val="none" w:color="auto"/>
                    </w:rPr>
                  </w:pPr>
                </w:p>
              </w:tc>
            </w:tr>
          </w:tbl>
          <w:p w14:paraId="103EAB0C">
            <w:pPr>
              <w:pStyle w:val="25"/>
              <w:bidi w:val="0"/>
              <w:rPr>
                <w:rFonts w:hint="default"/>
                <w:b/>
                <w:bCs/>
                <w:highlight w:val="none"/>
                <w:u w:val="none" w:color="auto"/>
                <w:lang w:val="en-US" w:eastAsia="zh-CN"/>
              </w:rPr>
            </w:pPr>
            <w:r>
              <w:rPr>
                <w:rFonts w:hint="eastAsia"/>
                <w:b/>
                <w:bCs/>
                <w:highlight w:val="none"/>
                <w:u w:val="none" w:color="auto"/>
                <w:lang w:val="en-US" w:eastAsia="zh-CN"/>
              </w:rPr>
              <w:t>2、</w:t>
            </w:r>
            <w:r>
              <w:rPr>
                <w:rFonts w:hint="default"/>
                <w:b/>
                <w:bCs/>
                <w:highlight w:val="none"/>
                <w:u w:val="none" w:color="auto"/>
                <w:lang w:val="en-US" w:eastAsia="zh-CN"/>
              </w:rPr>
              <w:t>排放口基本情况</w:t>
            </w:r>
          </w:p>
          <w:p w14:paraId="4AB43B36">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cs="Times New Roman"/>
                <w:b/>
                <w:bCs/>
                <w:color w:val="auto"/>
                <w:kern w:val="0"/>
                <w:sz w:val="21"/>
                <w:szCs w:val="20"/>
                <w:highlight w:val="none"/>
                <w:u w:val="none" w:color="auto"/>
                <w:lang w:val="en-US" w:eastAsia="zh-CN" w:bidi="ar-SA"/>
              </w:rPr>
              <w:t xml:space="preserve">8   </w:t>
            </w:r>
            <w:r>
              <w:rPr>
                <w:rFonts w:hint="default" w:ascii="Times New Roman" w:hAnsi="Times New Roman" w:eastAsia="宋体" w:cs="Times New Roman"/>
                <w:b/>
                <w:bCs/>
                <w:color w:val="auto"/>
                <w:kern w:val="0"/>
                <w:sz w:val="21"/>
                <w:szCs w:val="20"/>
                <w:highlight w:val="none"/>
                <w:u w:val="none" w:color="auto"/>
                <w:lang w:val="en-US" w:eastAsia="zh-CN" w:bidi="ar-SA"/>
              </w:rPr>
              <w:t>排放口基本情况</w:t>
            </w:r>
          </w:p>
          <w:tbl>
            <w:tblPr>
              <w:tblStyle w:val="4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9"/>
              <w:gridCol w:w="698"/>
              <w:gridCol w:w="1596"/>
              <w:gridCol w:w="819"/>
              <w:gridCol w:w="822"/>
              <w:gridCol w:w="612"/>
              <w:gridCol w:w="478"/>
              <w:gridCol w:w="523"/>
              <w:gridCol w:w="1725"/>
            </w:tblGrid>
            <w:tr w14:paraId="076FB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33" w:type="pct"/>
                  <w:vMerge w:val="restart"/>
                  <w:tcBorders>
                    <w:tl2br w:val="nil"/>
                    <w:tr2bl w:val="nil"/>
                  </w:tcBorders>
                  <w:vAlign w:val="center"/>
                </w:tcPr>
                <w:p w14:paraId="3D01D87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4"/>
                      <w:kern w:val="2"/>
                      <w:sz w:val="21"/>
                      <w:szCs w:val="21"/>
                      <w:highlight w:val="none"/>
                      <w:u w:val="none" w:color="auto"/>
                      <w:lang w:val="en-US" w:eastAsia="en-US" w:bidi="ar-SA"/>
                    </w:rPr>
                    <w:t>名称</w:t>
                  </w:r>
                </w:p>
              </w:tc>
              <w:tc>
                <w:tcPr>
                  <w:tcW w:w="438" w:type="pct"/>
                  <w:vMerge w:val="restart"/>
                  <w:tcBorders>
                    <w:tl2br w:val="nil"/>
                    <w:tr2bl w:val="nil"/>
                  </w:tcBorders>
                  <w:vAlign w:val="center"/>
                </w:tcPr>
                <w:p w14:paraId="104D9C1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5"/>
                      <w:kern w:val="2"/>
                      <w:sz w:val="21"/>
                      <w:szCs w:val="21"/>
                      <w:highlight w:val="none"/>
                      <w:u w:val="none" w:color="auto"/>
                      <w:lang w:val="en-US" w:eastAsia="en-US" w:bidi="ar-SA"/>
                    </w:rPr>
                    <w:t>编号</w:t>
                  </w:r>
                </w:p>
              </w:tc>
              <w:tc>
                <w:tcPr>
                  <w:tcW w:w="3044" w:type="pct"/>
                  <w:gridSpan w:val="6"/>
                  <w:tcBorders>
                    <w:tl2br w:val="nil"/>
                    <w:tr2bl w:val="nil"/>
                  </w:tcBorders>
                  <w:vAlign w:val="center"/>
                </w:tcPr>
                <w:p w14:paraId="795B995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9"/>
                      <w:kern w:val="2"/>
                      <w:sz w:val="21"/>
                      <w:szCs w:val="21"/>
                      <w:highlight w:val="none"/>
                      <w:u w:val="none" w:color="auto"/>
                      <w:lang w:val="en-US" w:eastAsia="zh-CN" w:bidi="ar-SA"/>
                    </w:rPr>
                  </w:pPr>
                  <w:r>
                    <w:rPr>
                      <w:rFonts w:hint="default" w:ascii="Times New Roman" w:hAnsi="Times New Roman" w:eastAsia="宋体" w:cs="Times New Roman"/>
                      <w:b/>
                      <w:bCs/>
                      <w:color w:val="auto"/>
                      <w:spacing w:val="9"/>
                      <w:kern w:val="2"/>
                      <w:sz w:val="21"/>
                      <w:szCs w:val="21"/>
                      <w:highlight w:val="none"/>
                      <w:u w:val="none" w:color="auto"/>
                      <w:lang w:val="en-US" w:eastAsia="zh-CN" w:bidi="ar-SA"/>
                    </w:rPr>
                    <w:t>排放口基本情况</w:t>
                  </w:r>
                </w:p>
              </w:tc>
              <w:tc>
                <w:tcPr>
                  <w:tcW w:w="1083" w:type="pct"/>
                  <w:vMerge w:val="restart"/>
                  <w:tcBorders>
                    <w:tl2br w:val="nil"/>
                    <w:tr2bl w:val="nil"/>
                  </w:tcBorders>
                  <w:vAlign w:val="center"/>
                </w:tcPr>
                <w:p w14:paraId="70946D2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8"/>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排放标准</w:t>
                  </w:r>
                </w:p>
              </w:tc>
            </w:tr>
            <w:tr w14:paraId="7FC7E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3" w:type="pct"/>
                  <w:vMerge w:val="continue"/>
                  <w:tcBorders>
                    <w:tl2br w:val="nil"/>
                    <w:tr2bl w:val="nil"/>
                  </w:tcBorders>
                  <w:vAlign w:val="center"/>
                </w:tcPr>
                <w:p w14:paraId="4F391DA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438" w:type="pct"/>
                  <w:vMerge w:val="continue"/>
                  <w:tcBorders>
                    <w:tl2br w:val="nil"/>
                    <w:tr2bl w:val="nil"/>
                  </w:tcBorders>
                  <w:vAlign w:val="center"/>
                </w:tcPr>
                <w:p w14:paraId="145A748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1002" w:type="pct"/>
                  <w:tcBorders>
                    <w:tl2br w:val="nil"/>
                    <w:tr2bl w:val="nil"/>
                  </w:tcBorders>
                  <w:vAlign w:val="center"/>
                </w:tcPr>
                <w:p w14:paraId="2EADD0C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position w:val="-1"/>
                      <w:sz w:val="21"/>
                      <w:szCs w:val="21"/>
                      <w:highlight w:val="none"/>
                      <w:u w:val="none" w:color="auto"/>
                    </w:rPr>
                  </w:pPr>
                  <w:r>
                    <w:rPr>
                      <w:rFonts w:hint="default" w:ascii="Times New Roman" w:hAnsi="Times New Roman" w:eastAsia="宋体" w:cs="Times New Roman"/>
                      <w:b/>
                      <w:bCs/>
                      <w:color w:val="auto"/>
                      <w:spacing w:val="5"/>
                      <w:sz w:val="21"/>
                      <w:szCs w:val="21"/>
                      <w:highlight w:val="none"/>
                      <w:u w:val="none" w:color="auto"/>
                    </w:rPr>
                    <w:t>坐标</w:t>
                  </w:r>
                </w:p>
              </w:tc>
              <w:tc>
                <w:tcPr>
                  <w:tcW w:w="514" w:type="pct"/>
                  <w:tcBorders>
                    <w:tl2br w:val="nil"/>
                    <w:tr2bl w:val="nil"/>
                  </w:tcBorders>
                  <w:vAlign w:val="center"/>
                </w:tcPr>
                <w:p w14:paraId="4435543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pacing w:val="5"/>
                      <w:sz w:val="21"/>
                      <w:szCs w:val="21"/>
                      <w:highlight w:val="none"/>
                      <w:u w:val="none" w:color="auto"/>
                      <w:lang w:val="en-US" w:eastAsia="zh-CN"/>
                    </w:rPr>
                  </w:pPr>
                  <w:r>
                    <w:rPr>
                      <w:rFonts w:hint="eastAsia" w:ascii="Times New Roman" w:hAnsi="Times New Roman" w:eastAsia="宋体" w:cs="Times New Roman"/>
                      <w:b/>
                      <w:bCs/>
                      <w:color w:val="auto"/>
                      <w:spacing w:val="5"/>
                      <w:sz w:val="21"/>
                      <w:szCs w:val="21"/>
                      <w:highlight w:val="none"/>
                      <w:u w:val="none" w:color="auto"/>
                      <w:lang w:val="en-US" w:eastAsia="zh-CN"/>
                    </w:rPr>
                    <w:t>污染物种类</w:t>
                  </w:r>
                </w:p>
              </w:tc>
              <w:tc>
                <w:tcPr>
                  <w:tcW w:w="516" w:type="pct"/>
                  <w:tcBorders>
                    <w:tl2br w:val="nil"/>
                    <w:tr2bl w:val="nil"/>
                  </w:tcBorders>
                  <w:vAlign w:val="center"/>
                </w:tcPr>
                <w:p w14:paraId="2DCECEE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color="auto"/>
                      <w:lang w:val="en-US" w:eastAsia="en-US" w:bidi="ar-SA"/>
                    </w:rPr>
                  </w:pPr>
                  <w:r>
                    <w:rPr>
                      <w:rFonts w:hint="eastAsia" w:ascii="Times New Roman" w:hAnsi="Times New Roman" w:eastAsia="宋体" w:cs="Times New Roman"/>
                      <w:b/>
                      <w:bCs/>
                      <w:color w:val="auto"/>
                      <w:kern w:val="2"/>
                      <w:position w:val="4"/>
                      <w:sz w:val="21"/>
                      <w:szCs w:val="21"/>
                      <w:highlight w:val="none"/>
                      <w:u w:val="none" w:color="auto"/>
                      <w:lang w:val="en-US" w:eastAsia="zh-CN" w:bidi="ar-SA"/>
                    </w:rPr>
                    <w:t>高度</w:t>
                  </w:r>
                  <w:r>
                    <w:rPr>
                      <w:rFonts w:hint="eastAsia" w:ascii="Times New Roman" w:hAnsi="Times New Roman" w:eastAsia="宋体" w:cs="Times New Roman"/>
                      <w:b/>
                      <w:bCs/>
                      <w:color w:val="auto"/>
                      <w:kern w:val="2"/>
                      <w:position w:val="-1"/>
                      <w:sz w:val="21"/>
                      <w:szCs w:val="21"/>
                      <w:highlight w:val="none"/>
                      <w:u w:val="none" w:color="auto"/>
                      <w:lang w:val="en-US" w:eastAsia="zh-CN" w:bidi="ar-SA"/>
                    </w:rPr>
                    <w:t>（m）</w:t>
                  </w:r>
                </w:p>
              </w:tc>
              <w:tc>
                <w:tcPr>
                  <w:tcW w:w="384" w:type="pct"/>
                  <w:tcBorders>
                    <w:tl2br w:val="nil"/>
                    <w:tr2bl w:val="nil"/>
                  </w:tcBorders>
                  <w:vAlign w:val="center"/>
                </w:tcPr>
                <w:p w14:paraId="6E2D667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position w:val="-1"/>
                      <w:sz w:val="21"/>
                      <w:szCs w:val="21"/>
                      <w:highlight w:val="none"/>
                      <w:u w:val="none" w:color="auto"/>
                      <w:lang w:val="en-US" w:eastAsia="zh-CN" w:bidi="ar-SA"/>
                    </w:rPr>
                    <w:t>内径（m）</w:t>
                  </w:r>
                </w:p>
              </w:tc>
              <w:tc>
                <w:tcPr>
                  <w:tcW w:w="300" w:type="pct"/>
                  <w:tcBorders>
                    <w:tl2br w:val="nil"/>
                    <w:tr2bl w:val="nil"/>
                  </w:tcBorders>
                  <w:vAlign w:val="center"/>
                </w:tcPr>
                <w:p w14:paraId="105D9DE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kern w:val="2"/>
                      <w:position w:val="4"/>
                      <w:sz w:val="21"/>
                      <w:szCs w:val="21"/>
                      <w:highlight w:val="none"/>
                      <w:u w:val="none" w:color="auto"/>
                      <w:lang w:val="en-US" w:eastAsia="en-US" w:bidi="ar-SA"/>
                    </w:rPr>
                    <w:t>温度℃</w:t>
                  </w:r>
                </w:p>
              </w:tc>
              <w:tc>
                <w:tcPr>
                  <w:tcW w:w="325" w:type="pct"/>
                  <w:tcBorders>
                    <w:tl2br w:val="nil"/>
                    <w:tr2bl w:val="nil"/>
                  </w:tcBorders>
                  <w:vAlign w:val="center"/>
                </w:tcPr>
                <w:p w14:paraId="4C9D05A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6"/>
                      <w:kern w:val="2"/>
                      <w:sz w:val="21"/>
                      <w:szCs w:val="21"/>
                      <w:highlight w:val="none"/>
                      <w:u w:val="none" w:color="auto"/>
                      <w:lang w:val="en-US" w:eastAsia="en-US" w:bidi="ar-SA"/>
                    </w:rPr>
                    <w:t>类型</w:t>
                  </w:r>
                </w:p>
              </w:tc>
              <w:tc>
                <w:tcPr>
                  <w:tcW w:w="1083" w:type="pct"/>
                  <w:vMerge w:val="continue"/>
                  <w:tcBorders>
                    <w:tl2br w:val="nil"/>
                    <w:tr2bl w:val="nil"/>
                  </w:tcBorders>
                  <w:vAlign w:val="center"/>
                </w:tcPr>
                <w:p w14:paraId="03F6A5F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r>
            <w:tr w14:paraId="76F8E8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33" w:type="pct"/>
                  <w:vMerge w:val="restart"/>
                  <w:tcBorders>
                    <w:tl2br w:val="nil"/>
                    <w:tr2bl w:val="nil"/>
                  </w:tcBorders>
                  <w:vAlign w:val="center"/>
                </w:tcPr>
                <w:p w14:paraId="4E554A9D">
                  <w:pPr>
                    <w:keepNext w:val="0"/>
                    <w:keepLines w:val="0"/>
                    <w:pageBreakBefore w:val="0"/>
                    <w:widowControl/>
                    <w:kinsoku/>
                    <w:wordWrap w:val="0"/>
                    <w:overflowPunct/>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8"/>
                      <w:kern w:val="2"/>
                      <w:sz w:val="21"/>
                      <w:szCs w:val="21"/>
                      <w:highlight w:val="none"/>
                      <w:u w:val="none" w:color="auto"/>
                      <w:lang w:val="en-US" w:eastAsia="zh-CN" w:bidi="ar-SA"/>
                    </w:rPr>
                  </w:pPr>
                  <w:r>
                    <w:rPr>
                      <w:rFonts w:hint="eastAsia" w:ascii="宋体" w:hAnsi="宋体" w:cs="宋体"/>
                      <w:b w:val="0"/>
                      <w:bCs w:val="0"/>
                      <w:color w:val="auto"/>
                      <w:spacing w:val="7"/>
                      <w:kern w:val="2"/>
                      <w:sz w:val="20"/>
                      <w:szCs w:val="20"/>
                      <w:highlight w:val="none"/>
                      <w:u w:val="none" w:color="auto"/>
                      <w:lang w:val="en-US" w:eastAsia="zh-CN" w:bidi="ar-SA"/>
                    </w:rPr>
                    <w:t>焚烧</w:t>
                  </w:r>
                  <w:r>
                    <w:rPr>
                      <w:rFonts w:hint="eastAsia" w:ascii="宋体" w:hAnsi="宋体" w:eastAsia="宋体" w:cs="宋体"/>
                      <w:b w:val="0"/>
                      <w:bCs w:val="0"/>
                      <w:color w:val="auto"/>
                      <w:spacing w:val="7"/>
                      <w:kern w:val="2"/>
                      <w:sz w:val="20"/>
                      <w:szCs w:val="20"/>
                      <w:highlight w:val="none"/>
                      <w:u w:val="none" w:color="auto"/>
                      <w:lang w:val="en-US" w:eastAsia="zh-CN" w:bidi="ar-SA"/>
                    </w:rPr>
                    <w:t>工序废气排放口</w:t>
                  </w:r>
                </w:p>
              </w:tc>
              <w:tc>
                <w:tcPr>
                  <w:tcW w:w="438" w:type="pct"/>
                  <w:vMerge w:val="restart"/>
                  <w:tcBorders>
                    <w:tl2br w:val="nil"/>
                    <w:tr2bl w:val="nil"/>
                  </w:tcBorders>
                  <w:vAlign w:val="center"/>
                </w:tcPr>
                <w:p w14:paraId="5916465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DA001</w:t>
                  </w:r>
                </w:p>
              </w:tc>
              <w:tc>
                <w:tcPr>
                  <w:tcW w:w="1002" w:type="pct"/>
                  <w:tcBorders>
                    <w:tl2br w:val="nil"/>
                    <w:tr2bl w:val="nil"/>
                  </w:tcBorders>
                  <w:vAlign w:val="center"/>
                </w:tcPr>
                <w:p w14:paraId="5BBD858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8"/>
                      <w:sz w:val="21"/>
                      <w:szCs w:val="21"/>
                      <w:highlight w:val="none"/>
                      <w:u w:val="none" w:color="auto"/>
                      <w:lang w:val="en-US" w:eastAsia="zh-CN"/>
                    </w:rPr>
                    <w:t>113.12207110</w:t>
                  </w:r>
                </w:p>
              </w:tc>
              <w:tc>
                <w:tcPr>
                  <w:tcW w:w="514" w:type="pct"/>
                  <w:vMerge w:val="restart"/>
                  <w:tcBorders>
                    <w:tl2br w:val="nil"/>
                    <w:tr2bl w:val="nil"/>
                  </w:tcBorders>
                  <w:vAlign w:val="center"/>
                </w:tcPr>
                <w:p w14:paraId="74E494B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eastAsia" w:ascii="Times New Roman" w:hAnsi="Times New Roman" w:eastAsia="宋体" w:cs="Times New Roman"/>
                      <w:color w:val="auto"/>
                      <w:spacing w:val="-8"/>
                      <w:sz w:val="21"/>
                      <w:szCs w:val="21"/>
                      <w:highlight w:val="none"/>
                      <w:u w:val="none" w:color="auto"/>
                      <w:lang w:val="en-US" w:eastAsia="zh-CN"/>
                    </w:rPr>
                    <w:t>颗粒物</w:t>
                  </w:r>
                  <w:r>
                    <w:rPr>
                      <w:rFonts w:hint="eastAsia" w:cs="Times New Roman"/>
                      <w:color w:val="auto"/>
                      <w:spacing w:val="-8"/>
                      <w:sz w:val="21"/>
                      <w:szCs w:val="21"/>
                      <w:highlight w:val="none"/>
                      <w:u w:val="none" w:color="auto"/>
                      <w:lang w:val="en-US" w:eastAsia="zh-CN"/>
                    </w:rPr>
                    <w:t>、</w:t>
                  </w:r>
                  <w:r>
                    <w:rPr>
                      <w:rFonts w:hint="eastAsia"/>
                      <w:color w:val="auto"/>
                      <w:sz w:val="21"/>
                      <w:szCs w:val="21"/>
                      <w:highlight w:val="none"/>
                      <w:u w:val="none" w:color="auto"/>
                      <w:lang w:val="en-US" w:eastAsia="zh-CN"/>
                    </w:rPr>
                    <w:t>SO</w:t>
                  </w:r>
                  <w:r>
                    <w:rPr>
                      <w:rFonts w:hint="eastAsia"/>
                      <w:color w:val="auto"/>
                      <w:sz w:val="21"/>
                      <w:szCs w:val="21"/>
                      <w:highlight w:val="none"/>
                      <w:u w:val="none" w:color="auto"/>
                      <w:vertAlign w:val="subscript"/>
                      <w:lang w:val="en-US" w:eastAsia="zh-CN"/>
                    </w:rPr>
                    <w:t>2</w:t>
                  </w:r>
                  <w:r>
                    <w:rPr>
                      <w:rFonts w:hint="eastAsia"/>
                      <w:color w:val="auto"/>
                      <w:sz w:val="21"/>
                      <w:szCs w:val="21"/>
                      <w:highlight w:val="none"/>
                      <w:u w:val="none" w:color="auto"/>
                      <w:vertAlign w:val="baseline"/>
                      <w:lang w:val="en-US" w:eastAsia="zh-CN"/>
                    </w:rPr>
                    <w:t>、</w:t>
                  </w:r>
                  <w:r>
                    <w:rPr>
                      <w:rFonts w:hint="eastAsia"/>
                      <w:b w:val="0"/>
                      <w:bCs/>
                      <w:color w:val="auto"/>
                      <w:sz w:val="21"/>
                      <w:szCs w:val="21"/>
                      <w:highlight w:val="none"/>
                      <w:u w:val="none" w:color="auto"/>
                      <w:lang w:val="en-US" w:eastAsia="zh-CN"/>
                    </w:rPr>
                    <w:t>氮氧化物</w:t>
                  </w:r>
                </w:p>
              </w:tc>
              <w:tc>
                <w:tcPr>
                  <w:tcW w:w="516" w:type="pct"/>
                  <w:vMerge w:val="restart"/>
                  <w:tcBorders>
                    <w:tl2br w:val="nil"/>
                    <w:tr2bl w:val="nil"/>
                  </w:tcBorders>
                  <w:vAlign w:val="center"/>
                </w:tcPr>
                <w:p w14:paraId="7305A4F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eastAsia" w:ascii="Times New Roman" w:hAnsi="Times New Roman" w:eastAsia="宋体" w:cs="Times New Roman"/>
                      <w:color w:val="auto"/>
                      <w:spacing w:val="-8"/>
                      <w:sz w:val="21"/>
                      <w:szCs w:val="21"/>
                      <w:highlight w:val="none"/>
                      <w:u w:val="none" w:color="auto"/>
                      <w:lang w:val="en-US" w:eastAsia="zh-CN"/>
                    </w:rPr>
                    <w:t>15</w:t>
                  </w:r>
                </w:p>
              </w:tc>
              <w:tc>
                <w:tcPr>
                  <w:tcW w:w="384" w:type="pct"/>
                  <w:vMerge w:val="restart"/>
                  <w:tcBorders>
                    <w:tl2br w:val="nil"/>
                    <w:tr2bl w:val="nil"/>
                  </w:tcBorders>
                  <w:vAlign w:val="center"/>
                </w:tcPr>
                <w:p w14:paraId="4B314AE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u w:val="none" w:color="auto"/>
                      <w:lang w:val="en-US" w:eastAsia="zh-CN"/>
                    </w:rPr>
                  </w:pPr>
                  <w:r>
                    <w:rPr>
                      <w:rFonts w:hint="eastAsia" w:ascii="Times New Roman" w:hAnsi="Times New Roman" w:eastAsia="宋体" w:cs="Times New Roman"/>
                      <w:color w:val="auto"/>
                      <w:spacing w:val="1"/>
                      <w:sz w:val="21"/>
                      <w:szCs w:val="21"/>
                      <w:highlight w:val="none"/>
                      <w:u w:val="none" w:color="auto"/>
                      <w:lang w:val="en-US" w:eastAsia="zh-CN"/>
                    </w:rPr>
                    <w:t>0.</w:t>
                  </w:r>
                  <w:r>
                    <w:rPr>
                      <w:rFonts w:hint="eastAsia" w:cs="Times New Roman"/>
                      <w:color w:val="auto"/>
                      <w:spacing w:val="1"/>
                      <w:sz w:val="21"/>
                      <w:szCs w:val="21"/>
                      <w:highlight w:val="none"/>
                      <w:u w:val="none" w:color="auto"/>
                      <w:lang w:val="en-US" w:eastAsia="zh-CN"/>
                    </w:rPr>
                    <w:t>3</w:t>
                  </w:r>
                </w:p>
              </w:tc>
              <w:tc>
                <w:tcPr>
                  <w:tcW w:w="300" w:type="pct"/>
                  <w:vMerge w:val="restart"/>
                  <w:tcBorders>
                    <w:tl2br w:val="nil"/>
                    <w:tr2bl w:val="nil"/>
                  </w:tcBorders>
                  <w:vAlign w:val="center"/>
                </w:tcPr>
                <w:p w14:paraId="24E495D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u w:val="none" w:color="auto"/>
                      <w:lang w:val="en-US" w:eastAsia="zh-CN"/>
                    </w:rPr>
                  </w:pPr>
                  <w:r>
                    <w:rPr>
                      <w:rFonts w:hint="eastAsia" w:cs="Times New Roman"/>
                      <w:color w:val="auto"/>
                      <w:spacing w:val="2"/>
                      <w:sz w:val="21"/>
                      <w:szCs w:val="21"/>
                      <w:highlight w:val="none"/>
                      <w:u w:val="none" w:color="auto"/>
                      <w:lang w:val="en-US" w:eastAsia="zh-CN"/>
                    </w:rPr>
                    <w:t>常温</w:t>
                  </w:r>
                </w:p>
              </w:tc>
              <w:tc>
                <w:tcPr>
                  <w:tcW w:w="325" w:type="pct"/>
                  <w:vMerge w:val="restart"/>
                  <w:tcBorders>
                    <w:tl2br w:val="nil"/>
                    <w:tr2bl w:val="nil"/>
                  </w:tcBorders>
                  <w:vAlign w:val="center"/>
                </w:tcPr>
                <w:p w14:paraId="5FCCA06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color="auto"/>
                      <w:lang w:val="en-US" w:eastAsia="en-US" w:bidi="ar-SA"/>
                    </w:rPr>
                  </w:pPr>
                  <w:r>
                    <w:rPr>
                      <w:rFonts w:hint="default" w:ascii="Times New Roman" w:hAnsi="Times New Roman" w:eastAsia="宋体" w:cs="Times New Roman"/>
                      <w:color w:val="auto"/>
                      <w:spacing w:val="3"/>
                      <w:kern w:val="2"/>
                      <w:sz w:val="21"/>
                      <w:szCs w:val="21"/>
                      <w:highlight w:val="none"/>
                      <w:u w:val="none" w:color="auto"/>
                      <w:lang w:val="en-US" w:eastAsia="en-US" w:bidi="ar-SA"/>
                    </w:rPr>
                    <w:t>一般</w:t>
                  </w:r>
                </w:p>
                <w:p w14:paraId="1243981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color="auto"/>
                      <w:lang w:val="en-US" w:eastAsia="en-US" w:bidi="ar-SA"/>
                    </w:rPr>
                  </w:pPr>
                  <w:r>
                    <w:rPr>
                      <w:rFonts w:hint="default" w:ascii="Times New Roman" w:hAnsi="Times New Roman" w:eastAsia="宋体" w:cs="Times New Roman"/>
                      <w:color w:val="auto"/>
                      <w:spacing w:val="4"/>
                      <w:kern w:val="2"/>
                      <w:sz w:val="21"/>
                      <w:szCs w:val="21"/>
                      <w:highlight w:val="none"/>
                      <w:u w:val="none" w:color="auto"/>
                      <w:lang w:val="en-US" w:eastAsia="en-US" w:bidi="ar-SA"/>
                    </w:rPr>
                    <w:t>排放</w:t>
                  </w:r>
                </w:p>
                <w:p w14:paraId="0E1EC0B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color="auto"/>
                      <w:lang w:val="en-US" w:eastAsia="en-US" w:bidi="ar-SA"/>
                    </w:rPr>
                  </w:pPr>
                  <w:r>
                    <w:rPr>
                      <w:rFonts w:hint="default" w:ascii="Times New Roman" w:hAnsi="Times New Roman" w:eastAsia="宋体" w:cs="Times New Roman"/>
                      <w:color w:val="auto"/>
                      <w:kern w:val="2"/>
                      <w:position w:val="1"/>
                      <w:sz w:val="21"/>
                      <w:szCs w:val="21"/>
                      <w:highlight w:val="none"/>
                      <w:u w:val="none" w:color="auto"/>
                      <w:lang w:val="en-US" w:eastAsia="en-US" w:bidi="ar-SA"/>
                    </w:rPr>
                    <w:t>口</w:t>
                  </w:r>
                </w:p>
              </w:tc>
              <w:tc>
                <w:tcPr>
                  <w:tcW w:w="1083" w:type="pct"/>
                  <w:vMerge w:val="restart"/>
                  <w:tcBorders>
                    <w:tl2br w:val="nil"/>
                    <w:tr2bl w:val="nil"/>
                  </w:tcBorders>
                  <w:vAlign w:val="center"/>
                </w:tcPr>
                <w:p w14:paraId="693E77B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kern w:val="2"/>
                      <w:sz w:val="21"/>
                      <w:szCs w:val="21"/>
                      <w:highlight w:val="none"/>
                      <w:u w:val="none" w:color="auto"/>
                      <w:lang w:val="en-US" w:eastAsia="en-US" w:bidi="ar-SA"/>
                    </w:rPr>
                  </w:pPr>
                  <w:r>
                    <w:rPr>
                      <w:rFonts w:hint="eastAsia"/>
                      <w:highlight w:val="none"/>
                      <w:u w:val="none" w:color="auto"/>
                      <w:lang w:val="en-US" w:eastAsia="zh-CN"/>
                    </w:rPr>
                    <w:t>《湖南省工业炉窑大气污染综合治理实施方案》附件</w:t>
                  </w:r>
                  <w:r>
                    <w:rPr>
                      <w:rFonts w:hint="default"/>
                      <w:highlight w:val="none"/>
                      <w:u w:val="none" w:color="auto"/>
                      <w:lang w:val="en-US" w:eastAsia="zh-CN"/>
                    </w:rPr>
                    <w:t>1</w:t>
                  </w:r>
                  <w:r>
                    <w:rPr>
                      <w:rFonts w:hint="eastAsia"/>
                      <w:highlight w:val="none"/>
                      <w:u w:val="none" w:color="auto"/>
                      <w:lang w:val="en-US" w:eastAsia="zh-CN"/>
                    </w:rPr>
                    <w:t>中相关排放限值</w:t>
                  </w:r>
                </w:p>
              </w:tc>
            </w:tr>
            <w:tr w14:paraId="6FF450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3" w:type="pct"/>
                  <w:vMerge w:val="continue"/>
                  <w:tcBorders>
                    <w:tl2br w:val="nil"/>
                    <w:tr2bl w:val="nil"/>
                  </w:tcBorders>
                  <w:vAlign w:val="center"/>
                </w:tcPr>
                <w:p w14:paraId="6A06599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highlight w:val="none"/>
                      <w:u w:val="none" w:color="auto"/>
                    </w:rPr>
                  </w:pPr>
                </w:p>
              </w:tc>
              <w:tc>
                <w:tcPr>
                  <w:tcW w:w="438" w:type="pct"/>
                  <w:vMerge w:val="continue"/>
                  <w:tcBorders>
                    <w:tl2br w:val="nil"/>
                    <w:tr2bl w:val="nil"/>
                  </w:tcBorders>
                  <w:vAlign w:val="center"/>
                </w:tcPr>
                <w:p w14:paraId="57DC10B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highlight w:val="none"/>
                      <w:u w:val="none" w:color="auto"/>
                    </w:rPr>
                  </w:pPr>
                </w:p>
              </w:tc>
              <w:tc>
                <w:tcPr>
                  <w:tcW w:w="1002" w:type="pct"/>
                  <w:tcBorders>
                    <w:tl2br w:val="nil"/>
                    <w:tr2bl w:val="nil"/>
                  </w:tcBorders>
                  <w:vAlign w:val="center"/>
                </w:tcPr>
                <w:p w14:paraId="24260F2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8"/>
                      <w:sz w:val="21"/>
                      <w:szCs w:val="21"/>
                      <w:highlight w:val="none"/>
                      <w:u w:val="none" w:color="auto"/>
                      <w:lang w:val="en-US" w:eastAsia="zh-CN"/>
                    </w:rPr>
                    <w:t>29.073234570</w:t>
                  </w:r>
                </w:p>
              </w:tc>
              <w:tc>
                <w:tcPr>
                  <w:tcW w:w="514" w:type="pct"/>
                  <w:vMerge w:val="continue"/>
                  <w:tcBorders>
                    <w:tl2br w:val="nil"/>
                    <w:tr2bl w:val="nil"/>
                  </w:tcBorders>
                  <w:vAlign w:val="center"/>
                </w:tcPr>
                <w:p w14:paraId="225B719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c>
                <w:tcPr>
                  <w:tcW w:w="516" w:type="pct"/>
                  <w:vMerge w:val="continue"/>
                  <w:tcBorders>
                    <w:tl2br w:val="nil"/>
                    <w:tr2bl w:val="nil"/>
                  </w:tcBorders>
                  <w:vAlign w:val="center"/>
                </w:tcPr>
                <w:p w14:paraId="62A0BB8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c>
                <w:tcPr>
                  <w:tcW w:w="384" w:type="pct"/>
                  <w:vMerge w:val="continue"/>
                  <w:tcBorders>
                    <w:tl2br w:val="nil"/>
                    <w:tr2bl w:val="nil"/>
                  </w:tcBorders>
                  <w:vAlign w:val="center"/>
                </w:tcPr>
                <w:p w14:paraId="3D6BD0D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c>
                <w:tcPr>
                  <w:tcW w:w="300" w:type="pct"/>
                  <w:vMerge w:val="continue"/>
                  <w:tcBorders>
                    <w:tl2br w:val="nil"/>
                    <w:tr2bl w:val="nil"/>
                  </w:tcBorders>
                  <w:vAlign w:val="center"/>
                </w:tcPr>
                <w:p w14:paraId="43BBF31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c>
                <w:tcPr>
                  <w:tcW w:w="325" w:type="pct"/>
                  <w:vMerge w:val="continue"/>
                  <w:tcBorders>
                    <w:tl2br w:val="nil"/>
                    <w:tr2bl w:val="nil"/>
                  </w:tcBorders>
                  <w:vAlign w:val="center"/>
                </w:tcPr>
                <w:p w14:paraId="3E446D8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c>
                <w:tcPr>
                  <w:tcW w:w="1083" w:type="pct"/>
                  <w:vMerge w:val="continue"/>
                  <w:tcBorders>
                    <w:tl2br w:val="nil"/>
                    <w:tr2bl w:val="nil"/>
                  </w:tcBorders>
                  <w:vAlign w:val="center"/>
                </w:tcPr>
                <w:p w14:paraId="249BF90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color="auto"/>
                      <w:lang w:val="en-US" w:eastAsia="zh-CN"/>
                    </w:rPr>
                  </w:pPr>
                </w:p>
              </w:tc>
            </w:tr>
          </w:tbl>
          <w:p w14:paraId="482473D0">
            <w:pPr>
              <w:keepNext w:val="0"/>
              <w:keepLines w:val="0"/>
              <w:pageBreakBefore w:val="0"/>
              <w:widowControl/>
              <w:tabs>
                <w:tab w:val="left" w:pos="1021"/>
              </w:tabs>
              <w:kinsoku/>
              <w:wordWrap w:val="0"/>
              <w:overflowPunct/>
              <w:topLinePunct/>
              <w:autoSpaceDE/>
              <w:autoSpaceDN/>
              <w:bidi w:val="0"/>
              <w:adjustRightInd/>
              <w:snapToGrid/>
              <w:spacing w:line="360" w:lineRule="auto"/>
              <w:ind w:firstLine="482" w:firstLineChars="200"/>
              <w:jc w:val="both"/>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t>3、大气污染物排放量核算</w:t>
            </w:r>
          </w:p>
          <w:p w14:paraId="0615D29D">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cs="Times New Roman"/>
                <w:b/>
                <w:bCs/>
                <w:color w:val="auto"/>
                <w:kern w:val="0"/>
                <w:sz w:val="21"/>
                <w:szCs w:val="20"/>
                <w:highlight w:val="none"/>
                <w:u w:val="none" w:color="auto"/>
                <w:lang w:val="en-US" w:eastAsia="zh-CN" w:bidi="ar-SA"/>
              </w:rPr>
              <w:t xml:space="preserve">9   </w:t>
            </w:r>
            <w:r>
              <w:rPr>
                <w:rFonts w:hint="default" w:ascii="Times New Roman" w:hAnsi="Times New Roman" w:eastAsia="宋体" w:cs="Times New Roman"/>
                <w:b/>
                <w:bCs/>
                <w:color w:val="auto"/>
                <w:kern w:val="0"/>
                <w:sz w:val="21"/>
                <w:szCs w:val="20"/>
                <w:highlight w:val="none"/>
                <w:u w:val="none" w:color="auto"/>
                <w:lang w:val="en-US" w:eastAsia="zh-CN" w:bidi="ar-SA"/>
              </w:rPr>
              <w:t>大气污染物有组织排放量核算表</w:t>
            </w:r>
          </w:p>
          <w:tbl>
            <w:tblPr>
              <w:tblStyle w:val="4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80"/>
              <w:gridCol w:w="1536"/>
              <w:gridCol w:w="1462"/>
              <w:gridCol w:w="1509"/>
              <w:gridCol w:w="1486"/>
              <w:gridCol w:w="1392"/>
            </w:tblGrid>
            <w:tr w14:paraId="58467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364" w:type="pct"/>
                  <w:tcBorders>
                    <w:tl2br w:val="nil"/>
                    <w:tr2bl w:val="nil"/>
                  </w:tcBorders>
                  <w:vAlign w:val="center"/>
                </w:tcPr>
                <w:p w14:paraId="05426F5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序号</w:t>
                  </w:r>
                </w:p>
              </w:tc>
              <w:tc>
                <w:tcPr>
                  <w:tcW w:w="964" w:type="pct"/>
                  <w:tcBorders>
                    <w:tl2br w:val="nil"/>
                    <w:tr2bl w:val="nil"/>
                  </w:tcBorders>
                  <w:vAlign w:val="center"/>
                </w:tcPr>
                <w:p w14:paraId="1D9B3198">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排气筒编号</w:t>
                  </w:r>
                </w:p>
              </w:tc>
              <w:tc>
                <w:tcPr>
                  <w:tcW w:w="918" w:type="pct"/>
                  <w:tcBorders>
                    <w:tl2br w:val="nil"/>
                    <w:tr2bl w:val="nil"/>
                  </w:tcBorders>
                  <w:vAlign w:val="center"/>
                </w:tcPr>
                <w:p w14:paraId="38C542F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污染物</w:t>
                  </w:r>
                </w:p>
              </w:tc>
              <w:tc>
                <w:tcPr>
                  <w:tcW w:w="947" w:type="pct"/>
                  <w:tcBorders>
                    <w:tl2br w:val="nil"/>
                    <w:tr2bl w:val="nil"/>
                  </w:tcBorders>
                  <w:vAlign w:val="center"/>
                </w:tcPr>
                <w:p w14:paraId="689B5BCC">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核算年排放量</w:t>
                  </w:r>
                </w:p>
                <w:p w14:paraId="3A12A8D8">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（t/a）</w:t>
                  </w:r>
                </w:p>
              </w:tc>
              <w:tc>
                <w:tcPr>
                  <w:tcW w:w="933" w:type="pct"/>
                  <w:tcBorders>
                    <w:tl2br w:val="nil"/>
                    <w:tr2bl w:val="nil"/>
                  </w:tcBorders>
                  <w:vAlign w:val="center"/>
                </w:tcPr>
                <w:p w14:paraId="20C3FB2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核算排放速率（kg/h）</w:t>
                  </w:r>
                </w:p>
              </w:tc>
              <w:tc>
                <w:tcPr>
                  <w:tcW w:w="872" w:type="pct"/>
                  <w:tcBorders>
                    <w:tl2br w:val="nil"/>
                    <w:tr2bl w:val="nil"/>
                  </w:tcBorders>
                  <w:vAlign w:val="center"/>
                </w:tcPr>
                <w:p w14:paraId="17479A8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核算排放浓度</w:t>
                  </w:r>
                </w:p>
                <w:p w14:paraId="03F94A2F">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（mg/m</w:t>
                  </w:r>
                  <w:r>
                    <w:rPr>
                      <w:rFonts w:hint="default" w:ascii="Times New Roman" w:hAnsi="Times New Roman" w:eastAsia="宋体" w:cs="Times New Roman"/>
                      <w:b/>
                      <w:bCs/>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b/>
                      <w:bCs/>
                      <w:color w:val="auto"/>
                      <w:kern w:val="0"/>
                      <w:sz w:val="21"/>
                      <w:szCs w:val="20"/>
                      <w:highlight w:val="none"/>
                      <w:u w:val="none" w:color="auto"/>
                      <w:lang w:val="en-US" w:eastAsia="zh-CN" w:bidi="ar-SA"/>
                    </w:rPr>
                    <w:t>）</w:t>
                  </w:r>
                </w:p>
              </w:tc>
            </w:tr>
            <w:tr w14:paraId="23EEF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6"/>
                  <w:tcBorders>
                    <w:tl2br w:val="nil"/>
                    <w:tr2bl w:val="nil"/>
                  </w:tcBorders>
                  <w:vAlign w:val="center"/>
                </w:tcPr>
                <w:p w14:paraId="55BF0297">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一般排放口</w:t>
                  </w:r>
                </w:p>
              </w:tc>
            </w:tr>
            <w:tr w14:paraId="6F912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4" w:type="pct"/>
                  <w:vMerge w:val="restart"/>
                  <w:tcBorders>
                    <w:tl2br w:val="nil"/>
                    <w:tr2bl w:val="nil"/>
                  </w:tcBorders>
                  <w:vAlign w:val="center"/>
                </w:tcPr>
                <w:p w14:paraId="1F500B04">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w:t>
                  </w:r>
                </w:p>
              </w:tc>
              <w:tc>
                <w:tcPr>
                  <w:tcW w:w="964" w:type="pct"/>
                  <w:vMerge w:val="restart"/>
                  <w:tcBorders>
                    <w:tl2br w:val="nil"/>
                    <w:tr2bl w:val="nil"/>
                  </w:tcBorders>
                  <w:vAlign w:val="center"/>
                </w:tcPr>
                <w:p w14:paraId="63C608A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DA00</w:t>
                  </w:r>
                  <w:r>
                    <w:rPr>
                      <w:rFonts w:hint="eastAsia" w:ascii="Times New Roman" w:hAnsi="Times New Roman" w:eastAsia="宋体" w:cs="Times New Roman"/>
                      <w:color w:val="auto"/>
                      <w:kern w:val="0"/>
                      <w:sz w:val="21"/>
                      <w:szCs w:val="20"/>
                      <w:highlight w:val="none"/>
                      <w:u w:val="none" w:color="auto"/>
                      <w:lang w:val="en-US" w:eastAsia="zh-CN" w:bidi="ar-SA"/>
                    </w:rPr>
                    <w:t>1</w:t>
                  </w:r>
                </w:p>
              </w:tc>
              <w:tc>
                <w:tcPr>
                  <w:tcW w:w="918" w:type="pct"/>
                  <w:tcBorders>
                    <w:tl2br w:val="nil"/>
                    <w:tr2bl w:val="nil"/>
                  </w:tcBorders>
                  <w:vAlign w:val="center"/>
                </w:tcPr>
                <w:p w14:paraId="64B00871">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SO</w:t>
                  </w:r>
                  <w:r>
                    <w:rPr>
                      <w:rFonts w:hint="eastAsia" w:cs="Times New Roman"/>
                      <w:color w:val="auto"/>
                      <w:kern w:val="0"/>
                      <w:sz w:val="21"/>
                      <w:szCs w:val="20"/>
                      <w:highlight w:val="none"/>
                      <w:u w:val="none" w:color="auto"/>
                      <w:vertAlign w:val="subscript"/>
                      <w:lang w:val="en-US" w:eastAsia="zh-CN" w:bidi="ar-SA"/>
                    </w:rPr>
                    <w:t>2</w:t>
                  </w:r>
                </w:p>
              </w:tc>
              <w:tc>
                <w:tcPr>
                  <w:tcW w:w="947" w:type="pct"/>
                  <w:tcBorders>
                    <w:tl2br w:val="nil"/>
                    <w:tr2bl w:val="nil"/>
                  </w:tcBorders>
                  <w:vAlign w:val="center"/>
                </w:tcPr>
                <w:p w14:paraId="187329E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0.03484</w:t>
                  </w:r>
                </w:p>
              </w:tc>
              <w:tc>
                <w:tcPr>
                  <w:tcW w:w="933" w:type="pct"/>
                  <w:tcBorders>
                    <w:tl2br w:val="nil"/>
                    <w:tr2bl w:val="nil"/>
                  </w:tcBorders>
                  <w:vAlign w:val="center"/>
                </w:tcPr>
                <w:p w14:paraId="6D83E06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0.0145</w:t>
                  </w:r>
                </w:p>
              </w:tc>
              <w:tc>
                <w:tcPr>
                  <w:tcW w:w="872" w:type="pct"/>
                  <w:tcBorders>
                    <w:tl2br w:val="nil"/>
                    <w:tr2bl w:val="nil"/>
                  </w:tcBorders>
                  <w:vAlign w:val="center"/>
                </w:tcPr>
                <w:p w14:paraId="1FDBA3CC">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2.90</w:t>
                  </w:r>
                  <w:r>
                    <w:rPr>
                      <w:rFonts w:hint="eastAsia" w:cs="Times New Roman"/>
                      <w:color w:val="auto"/>
                      <w:kern w:val="0"/>
                      <w:sz w:val="21"/>
                      <w:szCs w:val="20"/>
                      <w:highlight w:val="none"/>
                      <w:u w:val="none" w:color="auto"/>
                      <w:lang w:val="en-US" w:eastAsia="zh-CN" w:bidi="ar-SA"/>
                    </w:rPr>
                    <w:t>4</w:t>
                  </w:r>
                </w:p>
              </w:tc>
            </w:tr>
            <w:tr w14:paraId="75095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4" w:type="pct"/>
                  <w:vMerge w:val="continue"/>
                  <w:tcBorders>
                    <w:tl2br w:val="nil"/>
                    <w:tr2bl w:val="nil"/>
                  </w:tcBorders>
                  <w:vAlign w:val="center"/>
                </w:tcPr>
                <w:p w14:paraId="09F9F06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p>
              </w:tc>
              <w:tc>
                <w:tcPr>
                  <w:tcW w:w="964" w:type="pct"/>
                  <w:vMerge w:val="continue"/>
                  <w:tcBorders>
                    <w:tl2br w:val="nil"/>
                    <w:tr2bl w:val="nil"/>
                  </w:tcBorders>
                  <w:vAlign w:val="center"/>
                </w:tcPr>
                <w:p w14:paraId="61C76E83">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918" w:type="pct"/>
                  <w:tcBorders>
                    <w:tl2br w:val="nil"/>
                    <w:tr2bl w:val="nil"/>
                  </w:tcBorders>
                  <w:vAlign w:val="center"/>
                </w:tcPr>
                <w:p w14:paraId="4BAC1D5F">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颗粒物</w:t>
                  </w:r>
                </w:p>
              </w:tc>
              <w:tc>
                <w:tcPr>
                  <w:tcW w:w="947" w:type="pct"/>
                  <w:tcBorders>
                    <w:tl2br w:val="nil"/>
                    <w:tr2bl w:val="nil"/>
                  </w:tcBorders>
                  <w:vAlign w:val="center"/>
                </w:tcPr>
                <w:p w14:paraId="2FC30B48">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0.28545</w:t>
                  </w:r>
                </w:p>
              </w:tc>
              <w:tc>
                <w:tcPr>
                  <w:tcW w:w="933" w:type="pct"/>
                  <w:tcBorders>
                    <w:tl2br w:val="nil"/>
                    <w:tr2bl w:val="nil"/>
                  </w:tcBorders>
                  <w:vAlign w:val="center"/>
                </w:tcPr>
                <w:p w14:paraId="6373917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0.1189</w:t>
                  </w:r>
                </w:p>
              </w:tc>
              <w:tc>
                <w:tcPr>
                  <w:tcW w:w="872" w:type="pct"/>
                  <w:tcBorders>
                    <w:tl2br w:val="nil"/>
                    <w:tr2bl w:val="nil"/>
                  </w:tcBorders>
                  <w:vAlign w:val="center"/>
                </w:tcPr>
                <w:p w14:paraId="0351839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23.7</w:t>
                  </w:r>
                  <w:r>
                    <w:rPr>
                      <w:rFonts w:hint="eastAsia" w:cs="Times New Roman"/>
                      <w:color w:val="auto"/>
                      <w:kern w:val="0"/>
                      <w:sz w:val="21"/>
                      <w:szCs w:val="20"/>
                      <w:highlight w:val="none"/>
                      <w:u w:val="none" w:color="auto"/>
                      <w:lang w:val="en-US" w:eastAsia="zh-CN" w:bidi="ar-SA"/>
                    </w:rPr>
                    <w:t>8</w:t>
                  </w:r>
                  <w:r>
                    <w:rPr>
                      <w:rFonts w:hint="eastAsia" w:ascii="Times New Roman" w:hAnsi="Times New Roman" w:eastAsia="宋体" w:cs="Times New Roman"/>
                      <w:color w:val="auto"/>
                      <w:kern w:val="0"/>
                      <w:sz w:val="21"/>
                      <w:szCs w:val="20"/>
                      <w:highlight w:val="none"/>
                      <w:u w:val="none" w:color="auto"/>
                      <w:lang w:val="en-US" w:eastAsia="zh-CN" w:bidi="ar-SA"/>
                    </w:rPr>
                    <w:t>9</w:t>
                  </w:r>
                </w:p>
              </w:tc>
            </w:tr>
            <w:tr w14:paraId="18B02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4" w:type="pct"/>
                  <w:vMerge w:val="continue"/>
                  <w:tcBorders>
                    <w:tl2br w:val="nil"/>
                    <w:tr2bl w:val="nil"/>
                  </w:tcBorders>
                  <w:vAlign w:val="center"/>
                </w:tcPr>
                <w:p w14:paraId="348C1560">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p>
              </w:tc>
              <w:tc>
                <w:tcPr>
                  <w:tcW w:w="964" w:type="pct"/>
                  <w:vMerge w:val="continue"/>
                  <w:tcBorders>
                    <w:tl2br w:val="nil"/>
                    <w:tr2bl w:val="nil"/>
                  </w:tcBorders>
                  <w:vAlign w:val="center"/>
                </w:tcPr>
                <w:p w14:paraId="174403F3">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918" w:type="pct"/>
                  <w:tcBorders>
                    <w:tl2br w:val="nil"/>
                    <w:tr2bl w:val="nil"/>
                  </w:tcBorders>
                  <w:vAlign w:val="center"/>
                </w:tcPr>
                <w:p w14:paraId="226C2BC9">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cs="Times New Roman"/>
                      <w:color w:val="auto"/>
                      <w:kern w:val="0"/>
                      <w:sz w:val="21"/>
                      <w:szCs w:val="20"/>
                      <w:highlight w:val="none"/>
                      <w:u w:val="none" w:color="auto"/>
                      <w:lang w:val="en-US" w:eastAsia="zh-CN" w:bidi="ar-SA"/>
                    </w:rPr>
                    <w:t>氮氧化物</w:t>
                  </w:r>
                </w:p>
              </w:tc>
              <w:tc>
                <w:tcPr>
                  <w:tcW w:w="947" w:type="pct"/>
                  <w:tcBorders>
                    <w:tl2br w:val="nil"/>
                    <w:tr2bl w:val="nil"/>
                  </w:tcBorders>
                  <w:vAlign w:val="center"/>
                </w:tcPr>
                <w:p w14:paraId="6ABF487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0.32594</w:t>
                  </w:r>
                </w:p>
              </w:tc>
              <w:tc>
                <w:tcPr>
                  <w:tcW w:w="933" w:type="pct"/>
                  <w:tcBorders>
                    <w:tl2br w:val="nil"/>
                    <w:tr2bl w:val="nil"/>
                  </w:tcBorders>
                  <w:vAlign w:val="center"/>
                </w:tcPr>
                <w:p w14:paraId="115EBAC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0.1358</w:t>
                  </w:r>
                </w:p>
              </w:tc>
              <w:tc>
                <w:tcPr>
                  <w:tcW w:w="872" w:type="pct"/>
                  <w:tcBorders>
                    <w:tl2br w:val="nil"/>
                    <w:tr2bl w:val="nil"/>
                  </w:tcBorders>
                  <w:vAlign w:val="center"/>
                </w:tcPr>
                <w:p w14:paraId="56764847">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27.1</w:t>
                  </w:r>
                  <w:r>
                    <w:rPr>
                      <w:rFonts w:hint="eastAsia" w:cs="Times New Roman"/>
                      <w:color w:val="auto"/>
                      <w:kern w:val="0"/>
                      <w:sz w:val="21"/>
                      <w:szCs w:val="20"/>
                      <w:highlight w:val="none"/>
                      <w:u w:val="none" w:color="auto"/>
                      <w:lang w:val="en-US" w:eastAsia="zh-CN" w:bidi="ar-SA"/>
                    </w:rPr>
                    <w:t>7</w:t>
                  </w:r>
                </w:p>
              </w:tc>
            </w:tr>
          </w:tbl>
          <w:p w14:paraId="05717857">
            <w:pPr>
              <w:pStyle w:val="30"/>
              <w:bidi w:val="0"/>
              <w:jc w:val="center"/>
              <w:rPr>
                <w:rFonts w:hint="default"/>
                <w:b/>
                <w:bCs/>
                <w:highlight w:val="none"/>
                <w:u w:val="none" w:color="auto"/>
                <w:lang w:val="en-US" w:eastAsia="zh-CN"/>
              </w:rPr>
            </w:pPr>
            <w:r>
              <w:rPr>
                <w:rFonts w:hint="eastAsia"/>
                <w:b/>
                <w:bCs/>
                <w:highlight w:val="none"/>
                <w:u w:val="none" w:color="auto"/>
                <w:lang w:val="en-US" w:eastAsia="zh-CN"/>
              </w:rPr>
              <w:t xml:space="preserve">表4-10   </w:t>
            </w:r>
            <w:r>
              <w:rPr>
                <w:rFonts w:hint="default"/>
                <w:b/>
                <w:bCs/>
                <w:highlight w:val="none"/>
                <w:u w:val="none" w:color="auto"/>
                <w:lang w:val="en-US" w:eastAsia="zh-CN"/>
              </w:rPr>
              <w:t>大气污染物</w:t>
            </w:r>
            <w:r>
              <w:rPr>
                <w:rFonts w:hint="eastAsia"/>
                <w:b/>
                <w:bCs/>
                <w:highlight w:val="none"/>
                <w:u w:val="none" w:color="auto"/>
                <w:lang w:val="en-US" w:eastAsia="zh-CN"/>
              </w:rPr>
              <w:t>无</w:t>
            </w:r>
            <w:r>
              <w:rPr>
                <w:rFonts w:hint="default"/>
                <w:b/>
                <w:bCs/>
                <w:highlight w:val="none"/>
                <w:u w:val="none" w:color="auto"/>
                <w:lang w:val="en-US" w:eastAsia="zh-CN"/>
              </w:rPr>
              <w:t>组织排放量核算表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83"/>
              <w:gridCol w:w="480"/>
              <w:gridCol w:w="660"/>
              <w:gridCol w:w="1312"/>
              <w:gridCol w:w="1430"/>
              <w:gridCol w:w="1758"/>
              <w:gridCol w:w="990"/>
              <w:gridCol w:w="1052"/>
            </w:tblGrid>
            <w:tr w14:paraId="71A9B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78" w:type="pct"/>
                  <w:vMerge w:val="restart"/>
                  <w:tcBorders>
                    <w:tl2br w:val="nil"/>
                    <w:tr2bl w:val="nil"/>
                  </w:tcBorders>
                  <w:vAlign w:val="center"/>
                </w:tcPr>
                <w:p w14:paraId="220822D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序号</w:t>
                  </w:r>
                </w:p>
              </w:tc>
              <w:tc>
                <w:tcPr>
                  <w:tcW w:w="301" w:type="pct"/>
                  <w:vMerge w:val="restart"/>
                  <w:tcBorders>
                    <w:tl2br w:val="nil"/>
                    <w:tr2bl w:val="nil"/>
                  </w:tcBorders>
                  <w:vAlign w:val="center"/>
                </w:tcPr>
                <w:p w14:paraId="417AF26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产污环节</w:t>
                  </w:r>
                </w:p>
              </w:tc>
              <w:tc>
                <w:tcPr>
                  <w:tcW w:w="414" w:type="pct"/>
                  <w:vMerge w:val="restart"/>
                  <w:tcBorders>
                    <w:tl2br w:val="nil"/>
                    <w:tr2bl w:val="nil"/>
                  </w:tcBorders>
                  <w:vAlign w:val="center"/>
                </w:tcPr>
                <w:p w14:paraId="1C19DCF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污染物</w:t>
                  </w:r>
                </w:p>
              </w:tc>
              <w:tc>
                <w:tcPr>
                  <w:tcW w:w="823" w:type="pct"/>
                  <w:vMerge w:val="restart"/>
                  <w:tcBorders>
                    <w:tl2br w:val="nil"/>
                    <w:tr2bl w:val="nil"/>
                  </w:tcBorders>
                  <w:vAlign w:val="center"/>
                </w:tcPr>
                <w:p w14:paraId="04CD89F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主要污染防治措施</w:t>
                  </w:r>
                </w:p>
              </w:tc>
              <w:tc>
                <w:tcPr>
                  <w:tcW w:w="2621" w:type="pct"/>
                  <w:gridSpan w:val="3"/>
                  <w:tcBorders>
                    <w:tl2br w:val="nil"/>
                    <w:tr2bl w:val="nil"/>
                  </w:tcBorders>
                  <w:vAlign w:val="center"/>
                </w:tcPr>
                <w:p w14:paraId="1DEF14B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国家污染物排放标准</w:t>
                  </w:r>
                </w:p>
              </w:tc>
              <w:tc>
                <w:tcPr>
                  <w:tcW w:w="660" w:type="pct"/>
                  <w:vMerge w:val="restart"/>
                  <w:tcBorders>
                    <w:tl2br w:val="nil"/>
                    <w:tr2bl w:val="nil"/>
                  </w:tcBorders>
                  <w:vAlign w:val="center"/>
                </w:tcPr>
                <w:p w14:paraId="0F55FDA7">
                  <w:pPr>
                    <w:pStyle w:val="30"/>
                    <w:keepNext w:val="0"/>
                    <w:keepLines w:val="0"/>
                    <w:pageBreakBefore w:val="0"/>
                    <w:widowControl/>
                    <w:kinsoku/>
                    <w:wordWrap w:val="0"/>
                    <w:overflowPunct/>
                    <w:topLinePunct/>
                    <w:autoSpaceDE/>
                    <w:autoSpaceDN/>
                    <w:bidi w:val="0"/>
                    <w:adjustRightInd/>
                    <w:snapToGrid/>
                    <w:jc w:val="center"/>
                    <w:rPr>
                      <w:rFonts w:hint="default"/>
                      <w:b/>
                      <w:bCs/>
                      <w:sz w:val="21"/>
                      <w:szCs w:val="21"/>
                      <w:highlight w:val="none"/>
                      <w:u w:val="none" w:color="auto"/>
                      <w:lang w:val="en-US" w:eastAsia="zh-CN"/>
                    </w:rPr>
                  </w:pPr>
                  <w:r>
                    <w:rPr>
                      <w:rFonts w:hint="default"/>
                      <w:b/>
                      <w:bCs/>
                      <w:sz w:val="21"/>
                      <w:szCs w:val="21"/>
                      <w:highlight w:val="none"/>
                      <w:u w:val="none" w:color="auto"/>
                      <w:lang w:val="en-US" w:eastAsia="zh-CN"/>
                    </w:rPr>
                    <w:t>年排放量</w:t>
                  </w:r>
                </w:p>
                <w:p w14:paraId="61B1B903">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b/>
                      <w:bCs/>
                      <w:sz w:val="21"/>
                      <w:szCs w:val="21"/>
                      <w:highlight w:val="none"/>
                      <w:u w:val="none" w:color="auto"/>
                      <w:lang w:val="en-US" w:eastAsia="zh-CN"/>
                    </w:rPr>
                    <w:t>（t/a）</w:t>
                  </w:r>
                </w:p>
              </w:tc>
            </w:tr>
            <w:tr w14:paraId="6436C4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78" w:type="pct"/>
                  <w:vMerge w:val="continue"/>
                  <w:tcBorders>
                    <w:tl2br w:val="nil"/>
                    <w:tr2bl w:val="nil"/>
                  </w:tcBorders>
                  <w:vAlign w:val="center"/>
                </w:tcPr>
                <w:p w14:paraId="2C8D275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301" w:type="pct"/>
                  <w:vMerge w:val="continue"/>
                  <w:tcBorders>
                    <w:tl2br w:val="nil"/>
                    <w:tr2bl w:val="nil"/>
                  </w:tcBorders>
                  <w:vAlign w:val="center"/>
                </w:tcPr>
                <w:p w14:paraId="08CB4F1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414" w:type="pct"/>
                  <w:vMerge w:val="continue"/>
                  <w:tcBorders>
                    <w:tl2br w:val="nil"/>
                    <w:tr2bl w:val="nil"/>
                  </w:tcBorders>
                  <w:vAlign w:val="center"/>
                </w:tcPr>
                <w:p w14:paraId="2282A64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823" w:type="pct"/>
                  <w:vMerge w:val="continue"/>
                  <w:tcBorders>
                    <w:tl2br w:val="nil"/>
                    <w:tr2bl w:val="nil"/>
                  </w:tcBorders>
                  <w:vAlign w:val="center"/>
                </w:tcPr>
                <w:p w14:paraId="49FDDD7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897" w:type="pct"/>
                  <w:tcBorders>
                    <w:tl2br w:val="nil"/>
                    <w:tr2bl w:val="nil"/>
                  </w:tcBorders>
                  <w:vAlign w:val="center"/>
                </w:tcPr>
                <w:p w14:paraId="78B1363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标准名称</w:t>
                  </w:r>
                </w:p>
              </w:tc>
              <w:tc>
                <w:tcPr>
                  <w:tcW w:w="1103" w:type="pct"/>
                  <w:tcBorders>
                    <w:tl2br w:val="nil"/>
                    <w:tr2bl w:val="nil"/>
                  </w:tcBorders>
                  <w:vAlign w:val="center"/>
                </w:tcPr>
                <w:p w14:paraId="0F82A83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default" w:ascii="Times New Roman" w:hAnsi="Times New Roman" w:eastAsia="宋体" w:cs="Times New Roman"/>
                      <w:b/>
                      <w:bCs/>
                      <w:snapToGrid/>
                      <w:color w:val="auto"/>
                      <w:kern w:val="0"/>
                      <w:sz w:val="21"/>
                      <w:szCs w:val="21"/>
                      <w:highlight w:val="none"/>
                      <w:u w:val="none" w:color="auto"/>
                      <w:lang w:val="en-US" w:eastAsia="zh-CN" w:bidi="ar-SA"/>
                    </w:rPr>
                    <w:t>浓度限值</w:t>
                  </w:r>
                  <w:r>
                    <w:rPr>
                      <w:rFonts w:hint="eastAsia" w:cs="Times New Roman"/>
                      <w:b/>
                      <w:bCs/>
                      <w:snapToGrid/>
                      <w:color w:val="auto"/>
                      <w:kern w:val="0"/>
                      <w:sz w:val="21"/>
                      <w:szCs w:val="21"/>
                      <w:highlight w:val="none"/>
                      <w:u w:val="none" w:color="auto"/>
                      <w:lang w:val="en-US" w:eastAsia="zh-CN" w:bidi="ar-SA"/>
                    </w:rPr>
                    <w:t>（mg/m</w:t>
                  </w:r>
                  <w:r>
                    <w:rPr>
                      <w:rFonts w:hint="eastAsia" w:cs="Times New Roman"/>
                      <w:b/>
                      <w:bCs/>
                      <w:snapToGrid/>
                      <w:color w:val="auto"/>
                      <w:kern w:val="0"/>
                      <w:sz w:val="21"/>
                      <w:szCs w:val="21"/>
                      <w:highlight w:val="none"/>
                      <w:u w:val="none" w:color="auto"/>
                      <w:vertAlign w:val="superscript"/>
                      <w:lang w:val="en-US" w:eastAsia="zh-CN" w:bidi="ar-SA"/>
                    </w:rPr>
                    <w:t>3</w:t>
                  </w:r>
                  <w:r>
                    <w:rPr>
                      <w:rFonts w:hint="eastAsia" w:cs="Times New Roman"/>
                      <w:b/>
                      <w:bCs/>
                      <w:snapToGrid/>
                      <w:color w:val="auto"/>
                      <w:kern w:val="0"/>
                      <w:sz w:val="21"/>
                      <w:szCs w:val="21"/>
                      <w:highlight w:val="none"/>
                      <w:u w:val="none" w:color="auto"/>
                      <w:lang w:val="en-US" w:eastAsia="zh-CN" w:bidi="ar-SA"/>
                    </w:rPr>
                    <w:t>）</w:t>
                  </w:r>
                </w:p>
              </w:tc>
              <w:tc>
                <w:tcPr>
                  <w:tcW w:w="620" w:type="pct"/>
                  <w:tcBorders>
                    <w:tl2br w:val="nil"/>
                    <w:tr2bl w:val="nil"/>
                  </w:tcBorders>
                  <w:vAlign w:val="center"/>
                </w:tcPr>
                <w:p w14:paraId="0A9980B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snapToGrid/>
                      <w:color w:val="auto"/>
                      <w:kern w:val="0"/>
                      <w:sz w:val="21"/>
                      <w:szCs w:val="21"/>
                      <w:highlight w:val="none"/>
                      <w:u w:val="none" w:color="auto"/>
                      <w:lang w:val="en-US" w:eastAsia="zh-CN" w:bidi="ar-SA"/>
                    </w:rPr>
                  </w:pPr>
                  <w:r>
                    <w:rPr>
                      <w:rFonts w:hint="eastAsia" w:ascii="Times New Roman" w:hAnsi="Times New Roman" w:eastAsia="宋体" w:cs="Times New Roman"/>
                      <w:b/>
                      <w:bCs/>
                      <w:snapToGrid/>
                      <w:color w:val="auto"/>
                      <w:kern w:val="0"/>
                      <w:sz w:val="21"/>
                      <w:szCs w:val="21"/>
                      <w:highlight w:val="none"/>
                      <w:u w:val="none" w:color="auto"/>
                      <w:lang w:val="en-US" w:eastAsia="zh-CN" w:bidi="ar-SA"/>
                    </w:rPr>
                    <w:t>限值含义</w:t>
                  </w:r>
                </w:p>
              </w:tc>
              <w:tc>
                <w:tcPr>
                  <w:tcW w:w="660" w:type="pct"/>
                  <w:vMerge w:val="continue"/>
                  <w:tcBorders>
                    <w:tl2br w:val="nil"/>
                    <w:tr2bl w:val="nil"/>
                  </w:tcBorders>
                  <w:vAlign w:val="center"/>
                </w:tcPr>
                <w:p w14:paraId="1D2A324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r>
            <w:tr w14:paraId="4C7037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8" w:type="pct"/>
                  <w:tcBorders>
                    <w:tl2br w:val="nil"/>
                    <w:tr2bl w:val="nil"/>
                  </w:tcBorders>
                  <w:vAlign w:val="center"/>
                </w:tcPr>
                <w:p w14:paraId="07D79CA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c>
                <w:tcPr>
                  <w:tcW w:w="301" w:type="pct"/>
                  <w:tcBorders>
                    <w:tl2br w:val="nil"/>
                    <w:tr2bl w:val="nil"/>
                  </w:tcBorders>
                  <w:vAlign w:val="center"/>
                </w:tcPr>
                <w:p w14:paraId="5DDC779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u w:val="none" w:color="auto"/>
                      <w:lang w:val="en-US" w:eastAsia="zh-CN"/>
                    </w:rPr>
                    <w:t>泄漏废气</w:t>
                  </w:r>
                </w:p>
              </w:tc>
              <w:tc>
                <w:tcPr>
                  <w:tcW w:w="414" w:type="pct"/>
                  <w:tcBorders>
                    <w:tl2br w:val="nil"/>
                    <w:tr2bl w:val="nil"/>
                  </w:tcBorders>
                  <w:vAlign w:val="center"/>
                </w:tcPr>
                <w:p w14:paraId="2CD4B16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非甲烷总烃</w:t>
                  </w:r>
                </w:p>
              </w:tc>
              <w:tc>
                <w:tcPr>
                  <w:tcW w:w="823" w:type="pct"/>
                  <w:tcBorders>
                    <w:tl2br w:val="nil"/>
                    <w:tr2bl w:val="nil"/>
                  </w:tcBorders>
                  <w:vAlign w:val="center"/>
                </w:tcPr>
                <w:p w14:paraId="6E20DB6D">
                  <w:pPr>
                    <w:keepNext w:val="0"/>
                    <w:keepLines w:val="0"/>
                    <w:pageBreakBefore w:val="0"/>
                    <w:widowControl/>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无组织扩散</w:t>
                  </w:r>
                </w:p>
              </w:tc>
              <w:tc>
                <w:tcPr>
                  <w:tcW w:w="897" w:type="pct"/>
                  <w:tcBorders>
                    <w:tl2br w:val="nil"/>
                    <w:tr2bl w:val="nil"/>
                  </w:tcBorders>
                  <w:vAlign w:val="center"/>
                </w:tcPr>
                <w:p w14:paraId="179E70BC">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pacing w:val="8"/>
                      <w:kern w:val="2"/>
                      <w:sz w:val="21"/>
                      <w:szCs w:val="21"/>
                      <w:highlight w:val="none"/>
                      <w:u w:val="none" w:color="auto"/>
                      <w:lang w:val="en-US" w:eastAsia="en-US" w:bidi="ar-SA"/>
                      <w14:textOutline w14:w="3795" w14:cap="sq" w14:cmpd="sng">
                        <w14:solidFill>
                          <w14:srgbClr w14:val="000000"/>
                        </w14:solidFill>
                        <w14:prstDash w14:val="solid"/>
                        <w14:bevel/>
                      </w14:textOutline>
                    </w:rPr>
                  </w:pPr>
                  <w:r>
                    <w:rPr>
                      <w:rFonts w:hint="eastAsia" w:ascii="Times New Roman" w:hAnsi="Times New Roman" w:eastAsia="宋体" w:cs="Times New Roman"/>
                      <w:color w:val="auto"/>
                      <w:kern w:val="2"/>
                      <w:sz w:val="21"/>
                      <w:szCs w:val="21"/>
                      <w:highlight w:val="none"/>
                      <w:u w:val="none" w:color="auto"/>
                      <w:lang w:val="en-US" w:eastAsia="zh-CN" w:bidi="ar-SA"/>
                    </w:rPr>
                    <w:t>《挥发性有机物无组织排放控制标准》（GB37822-2019）</w:t>
                  </w:r>
                </w:p>
              </w:tc>
              <w:tc>
                <w:tcPr>
                  <w:tcW w:w="1103" w:type="pct"/>
                  <w:tcBorders>
                    <w:tl2br w:val="nil"/>
                    <w:tr2bl w:val="nil"/>
                  </w:tcBorders>
                  <w:vAlign w:val="center"/>
                </w:tcPr>
                <w:p w14:paraId="4E979AD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pacing w:val="8"/>
                      <w:kern w:val="2"/>
                      <w:sz w:val="21"/>
                      <w:szCs w:val="21"/>
                      <w:highlight w:val="none"/>
                      <w:u w:val="none" w:color="auto"/>
                      <w:lang w:val="en-US" w:eastAsia="zh-CN" w:bidi="ar-SA"/>
                      <w14:textOutline w14:w="3795" w14:cap="sq" w14:cmpd="sng">
                        <w14:solidFill>
                          <w14:srgbClr w14:val="000000"/>
                        </w14:solidFill>
                        <w14:prstDash w14:val="solid"/>
                        <w14:bevel/>
                      </w14:textOutline>
                    </w:rPr>
                  </w:pPr>
                  <w:r>
                    <w:rPr>
                      <w:rFonts w:hint="eastAsia"/>
                      <w:b w:val="0"/>
                      <w:bCs w:val="0"/>
                      <w:highlight w:val="none"/>
                      <w:u w:val="none" w:color="auto"/>
                      <w:lang w:val="en-US" w:eastAsia="zh-CN"/>
                    </w:rPr>
                    <w:t>6</w:t>
                  </w:r>
                </w:p>
              </w:tc>
              <w:tc>
                <w:tcPr>
                  <w:tcW w:w="620" w:type="pct"/>
                  <w:tcBorders>
                    <w:tl2br w:val="nil"/>
                    <w:tr2bl w:val="nil"/>
                  </w:tcBorders>
                  <w:vAlign w:val="center"/>
                </w:tcPr>
                <w:p w14:paraId="57A023A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b w:val="0"/>
                      <w:bCs w:val="0"/>
                      <w:highlight w:val="none"/>
                      <w:u w:val="none" w:color="auto"/>
                      <w:lang w:val="en-US" w:eastAsia="zh-CN"/>
                    </w:rPr>
                  </w:pPr>
                  <w:r>
                    <w:rPr>
                      <w:rFonts w:hint="default"/>
                      <w:b w:val="0"/>
                      <w:bCs w:val="0"/>
                      <w:highlight w:val="none"/>
                      <w:u w:val="none" w:color="auto"/>
                      <w:lang w:val="en-US" w:eastAsia="zh-CN"/>
                    </w:rPr>
                    <w:t>监控点处1h平均浓度值</w:t>
                  </w:r>
                </w:p>
              </w:tc>
              <w:tc>
                <w:tcPr>
                  <w:tcW w:w="660" w:type="pct"/>
                  <w:tcBorders>
                    <w:tl2br w:val="nil"/>
                    <w:tr2bl w:val="nil"/>
                  </w:tcBorders>
                  <w:vAlign w:val="center"/>
                </w:tcPr>
                <w:p w14:paraId="5B7888C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b w:val="0"/>
                      <w:bCs w:val="0"/>
                      <w:highlight w:val="none"/>
                      <w:u w:val="none" w:color="auto"/>
                      <w:lang w:val="en-US" w:eastAsia="zh-CN"/>
                    </w:rPr>
                    <w:t>0.03</w:t>
                  </w:r>
                </w:p>
              </w:tc>
            </w:tr>
          </w:tbl>
          <w:p w14:paraId="5CF1A6FF">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达标排放分析</w:t>
            </w:r>
          </w:p>
          <w:p w14:paraId="6D636F98">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eastAsia="zh-CN"/>
              </w:rPr>
              <w:t>（</w:t>
            </w:r>
            <w:r>
              <w:rPr>
                <w:rFonts w:hint="eastAsia" w:cs="Times New Roman"/>
                <w:b/>
                <w:bCs/>
                <w:color w:val="auto"/>
                <w:highlight w:val="none"/>
                <w:u w:val="none" w:color="auto"/>
                <w:lang w:val="en-US" w:eastAsia="zh-CN"/>
              </w:rPr>
              <w:t>1</w:t>
            </w:r>
            <w:r>
              <w:rPr>
                <w:rFonts w:hint="eastAsia"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废气治理措施技术可行性分析</w:t>
            </w:r>
          </w:p>
          <w:p w14:paraId="4EB7AA49">
            <w:pPr>
              <w:pStyle w:val="25"/>
              <w:keepNext w:val="0"/>
              <w:keepLines w:val="0"/>
              <w:pageBreakBefore w:val="0"/>
              <w:widowControl/>
              <w:kinsoku/>
              <w:wordWrap w:val="0"/>
              <w:overflowPunct/>
              <w:topLinePunct/>
              <w:autoSpaceDE/>
              <w:autoSpaceDN/>
              <w:bidi w:val="0"/>
              <w:adjustRightInd/>
              <w:snapToGrid/>
              <w:rPr>
                <w:rFonts w:ascii="Segoe UI" w:hAnsi="Segoe UI" w:eastAsia="Segoe UI" w:cs="Segoe UI"/>
                <w:i w:val="0"/>
                <w:iCs w:val="0"/>
                <w:caps w:val="0"/>
                <w:color w:val="0F1115"/>
                <w:spacing w:val="0"/>
                <w:sz w:val="24"/>
                <w:szCs w:val="24"/>
                <w:highlight w:val="none"/>
                <w:u w:val="none" w:color="auto"/>
                <w:shd w:val="clear" w:fill="FFFFFF"/>
              </w:rPr>
            </w:pPr>
            <w:r>
              <w:rPr>
                <w:color w:val="auto"/>
                <w:highlight w:val="none"/>
                <w:u w:val="none" w:color="auto"/>
              </w:rPr>
              <w:t>本项目</w:t>
            </w:r>
            <w:r>
              <w:rPr>
                <w:rFonts w:hint="eastAsia"/>
                <w:color w:val="auto"/>
                <w:highlight w:val="none"/>
                <w:u w:val="none" w:color="auto"/>
                <w:lang w:val="en-US" w:eastAsia="zh-CN"/>
              </w:rPr>
              <w:t>焚烧</w:t>
            </w:r>
            <w:r>
              <w:rPr>
                <w:color w:val="auto"/>
                <w:highlight w:val="none"/>
                <w:u w:val="none" w:color="auto"/>
              </w:rPr>
              <w:t>工序废气污染防治措施采用管道收集及</w:t>
            </w:r>
            <w:r>
              <w:rPr>
                <w:rFonts w:hint="eastAsia"/>
                <w:color w:val="auto"/>
                <w:highlight w:val="none"/>
                <w:u w:val="none" w:color="auto"/>
                <w:lang w:val="en-US" w:eastAsia="zh-CN"/>
              </w:rPr>
              <w:t>水膜</w:t>
            </w:r>
            <w:r>
              <w:rPr>
                <w:rFonts w:hint="eastAsia"/>
                <w:color w:val="auto"/>
                <w:highlight w:val="none"/>
                <w:u w:val="none" w:color="auto"/>
                <w:lang w:eastAsia="zh-CN"/>
              </w:rPr>
              <w:t>除尘装置</w:t>
            </w:r>
            <w:r>
              <w:rPr>
                <w:color w:val="auto"/>
                <w:highlight w:val="none"/>
                <w:u w:val="none" w:color="auto"/>
              </w:rPr>
              <w:t>。</w:t>
            </w:r>
            <w:r>
              <w:rPr>
                <w:rFonts w:hint="eastAsia"/>
                <w:color w:val="auto"/>
                <w:highlight w:val="none"/>
                <w:u w:val="none" w:color="auto"/>
                <w:lang w:val="en-US" w:eastAsia="zh-CN"/>
              </w:rPr>
              <w:t>水膜</w:t>
            </w:r>
            <w:r>
              <w:rPr>
                <w:color w:val="auto"/>
                <w:highlight w:val="none"/>
                <w:u w:val="none" w:color="auto"/>
              </w:rPr>
              <w:t>除尘装置的原理是</w:t>
            </w:r>
            <w:r>
              <w:rPr>
                <w:rFonts w:ascii="Segoe UI" w:hAnsi="Segoe UI" w:eastAsia="Segoe UI" w:cs="Segoe UI"/>
                <w:i w:val="0"/>
                <w:iCs w:val="0"/>
                <w:caps w:val="0"/>
                <w:color w:val="0F1115"/>
                <w:spacing w:val="0"/>
                <w:sz w:val="24"/>
                <w:szCs w:val="24"/>
                <w:highlight w:val="none"/>
                <w:u w:val="none" w:color="auto"/>
                <w:shd w:val="clear" w:fill="FFFFFF"/>
              </w:rPr>
              <w:t>含尘气体从除尘器底部或中部进入，沿切线方向冲击水箱中的水面或器壁上的水膜。部分较粗的尘粒因惯性作用直接落入水中。气体继而旋转上升，与器壁上形成的人工水膜（通过喷嘴喷洒形成）充分接触。在此过程中，尘粒通过惯性碰撞、拦截、扩散等效应被水膜捕获，并随水流向下排出。净化后的气体经上部除雾器脱水后排出。</w:t>
            </w:r>
          </w:p>
          <w:p w14:paraId="6B7DDC81">
            <w:pPr>
              <w:pStyle w:val="25"/>
              <w:keepNext w:val="0"/>
              <w:keepLines w:val="0"/>
              <w:pageBreakBefore w:val="0"/>
              <w:widowControl/>
              <w:kinsoku/>
              <w:wordWrap w:val="0"/>
              <w:overflowPunct/>
              <w:topLinePunct/>
              <w:autoSpaceDE/>
              <w:autoSpaceDN/>
              <w:bidi w:val="0"/>
              <w:adjustRightInd/>
              <w:snapToGrid/>
              <w:rPr>
                <w:rFonts w:hint="eastAsia" w:ascii="Segoe UI" w:hAnsi="Segoe UI" w:eastAsia="Segoe UI" w:cs="Segoe UI"/>
                <w:i w:val="0"/>
                <w:iCs w:val="0"/>
                <w:caps w:val="0"/>
                <w:color w:val="0F1115"/>
                <w:spacing w:val="0"/>
                <w:sz w:val="24"/>
                <w:szCs w:val="24"/>
                <w:highlight w:val="none"/>
                <w:u w:val="none" w:color="auto"/>
                <w:shd w:val="clear" w:fill="FFFFFF"/>
                <w:lang w:eastAsia="zh-CN"/>
              </w:rPr>
            </w:pPr>
            <w:r>
              <w:rPr>
                <w:color w:val="auto"/>
                <w:highlight w:val="none"/>
                <w:u w:val="none" w:color="auto"/>
              </w:rPr>
              <w:t>因此，从技术可行性角度综合评估，本项目采用</w:t>
            </w:r>
            <w:r>
              <w:rPr>
                <w:rFonts w:hint="eastAsia"/>
                <w:color w:val="auto"/>
                <w:highlight w:val="none"/>
                <w:u w:val="none" w:color="auto"/>
                <w:lang w:val="en-US" w:eastAsia="zh-CN"/>
              </w:rPr>
              <w:t>水膜</w:t>
            </w:r>
            <w:r>
              <w:rPr>
                <w:color w:val="auto"/>
                <w:highlight w:val="none"/>
                <w:u w:val="none" w:color="auto"/>
              </w:rPr>
              <w:t>除尘技术是可行的。</w:t>
            </w:r>
          </w:p>
          <w:p w14:paraId="2416E740">
            <w:pPr>
              <w:pStyle w:val="25"/>
              <w:keepNext w:val="0"/>
              <w:keepLines w:val="0"/>
              <w:pageBreakBefore w:val="0"/>
              <w:widowControl/>
              <w:kinsoku/>
              <w:wordWrap w:val="0"/>
              <w:overflowPunct/>
              <w:topLinePunct/>
              <w:autoSpaceDE/>
              <w:autoSpaceDN/>
              <w:bidi w:val="0"/>
              <w:adjustRightInd/>
              <w:snapToGrid/>
              <w:rPr>
                <w:rFonts w:hint="default"/>
                <w:b/>
                <w:bCs/>
                <w:color w:val="auto"/>
                <w:highlight w:val="none"/>
                <w:u w:val="none" w:color="auto"/>
                <w:lang w:val="en-US" w:eastAsia="zh-CN"/>
              </w:rPr>
            </w:pPr>
            <w:r>
              <w:rPr>
                <w:rFonts w:hint="eastAsia" w:ascii="Times New Roman" w:hAnsi="Times New Roman" w:eastAsia="宋体" w:cs="Times New Roman"/>
                <w:b/>
                <w:bCs/>
                <w:color w:val="auto"/>
                <w:highlight w:val="none"/>
                <w:u w:val="none" w:color="auto"/>
                <w:lang w:val="en-US" w:eastAsia="zh-CN"/>
              </w:rPr>
              <w:t>（</w:t>
            </w:r>
            <w:r>
              <w:rPr>
                <w:rFonts w:hint="eastAsia" w:cs="Times New Roman"/>
                <w:b/>
                <w:bCs/>
                <w:color w:val="auto"/>
                <w:highlight w:val="none"/>
                <w:u w:val="none" w:color="auto"/>
                <w:lang w:val="en-US" w:eastAsia="zh-CN"/>
              </w:rPr>
              <w:t>2</w:t>
            </w:r>
            <w:r>
              <w:rPr>
                <w:rFonts w:hint="eastAsia" w:ascii="Times New Roman" w:hAnsi="Times New Roman" w:eastAsia="宋体" w:cs="Times New Roman"/>
                <w:b/>
                <w:bCs/>
                <w:color w:val="auto"/>
                <w:highlight w:val="none"/>
                <w:u w:val="none" w:color="auto"/>
                <w:lang w:val="en-US" w:eastAsia="zh-CN"/>
              </w:rPr>
              <w:t>）</w:t>
            </w:r>
            <w:r>
              <w:rPr>
                <w:rFonts w:hint="default"/>
                <w:b/>
                <w:bCs/>
                <w:color w:val="auto"/>
                <w:highlight w:val="none"/>
                <w:u w:val="none" w:color="auto"/>
                <w:lang w:val="en-US" w:eastAsia="zh-CN"/>
              </w:rPr>
              <w:t>排气筒高度</w:t>
            </w:r>
            <w:r>
              <w:rPr>
                <w:rFonts w:hint="eastAsia" w:ascii="Times New Roman" w:eastAsia="宋体"/>
                <w:b/>
                <w:bCs/>
                <w:color w:val="auto"/>
                <w:highlight w:val="none"/>
                <w:u w:val="none" w:color="auto"/>
                <w:lang w:val="en-US" w:eastAsia="zh-CN"/>
              </w:rPr>
              <w:t>、风机风量</w:t>
            </w:r>
            <w:r>
              <w:rPr>
                <w:rFonts w:hint="default"/>
                <w:b/>
                <w:bCs/>
                <w:color w:val="auto"/>
                <w:highlight w:val="none"/>
                <w:u w:val="none" w:color="auto"/>
                <w:lang w:val="en-US" w:eastAsia="zh-CN"/>
              </w:rPr>
              <w:t>合理性分析</w:t>
            </w:r>
          </w:p>
          <w:p w14:paraId="61F4E359">
            <w:pPr>
              <w:keepNext w:val="0"/>
              <w:keepLines w:val="0"/>
              <w:pageBreakBefore w:val="0"/>
              <w:widowControl/>
              <w:tabs>
                <w:tab w:val="left" w:pos="1021"/>
              </w:tabs>
              <w:kinsoku/>
              <w:wordWrap w:val="0"/>
              <w:overflowPunct/>
              <w:topLinePunct/>
              <w:autoSpaceDE/>
              <w:autoSpaceDN/>
              <w:bidi w:val="0"/>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本项目DA001高度为15m，根据《大气污染物综合排放标准》（GB16297-1996）中的7.1和7.4规定：“排气筒高度除须遵守表列排放速率标准值外，还应高出周围200m半径范围的建筑5m以上，不能达到该要求的排气筒，应按其高度对应的表列排放速率标准值严格50%执行”和“新污染源的排气筒一般不应低于15m。”本项目厂房200m范围内，无其他较高建筑。根据建设单位介绍，本项目厂房高度约为10m，因此，项目设置的排气筒高度均为15m是合理可行的。</w:t>
            </w:r>
          </w:p>
          <w:p w14:paraId="658139B9">
            <w:pPr>
              <w:keepNext w:val="0"/>
              <w:keepLines w:val="0"/>
              <w:pageBreakBefore w:val="0"/>
              <w:widowControl/>
              <w:tabs>
                <w:tab w:val="left" w:pos="1021"/>
              </w:tabs>
              <w:kinsoku/>
              <w:wordWrap w:val="0"/>
              <w:overflowPunct/>
              <w:topLinePunct/>
              <w:autoSpaceDE/>
              <w:autoSpaceDN/>
              <w:bidi w:val="0"/>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本项目风机风量设置为</w:t>
            </w:r>
            <w:r>
              <w:rPr>
                <w:rFonts w:hint="eastAsia" w:cs="Times New Roman"/>
                <w:color w:val="auto"/>
                <w:kern w:val="2"/>
                <w:sz w:val="24"/>
                <w:szCs w:val="24"/>
                <w:highlight w:val="none"/>
                <w:u w:val="none" w:color="auto"/>
                <w:shd w:val="clear" w:color="auto" w:fill="auto"/>
                <w:lang w:val="en-US" w:eastAsia="zh-CN" w:bidi="en-US"/>
              </w:rPr>
              <w:t>5</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00</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0</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m</w:t>
            </w:r>
            <w:r>
              <w:rPr>
                <w:rFonts w:hint="default" w:ascii="Times New Roman" w:hAnsi="Times New Roman" w:eastAsia="宋体" w:cs="Times New Roman"/>
                <w:color w:val="auto"/>
                <w:kern w:val="2"/>
                <w:sz w:val="24"/>
                <w:szCs w:val="24"/>
                <w:highlight w:val="none"/>
                <w:u w:val="none" w:color="auto"/>
                <w:shd w:val="clear" w:color="auto" w:fill="auto"/>
                <w:vertAlign w:val="superscript"/>
                <w:lang w:val="en-US" w:eastAsia="zh-CN" w:bidi="en-US"/>
              </w:rPr>
              <w:t>3</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/h</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w:t>
            </w:r>
            <w:r>
              <w:rPr>
                <w:rFonts w:hint="default" w:ascii="Times New Roman" w:hAnsi="Times New Roman" w:eastAsia="宋体" w:cs="Times New Roman"/>
                <w:color w:val="auto"/>
                <w:sz w:val="24"/>
                <w:szCs w:val="24"/>
                <w:highlight w:val="none"/>
                <w:u w:val="none" w:color="auto"/>
                <w:lang w:eastAsia="zh-CN"/>
              </w:rPr>
              <w:t>本项目DA001排气筒管道内径约0.</w:t>
            </w:r>
            <w:r>
              <w:rPr>
                <w:rFonts w:hint="eastAsia"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eastAsia="zh-CN"/>
              </w:rPr>
              <w:t>m，风速</w:t>
            </w:r>
            <w:r>
              <w:rPr>
                <w:rFonts w:hint="eastAsia" w:ascii="Times New Roman" w:hAnsi="Times New Roman" w:eastAsia="宋体" w:cs="Times New Roman"/>
                <w:color w:val="auto"/>
                <w:sz w:val="24"/>
                <w:szCs w:val="24"/>
                <w:highlight w:val="none"/>
                <w:u w:val="none" w:color="auto"/>
                <w:lang w:val="en-US" w:eastAsia="zh-CN"/>
              </w:rPr>
              <w:t>取</w:t>
            </w:r>
            <w:r>
              <w:rPr>
                <w:rStyle w:val="35"/>
                <w:rFonts w:hint="default"/>
                <w:highlight w:val="none"/>
                <w:u w:val="none" w:color="auto"/>
              </w:rPr>
              <w:t>19.65</w:t>
            </w:r>
            <w:r>
              <w:rPr>
                <w:rFonts w:hint="default" w:ascii="Times New Roman" w:hAnsi="Times New Roman" w:eastAsia="宋体" w:cs="Times New Roman"/>
                <w:color w:val="auto"/>
                <w:sz w:val="24"/>
                <w:szCs w:val="24"/>
                <w:highlight w:val="none"/>
                <w:u w:val="none" w:color="auto"/>
                <w:lang w:eastAsia="zh-CN"/>
              </w:rPr>
              <w:t>m/s，</w:t>
            </w:r>
            <w:r>
              <w:rPr>
                <w:rFonts w:hint="eastAsia" w:ascii="Times New Roman" w:hAnsi="Times New Roman" w:eastAsia="宋体" w:cs="Times New Roman"/>
                <w:color w:val="auto"/>
                <w:sz w:val="24"/>
                <w:szCs w:val="24"/>
                <w:highlight w:val="none"/>
                <w:u w:val="none" w:color="auto"/>
                <w:lang w:val="en-US" w:eastAsia="zh-CN"/>
              </w:rPr>
              <w:t>符合风速宜取</w:t>
            </w:r>
            <w:r>
              <w:rPr>
                <w:rFonts w:hint="default" w:ascii="Times New Roman" w:hAnsi="Times New Roman" w:eastAsia="宋体" w:cs="Times New Roman"/>
                <w:color w:val="auto"/>
                <w:sz w:val="24"/>
                <w:szCs w:val="24"/>
                <w:highlight w:val="none"/>
                <w:u w:val="none" w:color="auto"/>
                <w:lang w:val="en-US" w:eastAsia="zh-CN"/>
              </w:rPr>
              <w:t>15</w:t>
            </w:r>
            <w:r>
              <w:rPr>
                <w:rFonts w:hint="eastAsia" w:ascii="Times New Roman" w:hAnsi="Times New Roman" w:eastAsia="宋体" w:cs="Times New Roman"/>
                <w:color w:val="auto"/>
                <w:sz w:val="24"/>
                <w:szCs w:val="24"/>
                <w:highlight w:val="none"/>
                <w:u w:val="none" w:color="auto"/>
                <w:lang w:val="en-US" w:eastAsia="zh-CN"/>
              </w:rPr>
              <w:t>-20m</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s，</w:t>
            </w:r>
            <w:r>
              <w:rPr>
                <w:rFonts w:hint="default" w:ascii="Times New Roman" w:hAnsi="Times New Roman" w:eastAsia="宋体" w:cs="Times New Roman"/>
                <w:color w:val="auto"/>
                <w:sz w:val="24"/>
                <w:szCs w:val="24"/>
                <w:highlight w:val="none"/>
                <w:u w:val="none" w:color="auto"/>
                <w:lang w:eastAsia="zh-CN"/>
              </w:rPr>
              <w:t>因此</w:t>
            </w:r>
            <w:r>
              <w:rPr>
                <w:rFonts w:hint="eastAsia" w:ascii="Times New Roman" w:hAnsi="Times New Roman" w:eastAsia="宋体" w:cs="Times New Roman"/>
                <w:color w:val="auto"/>
                <w:sz w:val="24"/>
                <w:szCs w:val="24"/>
                <w:highlight w:val="none"/>
                <w:u w:val="none" w:color="auto"/>
                <w:lang w:val="en-US" w:eastAsia="zh-CN"/>
              </w:rPr>
              <w:t>排气筒设置合理</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根据前文分析，本项目产生的各污染物排放浓度及排放速率均能够满足其要求。</w:t>
            </w:r>
          </w:p>
          <w:p w14:paraId="113E13AF">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5</w:t>
            </w:r>
            <w:r>
              <w:rPr>
                <w:rFonts w:hint="default" w:ascii="Times New Roman" w:hAnsi="Times New Roman" w:cs="Times New Roman"/>
                <w:b/>
                <w:bCs/>
                <w:color w:val="auto"/>
                <w:highlight w:val="none"/>
                <w:u w:val="none" w:color="auto"/>
                <w:lang w:val="en-US" w:eastAsia="zh-CN"/>
              </w:rPr>
              <w:t>、</w:t>
            </w:r>
            <w:r>
              <w:rPr>
                <w:rFonts w:hint="default" w:ascii="Times New Roman" w:hAnsi="Times New Roman" w:cs="Times New Roman"/>
                <w:b/>
                <w:bCs/>
                <w:color w:val="auto"/>
                <w:highlight w:val="none"/>
                <w:u w:val="none" w:color="auto"/>
              </w:rPr>
              <w:t>监测要求</w:t>
            </w:r>
          </w:p>
          <w:p w14:paraId="63D7B850">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根据《排污单位自行监测技术指南总则》（HJ819-2017）</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确定本项目监测要求见</w:t>
            </w:r>
            <w:r>
              <w:rPr>
                <w:rFonts w:hint="eastAsia" w:cs="Times New Roman"/>
                <w:color w:val="auto"/>
                <w:highlight w:val="none"/>
                <w:u w:val="none" w:color="auto"/>
                <w:lang w:val="en-US" w:eastAsia="zh-CN"/>
              </w:rPr>
              <w:t>下</w:t>
            </w:r>
            <w:r>
              <w:rPr>
                <w:rFonts w:hint="default" w:ascii="Times New Roman" w:hAnsi="Times New Roman" w:cs="Times New Roman"/>
                <w:color w:val="auto"/>
                <w:highlight w:val="none"/>
                <w:u w:val="none" w:color="auto"/>
              </w:rPr>
              <w:t>表。</w:t>
            </w:r>
          </w:p>
          <w:p w14:paraId="55274C1A">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 xml:space="preserve">-11   </w:t>
            </w:r>
            <w:r>
              <w:rPr>
                <w:rFonts w:hint="default" w:ascii="Times New Roman" w:hAnsi="Times New Roman" w:cs="Times New Roman"/>
                <w:b/>
                <w:bCs/>
                <w:color w:val="auto"/>
                <w:highlight w:val="none"/>
                <w:u w:val="none" w:color="auto"/>
              </w:rPr>
              <w:t>废气监测计划一览表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8"/>
              <w:gridCol w:w="1043"/>
              <w:gridCol w:w="1170"/>
              <w:gridCol w:w="958"/>
              <w:gridCol w:w="3826"/>
            </w:tblGrid>
            <w:tr w14:paraId="3F2B80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8" w:type="pct"/>
                  <w:tcBorders>
                    <w:tl2br w:val="nil"/>
                    <w:tr2bl w:val="nil"/>
                  </w:tcBorders>
                  <w:vAlign w:val="center"/>
                </w:tcPr>
                <w:p w14:paraId="658DA01B">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监测项目</w:t>
                  </w:r>
                </w:p>
              </w:tc>
              <w:tc>
                <w:tcPr>
                  <w:tcW w:w="655" w:type="pct"/>
                  <w:tcBorders>
                    <w:tl2br w:val="nil"/>
                    <w:tr2bl w:val="nil"/>
                  </w:tcBorders>
                  <w:vAlign w:val="center"/>
                </w:tcPr>
                <w:p w14:paraId="3453E3A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监测点位</w:t>
                  </w:r>
                </w:p>
              </w:tc>
              <w:tc>
                <w:tcPr>
                  <w:tcW w:w="734" w:type="pct"/>
                  <w:tcBorders>
                    <w:tl2br w:val="nil"/>
                    <w:tr2bl w:val="nil"/>
                  </w:tcBorders>
                  <w:vAlign w:val="center"/>
                </w:tcPr>
                <w:p w14:paraId="704CE28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监测因子</w:t>
                  </w:r>
                </w:p>
              </w:tc>
              <w:tc>
                <w:tcPr>
                  <w:tcW w:w="601" w:type="pct"/>
                  <w:tcBorders>
                    <w:tl2br w:val="nil"/>
                    <w:tr2bl w:val="nil"/>
                  </w:tcBorders>
                  <w:vAlign w:val="center"/>
                </w:tcPr>
                <w:p w14:paraId="68F927AC">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监测频次</w:t>
                  </w:r>
                </w:p>
              </w:tc>
              <w:tc>
                <w:tcPr>
                  <w:tcW w:w="2401" w:type="pct"/>
                  <w:tcBorders>
                    <w:tl2br w:val="nil"/>
                    <w:tr2bl w:val="nil"/>
                  </w:tcBorders>
                  <w:vAlign w:val="center"/>
                </w:tcPr>
                <w:p w14:paraId="412B06D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eastAsia" w:ascii="Times New Roman" w:hAnsi="Times New Roman" w:cs="Times New Roman"/>
                      <w:b/>
                      <w:bCs/>
                      <w:color w:val="auto"/>
                      <w:spacing w:val="8"/>
                      <w:sz w:val="21"/>
                      <w:szCs w:val="21"/>
                      <w:highlight w:val="none"/>
                      <w:u w:val="none" w:color="auto"/>
                      <w:lang w:val="en-US" w:eastAsia="zh-CN"/>
                    </w:rPr>
                    <w:t>执行</w:t>
                  </w:r>
                  <w:r>
                    <w:rPr>
                      <w:rFonts w:hint="default" w:ascii="Times New Roman" w:hAnsi="Times New Roman" w:eastAsia="宋体" w:cs="Times New Roman"/>
                      <w:b/>
                      <w:bCs/>
                      <w:color w:val="auto"/>
                      <w:spacing w:val="8"/>
                      <w:sz w:val="21"/>
                      <w:szCs w:val="21"/>
                      <w:highlight w:val="none"/>
                      <w:u w:val="none" w:color="auto"/>
                    </w:rPr>
                    <w:t>标准</w:t>
                  </w:r>
                </w:p>
              </w:tc>
            </w:tr>
            <w:tr w14:paraId="1C6AEF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608" w:type="pct"/>
                  <w:vMerge w:val="restart"/>
                  <w:tcBorders>
                    <w:tl2br w:val="nil"/>
                    <w:tr2bl w:val="nil"/>
                  </w:tcBorders>
                  <w:vAlign w:val="center"/>
                </w:tcPr>
                <w:p w14:paraId="099BAE7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大气</w:t>
                  </w:r>
                </w:p>
                <w:p w14:paraId="7F42270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污染</w:t>
                  </w:r>
                  <w:r>
                    <w:rPr>
                      <w:rFonts w:hint="default" w:ascii="Times New Roman" w:hAnsi="Times New Roman" w:eastAsia="宋体" w:cs="Times New Roman"/>
                      <w:color w:val="auto"/>
                      <w:sz w:val="21"/>
                      <w:szCs w:val="21"/>
                      <w:highlight w:val="none"/>
                      <w:u w:val="none" w:color="auto"/>
                    </w:rPr>
                    <w:t>物</w:t>
                  </w:r>
                </w:p>
              </w:tc>
              <w:tc>
                <w:tcPr>
                  <w:tcW w:w="655" w:type="pct"/>
                  <w:tcBorders>
                    <w:tl2br w:val="nil"/>
                    <w:tr2bl w:val="nil"/>
                  </w:tcBorders>
                  <w:vAlign w:val="center"/>
                </w:tcPr>
                <w:p w14:paraId="625D15BC">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3"/>
                      <w:sz w:val="21"/>
                      <w:szCs w:val="21"/>
                      <w:highlight w:val="none"/>
                      <w:u w:val="none" w:color="auto"/>
                      <w:lang w:val="en-US" w:eastAsia="zh-CN"/>
                    </w:rPr>
                  </w:pPr>
                  <w:r>
                    <w:rPr>
                      <w:rFonts w:hint="eastAsia" w:ascii="Times New Roman" w:hAnsi="Times New Roman" w:cs="Times New Roman"/>
                      <w:color w:val="auto"/>
                      <w:spacing w:val="3"/>
                      <w:sz w:val="21"/>
                      <w:szCs w:val="21"/>
                      <w:highlight w:val="none"/>
                      <w:u w:val="none" w:color="auto"/>
                      <w:lang w:val="en-US" w:eastAsia="zh-CN"/>
                    </w:rPr>
                    <w:t>焚烧工序</w:t>
                  </w:r>
                  <w:r>
                    <w:rPr>
                      <w:rFonts w:hint="default" w:ascii="Times New Roman" w:hAnsi="Times New Roman" w:eastAsia="宋体" w:cs="Times New Roman"/>
                      <w:color w:val="auto"/>
                      <w:spacing w:val="3"/>
                      <w:sz w:val="21"/>
                      <w:szCs w:val="21"/>
                      <w:highlight w:val="none"/>
                      <w:u w:val="none" w:color="auto"/>
                    </w:rPr>
                    <w:t>废气处理排放口</w:t>
                  </w:r>
                </w:p>
              </w:tc>
              <w:tc>
                <w:tcPr>
                  <w:tcW w:w="734" w:type="pct"/>
                  <w:tcBorders>
                    <w:tl2br w:val="nil"/>
                    <w:tr2bl w:val="nil"/>
                  </w:tcBorders>
                  <w:vAlign w:val="center"/>
                </w:tcPr>
                <w:p w14:paraId="40EEF07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u w:val="none" w:color="auto"/>
                      <w:vertAlign w:val="baseline"/>
                      <w:lang w:val="en-US" w:eastAsia="zh-CN"/>
                    </w:rPr>
                  </w:pPr>
                  <w:r>
                    <w:rPr>
                      <w:rFonts w:hint="eastAsia" w:ascii="Times New Roman" w:hAnsi="Times New Roman" w:cs="Times New Roman"/>
                      <w:color w:val="auto"/>
                      <w:spacing w:val="7"/>
                      <w:sz w:val="21"/>
                      <w:szCs w:val="21"/>
                      <w:highlight w:val="none"/>
                      <w:u w:val="none" w:color="auto"/>
                      <w:lang w:val="en-US" w:eastAsia="zh-CN"/>
                    </w:rPr>
                    <w:t>颗粒物、SO</w:t>
                  </w:r>
                  <w:r>
                    <w:rPr>
                      <w:rFonts w:hint="eastAsia" w:ascii="Times New Roman" w:hAnsi="Times New Roman" w:cs="Times New Roman"/>
                      <w:color w:val="auto"/>
                      <w:spacing w:val="7"/>
                      <w:sz w:val="21"/>
                      <w:szCs w:val="21"/>
                      <w:highlight w:val="none"/>
                      <w:u w:val="none" w:color="auto"/>
                      <w:vertAlign w:val="subscript"/>
                      <w:lang w:val="en-US" w:eastAsia="zh-CN"/>
                    </w:rPr>
                    <w:t>2</w:t>
                  </w:r>
                  <w:r>
                    <w:rPr>
                      <w:rFonts w:hint="eastAsia" w:ascii="Times New Roman" w:hAnsi="Times New Roman" w:cs="Times New Roman"/>
                      <w:color w:val="auto"/>
                      <w:spacing w:val="7"/>
                      <w:sz w:val="21"/>
                      <w:szCs w:val="21"/>
                      <w:highlight w:val="none"/>
                      <w:u w:val="none" w:color="auto"/>
                      <w:lang w:val="en-US" w:eastAsia="zh-CN"/>
                    </w:rPr>
                    <w:t>、NO</w:t>
                  </w:r>
                  <w:r>
                    <w:rPr>
                      <w:rFonts w:hint="eastAsia" w:ascii="Times New Roman" w:hAnsi="Times New Roman" w:cs="Times New Roman"/>
                      <w:color w:val="auto"/>
                      <w:spacing w:val="7"/>
                      <w:sz w:val="21"/>
                      <w:szCs w:val="21"/>
                      <w:highlight w:val="none"/>
                      <w:u w:val="none" w:color="auto"/>
                      <w:vertAlign w:val="subscript"/>
                      <w:lang w:val="en-US" w:eastAsia="zh-CN"/>
                    </w:rPr>
                    <w:t>X</w:t>
                  </w:r>
                </w:p>
              </w:tc>
              <w:tc>
                <w:tcPr>
                  <w:tcW w:w="601" w:type="pct"/>
                  <w:tcBorders>
                    <w:tl2br w:val="nil"/>
                    <w:tr2bl w:val="nil"/>
                  </w:tcBorders>
                  <w:vAlign w:val="center"/>
                </w:tcPr>
                <w:p w14:paraId="0455D436">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olor w:val="auto"/>
                      <w:spacing w:val="-1"/>
                      <w:position w:val="1"/>
                      <w:sz w:val="21"/>
                      <w:szCs w:val="21"/>
                      <w:highlight w:val="none"/>
                      <w:u w:val="none" w:color="auto"/>
                      <w:lang w:val="en-US" w:eastAsia="zh-CN"/>
                    </w:rPr>
                  </w:pPr>
                  <w:r>
                    <w:rPr>
                      <w:rFonts w:hint="eastAsia"/>
                      <w:color w:val="auto"/>
                      <w:spacing w:val="-1"/>
                      <w:position w:val="1"/>
                      <w:sz w:val="21"/>
                      <w:szCs w:val="21"/>
                      <w:highlight w:val="none"/>
                      <w:u w:val="none" w:color="auto"/>
                      <w:lang w:val="en-US" w:eastAsia="zh-CN"/>
                    </w:rPr>
                    <w:t>每年一次</w:t>
                  </w:r>
                </w:p>
              </w:tc>
              <w:tc>
                <w:tcPr>
                  <w:tcW w:w="2401" w:type="pct"/>
                  <w:tcBorders>
                    <w:tl2br w:val="nil"/>
                    <w:tr2bl w:val="nil"/>
                  </w:tcBorders>
                  <w:vAlign w:val="center"/>
                </w:tcPr>
                <w:p w14:paraId="67D95D0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eastAsia="宋体"/>
                      <w:color w:val="auto"/>
                      <w:spacing w:val="8"/>
                      <w:sz w:val="21"/>
                      <w:szCs w:val="21"/>
                      <w:highlight w:val="none"/>
                      <w:u w:val="none" w:color="auto"/>
                      <w:lang w:val="en-US" w:eastAsia="zh-CN"/>
                    </w:rPr>
                  </w:pPr>
                  <w:r>
                    <w:rPr>
                      <w:rFonts w:hint="default" w:ascii="Times New Roman" w:hAnsi="Times New Roman" w:eastAsia="宋体" w:cs="Times New Roman"/>
                      <w:kern w:val="2"/>
                      <w:sz w:val="21"/>
                      <w:szCs w:val="24"/>
                      <w:highlight w:val="none"/>
                      <w:u w:val="none" w:color="auto"/>
                      <w:lang w:val="en-US" w:eastAsia="zh-CN" w:bidi="ar-SA"/>
                    </w:rPr>
                    <w:t>《湖南省工业炉窑大气污染综合治理实施方案》</w:t>
                  </w:r>
                  <w:r>
                    <w:rPr>
                      <w:rFonts w:hint="eastAsia" w:ascii="Times New Roman" w:hAnsi="Times New Roman" w:eastAsia="宋体" w:cs="Times New Roman"/>
                      <w:kern w:val="2"/>
                      <w:sz w:val="21"/>
                      <w:szCs w:val="24"/>
                      <w:highlight w:val="none"/>
                      <w:u w:val="none" w:color="auto"/>
                      <w:lang w:val="en-US" w:eastAsia="zh-CN" w:bidi="ar-SA"/>
                    </w:rPr>
                    <w:t>标准限值</w:t>
                  </w:r>
                </w:p>
              </w:tc>
            </w:tr>
            <w:tr w14:paraId="3A7EE6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8" w:type="pct"/>
                  <w:vMerge w:val="continue"/>
                  <w:tcBorders>
                    <w:tl2br w:val="nil"/>
                    <w:tr2bl w:val="nil"/>
                  </w:tcBorders>
                  <w:vAlign w:val="center"/>
                </w:tcPr>
                <w:p w14:paraId="728A6D8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655" w:type="pct"/>
                  <w:tcBorders>
                    <w:tl2br w:val="nil"/>
                    <w:tr2bl w:val="nil"/>
                  </w:tcBorders>
                  <w:vAlign w:val="center"/>
                </w:tcPr>
                <w:p w14:paraId="08471DD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u w:val="none" w:color="auto"/>
                      <w:lang w:val="en-US" w:eastAsia="zh-CN"/>
                    </w:rPr>
                  </w:pPr>
                  <w:r>
                    <w:rPr>
                      <w:rFonts w:hint="default" w:ascii="Times New Roman" w:hAnsi="Times New Roman" w:eastAsia="宋体" w:cs="Times New Roman"/>
                      <w:color w:val="auto"/>
                      <w:spacing w:val="3"/>
                      <w:sz w:val="21"/>
                      <w:szCs w:val="21"/>
                      <w:highlight w:val="none"/>
                      <w:u w:val="none" w:color="auto"/>
                    </w:rPr>
                    <w:t>厂界</w:t>
                  </w:r>
                </w:p>
              </w:tc>
              <w:tc>
                <w:tcPr>
                  <w:tcW w:w="734" w:type="pct"/>
                  <w:tcBorders>
                    <w:tl2br w:val="nil"/>
                    <w:tr2bl w:val="nil"/>
                  </w:tcBorders>
                  <w:vAlign w:val="center"/>
                </w:tcPr>
                <w:p w14:paraId="24E2EB9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u w:val="none" w:color="auto"/>
                      <w:vertAlign w:val="baseline"/>
                      <w:lang w:val="en-US" w:eastAsia="zh-CN"/>
                    </w:rPr>
                  </w:pPr>
                  <w:r>
                    <w:rPr>
                      <w:rFonts w:hint="eastAsia" w:ascii="Times New Roman" w:hAnsi="Times New Roman" w:cs="Times New Roman"/>
                      <w:color w:val="auto"/>
                      <w:spacing w:val="7"/>
                      <w:sz w:val="21"/>
                      <w:szCs w:val="21"/>
                      <w:highlight w:val="none"/>
                      <w:u w:val="none" w:color="auto"/>
                      <w:lang w:val="en-US" w:eastAsia="zh-CN"/>
                    </w:rPr>
                    <w:t>非甲烷总烃、恶臭</w:t>
                  </w:r>
                </w:p>
              </w:tc>
              <w:tc>
                <w:tcPr>
                  <w:tcW w:w="601" w:type="pct"/>
                  <w:tcBorders>
                    <w:tl2br w:val="nil"/>
                    <w:tr2bl w:val="nil"/>
                  </w:tcBorders>
                  <w:vAlign w:val="center"/>
                </w:tcPr>
                <w:p w14:paraId="211B39C4">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eastAsia"/>
                      <w:color w:val="auto"/>
                      <w:spacing w:val="-1"/>
                      <w:position w:val="1"/>
                      <w:sz w:val="21"/>
                      <w:szCs w:val="21"/>
                      <w:highlight w:val="none"/>
                      <w:u w:val="none" w:color="auto"/>
                      <w:lang w:val="en-US" w:eastAsia="zh-CN"/>
                    </w:rPr>
                    <w:t>每</w:t>
                  </w:r>
                  <w:r>
                    <w:rPr>
                      <w:color w:val="auto"/>
                      <w:spacing w:val="-1"/>
                      <w:position w:val="1"/>
                      <w:sz w:val="21"/>
                      <w:szCs w:val="21"/>
                      <w:highlight w:val="none"/>
                      <w:u w:val="none" w:color="auto"/>
                    </w:rPr>
                    <w:t>年</w:t>
                  </w:r>
                  <w:r>
                    <w:rPr>
                      <w:rFonts w:hint="eastAsia"/>
                      <w:color w:val="auto"/>
                      <w:spacing w:val="-1"/>
                      <w:position w:val="1"/>
                      <w:sz w:val="21"/>
                      <w:szCs w:val="21"/>
                      <w:highlight w:val="none"/>
                      <w:u w:val="none" w:color="auto"/>
                      <w:lang w:val="en-US" w:eastAsia="zh-CN"/>
                    </w:rPr>
                    <w:t>一次</w:t>
                  </w:r>
                </w:p>
              </w:tc>
              <w:tc>
                <w:tcPr>
                  <w:tcW w:w="2401" w:type="pct"/>
                  <w:tcBorders>
                    <w:tl2br w:val="nil"/>
                    <w:tr2bl w:val="nil"/>
                  </w:tcBorders>
                  <w:vAlign w:val="center"/>
                </w:tcPr>
                <w:p w14:paraId="7DDE2ABB">
                  <w:pPr>
                    <w:pStyle w:val="6"/>
                    <w:autoSpaceDE w:val="0"/>
                    <w:autoSpaceDN w:val="0"/>
                    <w:jc w:val="center"/>
                    <w:rPr>
                      <w:rFonts w:hint="default" w:ascii="Times New Roman" w:hAnsi="Times New Roman" w:eastAsia="宋体" w:cs="Times New Roman"/>
                      <w:color w:val="auto"/>
                      <w:sz w:val="21"/>
                      <w:szCs w:val="21"/>
                      <w:highlight w:val="none"/>
                      <w:u w:val="none" w:color="auto"/>
                      <w:lang w:eastAsia="zh-CN"/>
                    </w:rPr>
                  </w:pPr>
                  <w:r>
                    <w:rPr>
                      <w:rFonts w:hint="eastAsia"/>
                      <w:highlight w:val="none"/>
                      <w:u w:val="none" w:color="auto"/>
                      <w:lang w:val="en-US" w:eastAsia="zh-CN"/>
                    </w:rPr>
                    <w:t>《大气污染物综合排放标准》（GB16297-1996）；《恶臭污染物排放标准》（</w:t>
                  </w:r>
                  <w:r>
                    <w:rPr>
                      <w:rFonts w:hint="default"/>
                      <w:highlight w:val="none"/>
                      <w:u w:val="none" w:color="auto"/>
                      <w:lang w:val="en-US" w:eastAsia="zh-CN"/>
                    </w:rPr>
                    <w:t>GB14554-1993</w:t>
                  </w:r>
                  <w:r>
                    <w:rPr>
                      <w:rFonts w:hint="eastAsia"/>
                      <w:highlight w:val="none"/>
                      <w:u w:val="none" w:color="auto"/>
                      <w:lang w:val="en-US" w:eastAsia="zh-CN"/>
                    </w:rPr>
                    <w:t>）</w:t>
                  </w:r>
                  <w:r>
                    <w:rPr>
                      <w:rFonts w:hint="default"/>
                      <w:highlight w:val="none"/>
                      <w:u w:val="none" w:color="auto"/>
                      <w:lang w:val="en-US" w:eastAsia="zh-CN"/>
                    </w:rPr>
                    <w:t>2</w:t>
                  </w:r>
                  <w:r>
                    <w:rPr>
                      <w:rFonts w:hint="eastAsia"/>
                      <w:highlight w:val="none"/>
                      <w:u w:val="none" w:color="auto"/>
                      <w:lang w:val="en-US" w:eastAsia="zh-CN"/>
                    </w:rPr>
                    <w:t>级标准</w:t>
                  </w:r>
                </w:p>
              </w:tc>
            </w:tr>
            <w:tr w14:paraId="71262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8" w:type="pct"/>
                  <w:vMerge w:val="continue"/>
                  <w:tcBorders>
                    <w:tl2br w:val="nil"/>
                    <w:tr2bl w:val="nil"/>
                  </w:tcBorders>
                  <w:vAlign w:val="center"/>
                </w:tcPr>
                <w:p w14:paraId="6536927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655" w:type="pct"/>
                  <w:tcBorders>
                    <w:tl2br w:val="nil"/>
                    <w:tr2bl w:val="nil"/>
                  </w:tcBorders>
                  <w:vAlign w:val="center"/>
                </w:tcPr>
                <w:p w14:paraId="2139964A">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3"/>
                      <w:sz w:val="21"/>
                      <w:szCs w:val="21"/>
                      <w:highlight w:val="none"/>
                      <w:u w:val="none" w:color="auto"/>
                      <w:lang w:val="en-US" w:eastAsia="zh-CN"/>
                    </w:rPr>
                  </w:pPr>
                  <w:r>
                    <w:rPr>
                      <w:rFonts w:hint="eastAsia" w:ascii="Times New Roman" w:hAnsi="Times New Roman" w:cs="Times New Roman"/>
                      <w:color w:val="auto"/>
                      <w:spacing w:val="3"/>
                      <w:sz w:val="21"/>
                      <w:szCs w:val="21"/>
                      <w:highlight w:val="none"/>
                      <w:u w:val="none" w:color="auto"/>
                      <w:lang w:val="en-US" w:eastAsia="zh-CN"/>
                    </w:rPr>
                    <w:t>厂区内</w:t>
                  </w:r>
                </w:p>
              </w:tc>
              <w:tc>
                <w:tcPr>
                  <w:tcW w:w="734" w:type="pct"/>
                  <w:tcBorders>
                    <w:tl2br w:val="nil"/>
                    <w:tr2bl w:val="nil"/>
                  </w:tcBorders>
                  <w:vAlign w:val="center"/>
                </w:tcPr>
                <w:p w14:paraId="5A00C25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pacing w:val="7"/>
                      <w:sz w:val="21"/>
                      <w:szCs w:val="21"/>
                      <w:highlight w:val="none"/>
                      <w:u w:val="none" w:color="auto"/>
                      <w:lang w:val="en-US" w:eastAsia="zh-CN"/>
                    </w:rPr>
                  </w:pPr>
                  <w:r>
                    <w:rPr>
                      <w:rFonts w:hint="eastAsia" w:ascii="Times New Roman" w:hAnsi="Times New Roman" w:cs="Times New Roman"/>
                      <w:color w:val="auto"/>
                      <w:spacing w:val="7"/>
                      <w:sz w:val="21"/>
                      <w:szCs w:val="21"/>
                      <w:highlight w:val="none"/>
                      <w:u w:val="none" w:color="auto"/>
                      <w:lang w:val="en-US" w:eastAsia="zh-CN"/>
                    </w:rPr>
                    <w:t>非甲烷总烃</w:t>
                  </w:r>
                </w:p>
              </w:tc>
              <w:tc>
                <w:tcPr>
                  <w:tcW w:w="601" w:type="pct"/>
                  <w:tcBorders>
                    <w:tl2br w:val="nil"/>
                    <w:tr2bl w:val="nil"/>
                  </w:tcBorders>
                  <w:vAlign w:val="center"/>
                </w:tcPr>
                <w:p w14:paraId="06CDEB40">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olor w:val="auto"/>
                      <w:spacing w:val="-1"/>
                      <w:position w:val="1"/>
                      <w:sz w:val="21"/>
                      <w:szCs w:val="21"/>
                      <w:highlight w:val="none"/>
                      <w:u w:val="none" w:color="auto"/>
                      <w:lang w:val="en-US" w:eastAsia="zh-CN"/>
                    </w:rPr>
                  </w:pPr>
                  <w:r>
                    <w:rPr>
                      <w:rFonts w:hint="eastAsia"/>
                      <w:color w:val="auto"/>
                      <w:spacing w:val="-1"/>
                      <w:position w:val="1"/>
                      <w:sz w:val="21"/>
                      <w:szCs w:val="21"/>
                      <w:highlight w:val="none"/>
                      <w:u w:val="none" w:color="auto"/>
                      <w:lang w:val="en-US" w:eastAsia="zh-CN"/>
                    </w:rPr>
                    <w:t>每半年一次</w:t>
                  </w:r>
                </w:p>
              </w:tc>
              <w:tc>
                <w:tcPr>
                  <w:tcW w:w="2401" w:type="pct"/>
                  <w:tcBorders>
                    <w:tl2br w:val="nil"/>
                    <w:tr2bl w:val="nil"/>
                  </w:tcBorders>
                  <w:vAlign w:val="center"/>
                </w:tcPr>
                <w:p w14:paraId="20EE353F">
                  <w:pPr>
                    <w:pStyle w:val="6"/>
                    <w:autoSpaceDE w:val="0"/>
                    <w:autoSpaceDN w:val="0"/>
                    <w:jc w:val="center"/>
                    <w:rPr>
                      <w:rFonts w:hint="default"/>
                      <w:highlight w:val="none"/>
                      <w:u w:val="none" w:color="auto"/>
                      <w:lang w:eastAsia="zh-CN"/>
                    </w:rPr>
                  </w:pPr>
                  <w:r>
                    <w:rPr>
                      <w:rFonts w:hint="default"/>
                      <w:highlight w:val="none"/>
                      <w:u w:val="none" w:color="auto"/>
                      <w:lang w:eastAsia="zh-CN"/>
                    </w:rPr>
                    <w:t>《挥发性有机物无组织排放控制标准》（</w:t>
                  </w:r>
                  <w:r>
                    <w:rPr>
                      <w:rFonts w:hint="default"/>
                      <w:highlight w:val="none"/>
                      <w:u w:val="none" w:color="auto"/>
                      <w:lang w:val="en-US" w:eastAsia="zh-CN"/>
                    </w:rPr>
                    <w:t>GB37822-2019</w:t>
                  </w:r>
                  <w:r>
                    <w:rPr>
                      <w:rFonts w:hint="default"/>
                      <w:highlight w:val="none"/>
                      <w:u w:val="none" w:color="auto"/>
                      <w:lang w:eastAsia="zh-CN"/>
                    </w:rPr>
                    <w:t>）</w:t>
                  </w:r>
                  <w:r>
                    <w:rPr>
                      <w:rFonts w:hint="default"/>
                      <w:highlight w:val="none"/>
                      <w:u w:val="none" w:color="auto"/>
                      <w:lang w:val="en-US" w:eastAsia="zh-CN"/>
                    </w:rPr>
                    <w:t>附录A表A.1</w:t>
                  </w:r>
                </w:p>
              </w:tc>
            </w:tr>
          </w:tbl>
          <w:p w14:paraId="7F271781">
            <w:pPr>
              <w:pStyle w:val="25"/>
              <w:keepNext w:val="0"/>
              <w:keepLines w:val="0"/>
              <w:pageBreakBefore w:val="0"/>
              <w:widowControl/>
              <w:kinsoku/>
              <w:wordWrap w:val="0"/>
              <w:overflowPunct/>
              <w:topLinePunct/>
              <w:autoSpaceDE/>
              <w:autoSpaceDN/>
              <w:bidi w:val="0"/>
              <w:adjustRightInd/>
              <w:snapToGrid/>
              <w:rPr>
                <w:rFonts w:hint="eastAsia"/>
                <w:b/>
                <w:bCs/>
                <w:highlight w:val="none"/>
                <w:u w:val="none" w:color="auto"/>
                <w:lang w:val="en-US" w:eastAsia="zh-CN"/>
              </w:rPr>
            </w:pPr>
            <w:r>
              <w:rPr>
                <w:rFonts w:hint="eastAsia"/>
                <w:b/>
                <w:bCs/>
                <w:highlight w:val="none"/>
                <w:u w:val="none" w:color="auto"/>
                <w:lang w:val="en-US" w:eastAsia="zh-CN"/>
              </w:rPr>
              <w:t>6、大气环境影响分析</w:t>
            </w:r>
          </w:p>
          <w:p w14:paraId="3F4E094F">
            <w:pPr>
              <w:pStyle w:val="25"/>
              <w:ind w:firstLine="480"/>
              <w:rPr>
                <w:color w:val="auto"/>
                <w:highlight w:val="none"/>
                <w:u w:val="none" w:color="auto"/>
              </w:rPr>
            </w:pPr>
            <w:r>
              <w:rPr>
                <w:color w:val="auto"/>
                <w:highlight w:val="none"/>
                <w:u w:val="none" w:color="auto"/>
              </w:rPr>
              <w:t>根据源强核算分析，运营期废气可达标排放，且污染物排放量较小。根据工程分析可知，本项目各废气排放源均采取相应可行技术进行治理，净化后满足达标排放要求。预计项目建成后不会对其产生明显不利影响。综上，本项目大气环境影响</w:t>
            </w:r>
            <w:r>
              <w:rPr>
                <w:rFonts w:hint="eastAsia"/>
                <w:color w:val="auto"/>
                <w:highlight w:val="none"/>
                <w:u w:val="none" w:color="auto"/>
              </w:rPr>
              <w:t>在可接受水平</w:t>
            </w:r>
            <w:r>
              <w:rPr>
                <w:color w:val="auto"/>
                <w:highlight w:val="none"/>
                <w:u w:val="none" w:color="auto"/>
              </w:rPr>
              <w:t>。</w:t>
            </w:r>
          </w:p>
          <w:p w14:paraId="2773B7BE">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二、废水</w:t>
            </w:r>
          </w:p>
          <w:p w14:paraId="0F30253E">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rPr>
              <w:t>1</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废水排放源强</w:t>
            </w:r>
          </w:p>
          <w:p w14:paraId="46BC6016">
            <w:pPr>
              <w:pStyle w:val="25"/>
              <w:keepNext w:val="0"/>
              <w:keepLines w:val="0"/>
              <w:pageBreakBefore w:val="0"/>
              <w:widowControl/>
              <w:kinsoku/>
              <w:wordWrap w:val="0"/>
              <w:overflowPunct/>
              <w:topLinePunct/>
              <w:autoSpaceDE/>
              <w:autoSpaceDN/>
              <w:bidi w:val="0"/>
              <w:adjustRightInd/>
              <w:snapToGrid/>
              <w:rPr>
                <w:rFonts w:hint="eastAsia"/>
                <w:highlight w:val="none"/>
                <w:u w:val="none" w:color="auto"/>
                <w:lang w:eastAsia="zh-CN"/>
              </w:rPr>
            </w:pPr>
            <w:r>
              <w:rPr>
                <w:rFonts w:hint="default"/>
                <w:highlight w:val="none"/>
                <w:u w:val="none" w:color="auto"/>
              </w:rPr>
              <w:t>项目运营期产生的</w:t>
            </w:r>
            <w:r>
              <w:rPr>
                <w:rFonts w:hint="eastAsia"/>
                <w:highlight w:val="none"/>
                <w:u w:val="none" w:color="auto"/>
                <w:lang w:val="en-US" w:eastAsia="zh-CN"/>
              </w:rPr>
              <w:t>用水为</w:t>
            </w:r>
            <w:r>
              <w:rPr>
                <w:rFonts w:hint="default"/>
                <w:highlight w:val="none"/>
                <w:u w:val="none" w:color="auto"/>
                <w:lang w:val="en-US" w:eastAsia="zh-CN"/>
              </w:rPr>
              <w:t>生活用水</w:t>
            </w:r>
            <w:r>
              <w:rPr>
                <w:rFonts w:hint="eastAsia"/>
                <w:highlight w:val="none"/>
                <w:u w:val="none" w:color="auto"/>
                <w:lang w:val="en-US" w:eastAsia="zh-CN"/>
              </w:rPr>
              <w:t>和水膜除尘用水。</w:t>
            </w:r>
          </w:p>
          <w:p w14:paraId="6B13AB9D">
            <w:pPr>
              <w:pStyle w:val="25"/>
              <w:bidi w:val="0"/>
              <w:rPr>
                <w:rFonts w:hint="eastAsia"/>
                <w:highlight w:val="none"/>
                <w:u w:val="none" w:color="auto"/>
                <w:lang w:val="en-US" w:eastAsia="zh-CN"/>
              </w:rPr>
            </w:pPr>
            <w:r>
              <w:rPr>
                <w:rFonts w:hint="default"/>
                <w:highlight w:val="none"/>
                <w:u w:val="none" w:color="auto"/>
              </w:rPr>
              <w:t>生活</w:t>
            </w:r>
            <w:r>
              <w:rPr>
                <w:rFonts w:hint="eastAsia"/>
                <w:highlight w:val="none"/>
                <w:u w:val="none" w:color="auto"/>
                <w:lang w:val="en-US" w:eastAsia="zh-CN"/>
              </w:rPr>
              <w:t>污水</w:t>
            </w:r>
            <w:r>
              <w:rPr>
                <w:rFonts w:hint="default"/>
                <w:highlight w:val="none"/>
                <w:u w:val="none" w:color="auto"/>
              </w:rPr>
              <w:t>：</w:t>
            </w:r>
            <w:r>
              <w:rPr>
                <w:rFonts w:hint="eastAsia"/>
                <w:highlight w:val="none"/>
                <w:u w:val="none" w:color="auto"/>
                <w:lang w:val="en-US" w:eastAsia="zh-CN"/>
              </w:rPr>
              <w:t>根据水平衡分析，</w:t>
            </w:r>
            <w:r>
              <w:rPr>
                <w:rFonts w:hint="default"/>
                <w:highlight w:val="none"/>
                <w:u w:val="none" w:color="auto"/>
              </w:rPr>
              <w:t>生活污水排放量为</w:t>
            </w:r>
            <w:r>
              <w:rPr>
                <w:rStyle w:val="35"/>
                <w:highlight w:val="none"/>
                <w:u w:val="none" w:color="auto"/>
              </w:rPr>
              <w:t>0.51</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/d（</w:t>
            </w:r>
            <w:r>
              <w:rPr>
                <w:rStyle w:val="35"/>
                <w:highlight w:val="none"/>
                <w:u w:val="none" w:color="auto"/>
              </w:rPr>
              <w:t>152</w:t>
            </w:r>
            <w:r>
              <w:rPr>
                <w:rFonts w:hint="default" w:ascii="Times New Roman" w:hAnsi="Times New Roman" w:cs="Times New Roman"/>
                <w:color w:val="auto"/>
                <w:sz w:val="24"/>
                <w:highlight w:val="none"/>
                <w:u w:val="none" w:color="auto"/>
                <w:lang w:eastAsia="zh-CN"/>
              </w:rPr>
              <w:t>m</w:t>
            </w:r>
            <w:r>
              <w:rPr>
                <w:rFonts w:hint="default" w:ascii="Times New Roman" w:hAnsi="Times New Roman" w:cs="Times New Roman"/>
                <w:color w:val="auto"/>
                <w:sz w:val="24"/>
                <w:highlight w:val="none"/>
                <w:u w:val="none" w:color="auto"/>
                <w:vertAlign w:val="superscript"/>
                <w:lang w:eastAsia="zh-CN"/>
              </w:rPr>
              <w:t>3</w:t>
            </w:r>
            <w:r>
              <w:rPr>
                <w:rFonts w:hint="default" w:ascii="Times New Roman" w:hAnsi="Times New Roman" w:cs="Times New Roman"/>
                <w:color w:val="auto"/>
                <w:sz w:val="24"/>
                <w:highlight w:val="none"/>
                <w:u w:val="none" w:color="auto"/>
                <w:lang w:eastAsia="zh-CN"/>
              </w:rPr>
              <w:t>/a）</w:t>
            </w:r>
            <w:r>
              <w:rPr>
                <w:rFonts w:hint="default"/>
                <w:highlight w:val="none"/>
                <w:u w:val="none" w:color="auto"/>
                <w:lang w:eastAsia="zh-CN"/>
              </w:rPr>
              <w:t>。</w:t>
            </w:r>
            <w:r>
              <w:rPr>
                <w:rFonts w:hint="default"/>
                <w:highlight w:val="none"/>
                <w:u w:val="none" w:color="auto"/>
              </w:rPr>
              <w:t>主要污染物为COD、BOD</w:t>
            </w:r>
            <w:r>
              <w:rPr>
                <w:rFonts w:hint="default"/>
                <w:highlight w:val="none"/>
                <w:u w:val="none" w:color="auto"/>
                <w:vertAlign w:val="subscript"/>
              </w:rPr>
              <w:t>5</w:t>
            </w:r>
            <w:r>
              <w:rPr>
                <w:rFonts w:hint="default"/>
                <w:highlight w:val="none"/>
                <w:u w:val="none" w:color="auto"/>
              </w:rPr>
              <w:t>、SS、氨氮</w:t>
            </w:r>
            <w:r>
              <w:rPr>
                <w:rFonts w:hint="eastAsia"/>
                <w:highlight w:val="none"/>
                <w:u w:val="none" w:color="auto"/>
                <w:lang w:eastAsia="zh-CN"/>
              </w:rPr>
              <w:t>、</w:t>
            </w:r>
            <w:r>
              <w:rPr>
                <w:rFonts w:hint="eastAsia"/>
                <w:highlight w:val="none"/>
                <w:u w:val="none" w:color="auto"/>
                <w:lang w:val="en-US" w:eastAsia="zh-CN"/>
              </w:rPr>
              <w:t>总氮、总磷</w:t>
            </w:r>
            <w:r>
              <w:rPr>
                <w:rFonts w:hint="default"/>
                <w:highlight w:val="none"/>
                <w:u w:val="none" w:color="auto"/>
              </w:rPr>
              <w:t>等</w:t>
            </w:r>
            <w:r>
              <w:rPr>
                <w:rFonts w:hint="eastAsia"/>
                <w:highlight w:val="none"/>
                <w:u w:val="none" w:color="auto"/>
                <w:lang w:eastAsia="zh-CN"/>
              </w:rPr>
              <w:t>，</w:t>
            </w:r>
            <w:r>
              <w:rPr>
                <w:rFonts w:hint="default"/>
                <w:highlight w:val="none"/>
                <w:u w:val="none" w:color="auto"/>
              </w:rPr>
              <w:t>根据查阅相关资料，</w:t>
            </w:r>
            <w:r>
              <w:rPr>
                <w:rFonts w:hint="eastAsia"/>
                <w:highlight w:val="none"/>
                <w:u w:val="none" w:color="auto"/>
                <w:lang w:eastAsia="zh-CN"/>
              </w:rPr>
              <w:t>三级化粪池</w:t>
            </w:r>
            <w:r>
              <w:rPr>
                <w:rFonts w:hint="default"/>
                <w:highlight w:val="none"/>
                <w:u w:val="none" w:color="auto"/>
              </w:rPr>
              <w:t>对COD、SS、BOD</w:t>
            </w:r>
            <w:r>
              <w:rPr>
                <w:rFonts w:hint="default"/>
                <w:highlight w:val="none"/>
                <w:u w:val="none" w:color="auto"/>
                <w:vertAlign w:val="subscript"/>
              </w:rPr>
              <w:t>5</w:t>
            </w:r>
            <w:r>
              <w:rPr>
                <w:rFonts w:hint="default"/>
                <w:highlight w:val="none"/>
                <w:u w:val="none" w:color="auto"/>
              </w:rPr>
              <w:t>、氨氮</w:t>
            </w:r>
            <w:r>
              <w:rPr>
                <w:rFonts w:hint="default"/>
                <w:highlight w:val="none"/>
                <w:u w:val="none" w:color="auto"/>
                <w:lang w:eastAsia="zh-CN"/>
              </w:rPr>
              <w:t>、</w:t>
            </w:r>
            <w:r>
              <w:rPr>
                <w:rFonts w:hint="default"/>
                <w:highlight w:val="none"/>
                <w:u w:val="none" w:color="auto"/>
              </w:rPr>
              <w:t>总氮、总磷的去除率分别为</w:t>
            </w:r>
            <w:r>
              <w:rPr>
                <w:rFonts w:hint="eastAsia"/>
                <w:highlight w:val="none"/>
                <w:u w:val="none" w:color="auto"/>
                <w:lang w:val="en-US" w:eastAsia="zh-CN"/>
              </w:rPr>
              <w:t>30</w:t>
            </w:r>
            <w:r>
              <w:rPr>
                <w:rFonts w:hint="default"/>
                <w:highlight w:val="none"/>
                <w:u w:val="none" w:color="auto"/>
              </w:rPr>
              <w:t>%、</w:t>
            </w:r>
            <w:r>
              <w:rPr>
                <w:rFonts w:hint="eastAsia"/>
                <w:highlight w:val="none"/>
                <w:u w:val="none" w:color="auto"/>
                <w:lang w:val="en-US" w:eastAsia="zh-CN"/>
              </w:rPr>
              <w:t>20</w:t>
            </w:r>
            <w:r>
              <w:rPr>
                <w:rFonts w:hint="default"/>
                <w:highlight w:val="none"/>
                <w:u w:val="none" w:color="auto"/>
              </w:rPr>
              <w:t>%、9%、3%、3%、5%</w:t>
            </w:r>
            <w:r>
              <w:rPr>
                <w:rFonts w:hint="eastAsia"/>
                <w:highlight w:val="none"/>
                <w:u w:val="none" w:color="auto"/>
                <w:lang w:eastAsia="zh-CN"/>
              </w:rPr>
              <w:t>，</w:t>
            </w:r>
            <w:r>
              <w:rPr>
                <w:rFonts w:hint="eastAsia"/>
                <w:highlight w:val="none"/>
                <w:u w:val="none" w:color="auto"/>
                <w:lang w:val="en-US" w:eastAsia="zh-CN"/>
              </w:rPr>
              <w:t>参考《排放源统计调查产排污核算方法和系数手册》（</w:t>
            </w:r>
            <w:r>
              <w:rPr>
                <w:rFonts w:hint="default"/>
                <w:highlight w:val="none"/>
                <w:u w:val="none" w:color="auto"/>
                <w:lang w:val="en-US" w:eastAsia="zh-CN"/>
              </w:rPr>
              <w:t>2021</w:t>
            </w:r>
            <w:r>
              <w:rPr>
                <w:rFonts w:hint="eastAsia"/>
                <w:highlight w:val="none"/>
                <w:u w:val="none" w:color="auto"/>
                <w:lang w:val="en-US" w:eastAsia="zh-CN"/>
              </w:rPr>
              <w:t>年版）</w:t>
            </w:r>
            <w:r>
              <w:rPr>
                <w:rFonts w:hint="default"/>
                <w:highlight w:val="none"/>
                <w:u w:val="none" w:color="auto"/>
                <w:lang w:val="en-US" w:eastAsia="zh-CN"/>
              </w:rPr>
              <w:t>——</w:t>
            </w:r>
            <w:r>
              <w:rPr>
                <w:rFonts w:hint="eastAsia"/>
                <w:highlight w:val="none"/>
                <w:u w:val="none" w:color="auto"/>
                <w:lang w:val="en-US" w:eastAsia="zh-CN"/>
              </w:rPr>
              <w:t>《生活污染源产排污系数手册》中的表</w:t>
            </w:r>
            <w:r>
              <w:rPr>
                <w:rFonts w:hint="default"/>
                <w:highlight w:val="none"/>
                <w:u w:val="none" w:color="auto"/>
                <w:lang w:val="en-US" w:eastAsia="zh-CN"/>
              </w:rPr>
              <w:t>1-1</w:t>
            </w:r>
            <w:r>
              <w:rPr>
                <w:rFonts w:hint="eastAsia"/>
                <w:highlight w:val="none"/>
                <w:u w:val="none" w:color="auto"/>
                <w:lang w:val="en-US" w:eastAsia="zh-CN"/>
              </w:rPr>
              <w:t>，湖南属于五区，主要污染物浓度</w:t>
            </w:r>
            <w:r>
              <w:rPr>
                <w:rFonts w:hint="default"/>
                <w:highlight w:val="none"/>
                <w:u w:val="none" w:color="auto"/>
                <w:lang w:val="en-US" w:eastAsia="zh-CN"/>
              </w:rPr>
              <w:t>CODcr</w:t>
            </w:r>
            <w:r>
              <w:rPr>
                <w:rFonts w:hint="eastAsia"/>
                <w:highlight w:val="none"/>
                <w:u w:val="none" w:color="auto"/>
                <w:lang w:val="en-US" w:eastAsia="zh-CN"/>
              </w:rPr>
              <w:t>：</w:t>
            </w:r>
            <w:r>
              <w:rPr>
                <w:rFonts w:hint="default"/>
                <w:highlight w:val="none"/>
                <w:u w:val="none" w:color="auto"/>
                <w:lang w:val="en-US" w:eastAsia="zh-CN"/>
              </w:rPr>
              <w:t>285mg/L</w:t>
            </w:r>
            <w:r>
              <w:rPr>
                <w:rFonts w:hint="eastAsia"/>
                <w:highlight w:val="none"/>
                <w:u w:val="none" w:color="auto"/>
                <w:lang w:val="en-US" w:eastAsia="zh-CN"/>
              </w:rPr>
              <w:t>、</w:t>
            </w:r>
            <w:r>
              <w:rPr>
                <w:rFonts w:hint="default"/>
                <w:highlight w:val="none"/>
                <w:u w:val="none" w:color="auto"/>
                <w:lang w:val="en-US" w:eastAsia="zh-CN"/>
              </w:rPr>
              <w:t>BOD</w:t>
            </w:r>
            <w:r>
              <w:rPr>
                <w:rFonts w:hint="default"/>
                <w:highlight w:val="none"/>
                <w:u w:val="none" w:color="auto"/>
                <w:vertAlign w:val="subscript"/>
                <w:lang w:val="en-US" w:eastAsia="zh-CN"/>
              </w:rPr>
              <w:t>5</w:t>
            </w:r>
            <w:r>
              <w:rPr>
                <w:rFonts w:hint="eastAsia"/>
                <w:highlight w:val="none"/>
                <w:u w:val="none" w:color="auto"/>
                <w:lang w:val="en-US" w:eastAsia="zh-CN"/>
              </w:rPr>
              <w:t>：</w:t>
            </w:r>
            <w:r>
              <w:rPr>
                <w:rFonts w:hint="default"/>
                <w:highlight w:val="none"/>
                <w:u w:val="none" w:color="auto"/>
                <w:lang w:val="en-US" w:eastAsia="zh-CN"/>
              </w:rPr>
              <w:t>1</w:t>
            </w:r>
            <w:r>
              <w:rPr>
                <w:rFonts w:hint="eastAsia"/>
                <w:highlight w:val="none"/>
                <w:u w:val="none" w:color="auto"/>
                <w:lang w:val="en-US" w:eastAsia="zh-CN"/>
              </w:rPr>
              <w:t>5</w:t>
            </w:r>
            <w:r>
              <w:rPr>
                <w:rFonts w:hint="default"/>
                <w:highlight w:val="none"/>
                <w:u w:val="none" w:color="auto"/>
                <w:lang w:val="en-US" w:eastAsia="zh-CN"/>
              </w:rPr>
              <w:t>0mg/L</w:t>
            </w:r>
            <w:r>
              <w:rPr>
                <w:rFonts w:hint="eastAsia"/>
                <w:highlight w:val="none"/>
                <w:u w:val="none" w:color="auto"/>
                <w:lang w:val="en-US" w:eastAsia="zh-CN"/>
              </w:rPr>
              <w:t>、</w:t>
            </w:r>
            <w:r>
              <w:rPr>
                <w:rFonts w:hint="default"/>
                <w:highlight w:val="none"/>
                <w:u w:val="none" w:color="auto"/>
                <w:lang w:val="en-US" w:eastAsia="zh-CN"/>
              </w:rPr>
              <w:t>SS</w:t>
            </w:r>
            <w:r>
              <w:rPr>
                <w:rFonts w:hint="eastAsia"/>
                <w:highlight w:val="none"/>
                <w:u w:val="none" w:color="auto"/>
                <w:lang w:val="en-US" w:eastAsia="zh-CN"/>
              </w:rPr>
              <w:t>：</w:t>
            </w:r>
            <w:r>
              <w:rPr>
                <w:rFonts w:hint="default"/>
                <w:highlight w:val="none"/>
                <w:u w:val="none" w:color="auto"/>
                <w:lang w:val="en-US" w:eastAsia="zh-CN"/>
              </w:rPr>
              <w:t>1</w:t>
            </w:r>
            <w:r>
              <w:rPr>
                <w:rFonts w:hint="eastAsia"/>
                <w:highlight w:val="none"/>
                <w:u w:val="none" w:color="auto"/>
                <w:lang w:val="en-US" w:eastAsia="zh-CN"/>
              </w:rPr>
              <w:t>8</w:t>
            </w:r>
            <w:r>
              <w:rPr>
                <w:rFonts w:hint="default"/>
                <w:highlight w:val="none"/>
                <w:u w:val="none" w:color="auto"/>
                <w:lang w:val="en-US" w:eastAsia="zh-CN"/>
              </w:rPr>
              <w:t>0mg/L</w:t>
            </w:r>
            <w:r>
              <w:rPr>
                <w:rFonts w:hint="eastAsia"/>
                <w:highlight w:val="none"/>
                <w:u w:val="none" w:color="auto"/>
                <w:lang w:val="en-US" w:eastAsia="zh-CN"/>
              </w:rPr>
              <w:t>、</w:t>
            </w:r>
            <w:r>
              <w:rPr>
                <w:rFonts w:hint="default"/>
                <w:highlight w:val="none"/>
                <w:u w:val="none" w:color="auto"/>
                <w:lang w:val="en-US" w:eastAsia="zh-CN"/>
              </w:rPr>
              <w:t>NH</w:t>
            </w:r>
            <w:r>
              <w:rPr>
                <w:rFonts w:hint="default"/>
                <w:highlight w:val="none"/>
                <w:u w:val="none" w:color="auto"/>
                <w:vertAlign w:val="subscript"/>
                <w:lang w:val="en-US" w:eastAsia="zh-CN"/>
              </w:rPr>
              <w:t>3</w:t>
            </w:r>
            <w:r>
              <w:rPr>
                <w:rFonts w:hint="default"/>
                <w:highlight w:val="none"/>
                <w:u w:val="none" w:color="auto"/>
                <w:lang w:val="en-US" w:eastAsia="zh-CN"/>
              </w:rPr>
              <w:t>-N</w:t>
            </w:r>
            <w:r>
              <w:rPr>
                <w:rFonts w:hint="eastAsia"/>
                <w:highlight w:val="none"/>
                <w:u w:val="none" w:color="auto"/>
                <w:lang w:val="en-US" w:eastAsia="zh-CN"/>
              </w:rPr>
              <w:t>：</w:t>
            </w:r>
            <w:r>
              <w:rPr>
                <w:rFonts w:hint="default"/>
                <w:highlight w:val="none"/>
                <w:u w:val="none" w:color="auto"/>
                <w:lang w:val="en-US" w:eastAsia="zh-CN"/>
              </w:rPr>
              <w:t>28.3mg/L</w:t>
            </w:r>
            <w:r>
              <w:rPr>
                <w:rFonts w:hint="eastAsia"/>
                <w:highlight w:val="none"/>
                <w:u w:val="none" w:color="auto"/>
                <w:lang w:val="en-US" w:eastAsia="zh-CN"/>
              </w:rPr>
              <w:t>、总氮：39.4</w:t>
            </w:r>
            <w:r>
              <w:rPr>
                <w:rFonts w:hint="default"/>
                <w:highlight w:val="none"/>
                <w:u w:val="none" w:color="auto"/>
                <w:lang w:val="en-US" w:eastAsia="zh-CN"/>
              </w:rPr>
              <w:t>mg/L</w:t>
            </w:r>
            <w:r>
              <w:rPr>
                <w:rFonts w:hint="eastAsia"/>
                <w:highlight w:val="none"/>
                <w:u w:val="none" w:color="auto"/>
                <w:lang w:val="en-US" w:eastAsia="zh-CN"/>
              </w:rPr>
              <w:t>、总磷：4.10</w:t>
            </w:r>
            <w:r>
              <w:rPr>
                <w:rFonts w:hint="default"/>
                <w:highlight w:val="none"/>
                <w:u w:val="none" w:color="auto"/>
                <w:lang w:val="en-US" w:eastAsia="zh-CN"/>
              </w:rPr>
              <w:t>mg/L</w:t>
            </w:r>
            <w:r>
              <w:rPr>
                <w:rFonts w:hint="eastAsia"/>
                <w:highlight w:val="none"/>
                <w:u w:val="none" w:color="auto"/>
                <w:lang w:val="en-US" w:eastAsia="zh-CN"/>
              </w:rPr>
              <w:t>。生活污水经</w:t>
            </w:r>
            <w:r>
              <w:rPr>
                <w:rFonts w:hint="eastAsia"/>
                <w:highlight w:val="none"/>
                <w:u w:val="none" w:color="auto"/>
                <w:lang w:eastAsia="zh-CN"/>
              </w:rPr>
              <w:t>三级化粪池</w:t>
            </w:r>
            <w:r>
              <w:rPr>
                <w:rFonts w:hint="eastAsia"/>
                <w:highlight w:val="none"/>
                <w:u w:val="none" w:color="auto"/>
                <w:lang w:val="en-US" w:eastAsia="zh-CN"/>
              </w:rPr>
              <w:t>处理后用作农肥。</w:t>
            </w:r>
          </w:p>
          <w:p w14:paraId="7920D518">
            <w:pPr>
              <w:pStyle w:val="25"/>
              <w:bidi w:val="0"/>
              <w:rPr>
                <w:rFonts w:hint="eastAsia" w:eastAsia="宋体"/>
                <w:highlight w:val="none"/>
                <w:u w:val="none" w:color="auto"/>
                <w:lang w:val="en-US" w:eastAsia="zh-CN"/>
              </w:rPr>
            </w:pPr>
            <w:r>
              <w:rPr>
                <w:rFonts w:hint="eastAsia"/>
                <w:highlight w:val="none"/>
                <w:u w:val="none" w:color="auto"/>
                <w:lang w:val="en-US" w:eastAsia="zh-CN"/>
              </w:rPr>
              <w:t>水膜除尘用水：</w:t>
            </w:r>
            <w:r>
              <w:rPr>
                <w:rFonts w:hint="eastAsia" w:ascii="Times New Roman" w:hAnsi="Times New Roman" w:cs="Times New Roman"/>
                <w:color w:val="auto"/>
                <w:sz w:val="24"/>
                <w:highlight w:val="none"/>
                <w:u w:val="none" w:color="auto"/>
                <w:lang w:val="en-US" w:eastAsia="zh-CN"/>
              </w:rPr>
              <w:t>根据</w:t>
            </w:r>
            <w:r>
              <w:rPr>
                <w:rFonts w:hint="eastAsia" w:cs="Times New Roman"/>
                <w:color w:val="auto"/>
                <w:sz w:val="24"/>
                <w:highlight w:val="none"/>
                <w:u w:val="none" w:color="auto"/>
                <w:lang w:val="en-US" w:eastAsia="zh-CN"/>
              </w:rPr>
              <w:t>前文</w:t>
            </w:r>
            <w:r>
              <w:rPr>
                <w:rFonts w:hint="eastAsia" w:ascii="Times New Roman" w:hAnsi="Times New Roman" w:cs="Times New Roman"/>
                <w:color w:val="auto"/>
                <w:sz w:val="24"/>
                <w:highlight w:val="none"/>
                <w:u w:val="none" w:color="auto"/>
                <w:lang w:val="en-US" w:eastAsia="zh-CN"/>
              </w:rPr>
              <w:t>水平衡分析，</w:t>
            </w:r>
            <w:r>
              <w:rPr>
                <w:highlight w:val="none"/>
                <w:u w:val="none" w:color="auto"/>
              </w:rPr>
              <w:t>系统日常总补充水量约为</w:t>
            </w:r>
            <w:r>
              <w:rPr>
                <w:rFonts w:hint="eastAsia"/>
                <w:highlight w:val="none"/>
                <w:u w:val="none" w:color="auto"/>
                <w:lang w:val="en-US" w:eastAsia="zh-CN"/>
              </w:rPr>
              <w:t>1.2863</w:t>
            </w:r>
            <w:r>
              <w:rPr>
                <w:rFonts w:hint="default"/>
                <w:highlight w:val="none"/>
                <w:u w:val="none" w:color="auto"/>
              </w:rPr>
              <w:t>m</w:t>
            </w:r>
            <w:r>
              <w:rPr>
                <w:rFonts w:hint="eastAsia"/>
                <w:highlight w:val="none"/>
                <w:u w:val="none" w:color="auto"/>
                <w:vertAlign w:val="superscript"/>
                <w:lang w:val="en-US" w:eastAsia="zh-CN"/>
              </w:rPr>
              <w:t>3</w:t>
            </w:r>
            <w:r>
              <w:rPr>
                <w:rFonts w:hint="default"/>
                <w:highlight w:val="none"/>
                <w:u w:val="none" w:color="auto"/>
              </w:rPr>
              <w:t>/d。</w:t>
            </w:r>
          </w:p>
          <w:p w14:paraId="068497FC">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color w:val="auto"/>
                <w:szCs w:val="22"/>
                <w:highlight w:val="none"/>
                <w:u w:val="none" w:color="auto"/>
                <w:lang w:val="en-US" w:eastAsia="zh-CN" w:bidi="ar-SA"/>
              </w:rPr>
            </w:pPr>
            <w:r>
              <w:rPr>
                <w:rFonts w:hint="default"/>
                <w:b/>
                <w:bCs/>
                <w:highlight w:val="none"/>
                <w:u w:val="none" w:color="auto"/>
                <w:lang w:val="en-US" w:eastAsia="zh-CN"/>
              </w:rPr>
              <w:t>表4-</w:t>
            </w:r>
            <w:r>
              <w:rPr>
                <w:rFonts w:hint="eastAsia"/>
                <w:b/>
                <w:bCs/>
                <w:highlight w:val="none"/>
                <w:u w:val="none" w:color="auto"/>
                <w:lang w:val="en-US" w:eastAsia="zh-CN"/>
              </w:rPr>
              <w:t xml:space="preserve">12   </w:t>
            </w:r>
            <w:r>
              <w:rPr>
                <w:rFonts w:ascii="Segoe UI" w:hAnsi="Segoe UI" w:eastAsia="Segoe UI" w:cs="Segoe UI"/>
                <w:b/>
                <w:bCs/>
                <w:i w:val="0"/>
                <w:iCs w:val="0"/>
                <w:caps w:val="0"/>
                <w:color w:val="0F1115"/>
                <w:spacing w:val="0"/>
                <w:sz w:val="21"/>
                <w:szCs w:val="21"/>
                <w:shd w:val="clear" w:fill="FFFFFF"/>
              </w:rPr>
              <w:t>废水污染物产生及处置情况一览表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81"/>
              <w:gridCol w:w="467"/>
              <w:gridCol w:w="596"/>
              <w:gridCol w:w="913"/>
              <w:gridCol w:w="821"/>
              <w:gridCol w:w="754"/>
              <w:gridCol w:w="838"/>
              <w:gridCol w:w="684"/>
              <w:gridCol w:w="539"/>
              <w:gridCol w:w="920"/>
              <w:gridCol w:w="952"/>
            </w:tblGrid>
            <w:tr w14:paraId="400FC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02" w:type="pct"/>
                  <w:vMerge w:val="restart"/>
                  <w:tcBorders>
                    <w:tl2br w:val="nil"/>
                    <w:tr2bl w:val="nil"/>
                  </w:tcBorders>
                  <w:vAlign w:val="center"/>
                </w:tcPr>
                <w:p w14:paraId="46407739">
                  <w:pPr>
                    <w:pStyle w:val="30"/>
                    <w:autoSpaceDE w:val="0"/>
                    <w:autoSpaceDN w:val="0"/>
                    <w:bidi w:val="0"/>
                    <w:jc w:val="center"/>
                    <w:rPr>
                      <w:rFonts w:hint="default"/>
                      <w:b/>
                      <w:bCs/>
                      <w:highlight w:val="none"/>
                      <w:u w:val="none" w:color="auto"/>
                      <w:lang w:val="en-US" w:eastAsia="zh-CN"/>
                    </w:rPr>
                  </w:pPr>
                  <w:r>
                    <w:rPr>
                      <w:rFonts w:hint="eastAsia"/>
                      <w:b/>
                      <w:bCs/>
                      <w:highlight w:val="none"/>
                      <w:u w:val="none" w:color="auto"/>
                      <w:lang w:val="en-US" w:eastAsia="zh-CN"/>
                    </w:rPr>
                    <w:t>产排污环节</w:t>
                  </w:r>
                </w:p>
              </w:tc>
              <w:tc>
                <w:tcPr>
                  <w:tcW w:w="293" w:type="pct"/>
                  <w:vMerge w:val="restart"/>
                  <w:tcBorders>
                    <w:tl2br w:val="nil"/>
                    <w:tr2bl w:val="nil"/>
                  </w:tcBorders>
                  <w:vAlign w:val="center"/>
                </w:tcPr>
                <w:p w14:paraId="533CCC23">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类别</w:t>
                  </w:r>
                </w:p>
              </w:tc>
              <w:tc>
                <w:tcPr>
                  <w:tcW w:w="374" w:type="pct"/>
                  <w:vMerge w:val="restart"/>
                  <w:tcBorders>
                    <w:tl2br w:val="nil"/>
                    <w:tr2bl w:val="nil"/>
                  </w:tcBorders>
                  <w:vAlign w:val="center"/>
                </w:tcPr>
                <w:p w14:paraId="7A1EE481">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污染物</w:t>
                  </w:r>
                </w:p>
                <w:p w14:paraId="67041D2E">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种类</w:t>
                  </w:r>
                </w:p>
              </w:tc>
              <w:tc>
                <w:tcPr>
                  <w:tcW w:w="1088" w:type="pct"/>
                  <w:gridSpan w:val="2"/>
                  <w:tcBorders>
                    <w:tl2br w:val="nil"/>
                    <w:tr2bl w:val="nil"/>
                  </w:tcBorders>
                  <w:vAlign w:val="center"/>
                </w:tcPr>
                <w:p w14:paraId="7CACAF0C">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污染物产生情况</w:t>
                  </w:r>
                </w:p>
              </w:tc>
              <w:tc>
                <w:tcPr>
                  <w:tcW w:w="473" w:type="pct"/>
                  <w:vMerge w:val="restart"/>
                  <w:tcBorders>
                    <w:tl2br w:val="nil"/>
                    <w:tr2bl w:val="nil"/>
                  </w:tcBorders>
                  <w:vAlign w:val="center"/>
                </w:tcPr>
                <w:p w14:paraId="76963E9D">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废水排放量</w:t>
                  </w:r>
                </w:p>
                <w:p w14:paraId="40B0FB16">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（t/a）</w:t>
                  </w:r>
                </w:p>
              </w:tc>
              <w:tc>
                <w:tcPr>
                  <w:tcW w:w="1293" w:type="pct"/>
                  <w:gridSpan w:val="3"/>
                  <w:tcBorders>
                    <w:tl2br w:val="nil"/>
                    <w:tr2bl w:val="nil"/>
                  </w:tcBorders>
                  <w:vAlign w:val="center"/>
                </w:tcPr>
                <w:p w14:paraId="2071BB2A">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治理设施情况</w:t>
                  </w:r>
                </w:p>
              </w:tc>
              <w:tc>
                <w:tcPr>
                  <w:tcW w:w="1174" w:type="pct"/>
                  <w:gridSpan w:val="2"/>
                  <w:tcBorders>
                    <w:tl2br w:val="nil"/>
                    <w:tr2bl w:val="nil"/>
                  </w:tcBorders>
                  <w:vAlign w:val="center"/>
                </w:tcPr>
                <w:p w14:paraId="6783416C">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污染物排放情况</w:t>
                  </w:r>
                </w:p>
                <w:p w14:paraId="75C26327">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（出厂量）</w:t>
                  </w:r>
                </w:p>
              </w:tc>
            </w:tr>
            <w:tr w14:paraId="3345E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302" w:type="pct"/>
                  <w:vMerge w:val="continue"/>
                  <w:tcBorders>
                    <w:tl2br w:val="nil"/>
                    <w:tr2bl w:val="nil"/>
                  </w:tcBorders>
                  <w:vAlign w:val="center"/>
                </w:tcPr>
                <w:p w14:paraId="5B9C193F">
                  <w:pPr>
                    <w:pStyle w:val="30"/>
                    <w:autoSpaceDE w:val="0"/>
                    <w:autoSpaceDN w:val="0"/>
                    <w:bidi w:val="0"/>
                    <w:jc w:val="center"/>
                    <w:rPr>
                      <w:rFonts w:hint="default"/>
                      <w:b/>
                      <w:bCs/>
                      <w:highlight w:val="none"/>
                      <w:u w:val="none" w:color="auto"/>
                    </w:rPr>
                  </w:pPr>
                </w:p>
              </w:tc>
              <w:tc>
                <w:tcPr>
                  <w:tcW w:w="293" w:type="pct"/>
                  <w:vMerge w:val="continue"/>
                  <w:tcBorders>
                    <w:tl2br w:val="nil"/>
                    <w:tr2bl w:val="nil"/>
                  </w:tcBorders>
                  <w:vAlign w:val="center"/>
                </w:tcPr>
                <w:p w14:paraId="2F976E98">
                  <w:pPr>
                    <w:pStyle w:val="30"/>
                    <w:autoSpaceDE w:val="0"/>
                    <w:autoSpaceDN w:val="0"/>
                    <w:bidi w:val="0"/>
                    <w:jc w:val="center"/>
                    <w:rPr>
                      <w:rFonts w:hint="default"/>
                      <w:b/>
                      <w:bCs/>
                      <w:highlight w:val="none"/>
                      <w:u w:val="none" w:color="auto"/>
                    </w:rPr>
                  </w:pPr>
                </w:p>
              </w:tc>
              <w:tc>
                <w:tcPr>
                  <w:tcW w:w="374" w:type="pct"/>
                  <w:vMerge w:val="continue"/>
                  <w:tcBorders>
                    <w:tl2br w:val="nil"/>
                    <w:tr2bl w:val="nil"/>
                  </w:tcBorders>
                  <w:vAlign w:val="center"/>
                </w:tcPr>
                <w:p w14:paraId="5ACBE00D">
                  <w:pPr>
                    <w:pStyle w:val="30"/>
                    <w:autoSpaceDE w:val="0"/>
                    <w:autoSpaceDN w:val="0"/>
                    <w:bidi w:val="0"/>
                    <w:jc w:val="center"/>
                    <w:rPr>
                      <w:rFonts w:hint="default"/>
                      <w:b/>
                      <w:bCs/>
                      <w:highlight w:val="none"/>
                      <w:u w:val="none" w:color="auto"/>
                    </w:rPr>
                  </w:pPr>
                </w:p>
              </w:tc>
              <w:tc>
                <w:tcPr>
                  <w:tcW w:w="573" w:type="pct"/>
                  <w:tcBorders>
                    <w:tl2br w:val="nil"/>
                    <w:tr2bl w:val="nil"/>
                  </w:tcBorders>
                  <w:vAlign w:val="center"/>
                </w:tcPr>
                <w:p w14:paraId="08D4896E">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产生</w:t>
                  </w:r>
                </w:p>
                <w:p w14:paraId="072A0A08">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浓度</w:t>
                  </w:r>
                </w:p>
                <w:p w14:paraId="469778E8">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（mg/L）</w:t>
                  </w:r>
                </w:p>
              </w:tc>
              <w:tc>
                <w:tcPr>
                  <w:tcW w:w="515" w:type="pct"/>
                  <w:tcBorders>
                    <w:tl2br w:val="nil"/>
                    <w:tr2bl w:val="nil"/>
                  </w:tcBorders>
                  <w:vAlign w:val="center"/>
                </w:tcPr>
                <w:p w14:paraId="17A2F868">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产生量</w:t>
                  </w:r>
                </w:p>
                <w:p w14:paraId="645D8912">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（t/a)</w:t>
                  </w:r>
                </w:p>
              </w:tc>
              <w:tc>
                <w:tcPr>
                  <w:tcW w:w="473" w:type="pct"/>
                  <w:vMerge w:val="continue"/>
                  <w:tcBorders>
                    <w:tl2br w:val="nil"/>
                    <w:tr2bl w:val="nil"/>
                  </w:tcBorders>
                  <w:vAlign w:val="center"/>
                </w:tcPr>
                <w:p w14:paraId="2E96CAEA">
                  <w:pPr>
                    <w:pStyle w:val="30"/>
                    <w:autoSpaceDE w:val="0"/>
                    <w:autoSpaceDN w:val="0"/>
                    <w:bidi w:val="0"/>
                    <w:jc w:val="center"/>
                    <w:rPr>
                      <w:rFonts w:hint="default"/>
                      <w:b/>
                      <w:bCs/>
                      <w:highlight w:val="none"/>
                      <w:u w:val="none" w:color="auto"/>
                    </w:rPr>
                  </w:pPr>
                </w:p>
              </w:tc>
              <w:tc>
                <w:tcPr>
                  <w:tcW w:w="526" w:type="pct"/>
                  <w:tcBorders>
                    <w:tl2br w:val="nil"/>
                    <w:tr2bl w:val="nil"/>
                  </w:tcBorders>
                  <w:vAlign w:val="center"/>
                </w:tcPr>
                <w:p w14:paraId="530C58B9">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处理工艺</w:t>
                  </w:r>
                </w:p>
              </w:tc>
              <w:tc>
                <w:tcPr>
                  <w:tcW w:w="429" w:type="pct"/>
                  <w:tcBorders>
                    <w:tl2br w:val="nil"/>
                    <w:tr2bl w:val="nil"/>
                  </w:tcBorders>
                  <w:vAlign w:val="center"/>
                </w:tcPr>
                <w:p w14:paraId="3B99DB9B">
                  <w:pPr>
                    <w:pStyle w:val="30"/>
                    <w:autoSpaceDE w:val="0"/>
                    <w:autoSpaceDN w:val="0"/>
                    <w:bidi w:val="0"/>
                    <w:jc w:val="center"/>
                    <w:rPr>
                      <w:rFonts w:hint="default"/>
                      <w:b/>
                      <w:bCs/>
                      <w:highlight w:val="none"/>
                      <w:u w:val="none" w:color="auto"/>
                      <w:lang w:val="en-US" w:eastAsia="zh-CN"/>
                    </w:rPr>
                  </w:pPr>
                  <w:r>
                    <w:rPr>
                      <w:rFonts w:hint="default"/>
                      <w:b/>
                      <w:bCs/>
                      <w:highlight w:val="none"/>
                      <w:u w:val="none" w:color="auto"/>
                      <w:lang w:val="en-US" w:eastAsia="en-US"/>
                    </w:rPr>
                    <w:t>治理效率</w:t>
                  </w:r>
                  <w:r>
                    <w:rPr>
                      <w:rFonts w:hint="eastAsia"/>
                      <w:b/>
                      <w:bCs/>
                      <w:highlight w:val="none"/>
                      <w:u w:val="none" w:color="auto"/>
                      <w:lang w:val="en-US" w:eastAsia="zh-CN"/>
                    </w:rPr>
                    <w:t>（%）</w:t>
                  </w:r>
                </w:p>
              </w:tc>
              <w:tc>
                <w:tcPr>
                  <w:tcW w:w="338" w:type="pct"/>
                  <w:tcBorders>
                    <w:tl2br w:val="nil"/>
                    <w:tr2bl w:val="nil"/>
                  </w:tcBorders>
                  <w:vAlign w:val="center"/>
                </w:tcPr>
                <w:p w14:paraId="23982AC5">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是否为可行技术</w:t>
                  </w:r>
                </w:p>
              </w:tc>
              <w:tc>
                <w:tcPr>
                  <w:tcW w:w="577" w:type="pct"/>
                  <w:tcBorders>
                    <w:tl2br w:val="nil"/>
                    <w:tr2bl w:val="nil"/>
                  </w:tcBorders>
                  <w:vAlign w:val="center"/>
                </w:tcPr>
                <w:p w14:paraId="419F360C">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排放浓度（mg/L）</w:t>
                  </w:r>
                </w:p>
              </w:tc>
              <w:tc>
                <w:tcPr>
                  <w:tcW w:w="597" w:type="pct"/>
                  <w:tcBorders>
                    <w:tl2br w:val="nil"/>
                    <w:tr2bl w:val="nil"/>
                  </w:tcBorders>
                  <w:vAlign w:val="center"/>
                </w:tcPr>
                <w:p w14:paraId="291258E5">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排放</w:t>
                  </w:r>
                </w:p>
                <w:p w14:paraId="5DD387D6">
                  <w:pPr>
                    <w:pStyle w:val="30"/>
                    <w:autoSpaceDE w:val="0"/>
                    <w:autoSpaceDN w:val="0"/>
                    <w:bidi w:val="0"/>
                    <w:jc w:val="center"/>
                    <w:rPr>
                      <w:rFonts w:hint="default"/>
                      <w:b/>
                      <w:bCs/>
                      <w:highlight w:val="none"/>
                      <w:u w:val="none" w:color="auto"/>
                      <w:lang w:val="en-US" w:eastAsia="en-US"/>
                    </w:rPr>
                  </w:pPr>
                  <w:r>
                    <w:rPr>
                      <w:rFonts w:hint="default"/>
                      <w:b/>
                      <w:bCs/>
                      <w:highlight w:val="none"/>
                      <w:u w:val="none" w:color="auto"/>
                      <w:lang w:val="en-US" w:eastAsia="en-US"/>
                    </w:rPr>
                    <w:t>量（t/a)</w:t>
                  </w:r>
                </w:p>
              </w:tc>
            </w:tr>
            <w:tr w14:paraId="23E86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302" w:type="pct"/>
                  <w:vMerge w:val="restart"/>
                  <w:tcBorders>
                    <w:tl2br w:val="nil"/>
                    <w:tr2bl w:val="nil"/>
                  </w:tcBorders>
                  <w:vAlign w:val="center"/>
                </w:tcPr>
                <w:p w14:paraId="775823C0">
                  <w:pPr>
                    <w:pStyle w:val="30"/>
                    <w:autoSpaceDE w:val="0"/>
                    <w:autoSpaceDN w:val="0"/>
                    <w:bidi w:val="0"/>
                    <w:jc w:val="center"/>
                    <w:rPr>
                      <w:rFonts w:hint="eastAsia"/>
                      <w:highlight w:val="none"/>
                      <w:u w:val="none" w:color="auto"/>
                      <w:lang w:val="en-US" w:eastAsia="zh-CN"/>
                    </w:rPr>
                  </w:pPr>
                  <w:r>
                    <w:rPr>
                      <w:rFonts w:hint="eastAsia"/>
                      <w:highlight w:val="none"/>
                      <w:u w:val="none" w:color="auto"/>
                      <w:lang w:val="en-US" w:eastAsia="zh-CN"/>
                    </w:rPr>
                    <w:t>办公生产</w:t>
                  </w:r>
                </w:p>
              </w:tc>
              <w:tc>
                <w:tcPr>
                  <w:tcW w:w="293" w:type="pct"/>
                  <w:vMerge w:val="restart"/>
                  <w:tcBorders>
                    <w:tl2br w:val="nil"/>
                    <w:tr2bl w:val="nil"/>
                  </w:tcBorders>
                  <w:vAlign w:val="center"/>
                </w:tcPr>
                <w:p w14:paraId="3997A30E">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en-US"/>
                    </w:rPr>
                    <w:t>生活污水</w:t>
                  </w:r>
                </w:p>
              </w:tc>
              <w:tc>
                <w:tcPr>
                  <w:tcW w:w="374" w:type="pct"/>
                  <w:tcBorders>
                    <w:tl2br w:val="nil"/>
                    <w:tr2bl w:val="nil"/>
                  </w:tcBorders>
                  <w:vAlign w:val="center"/>
                </w:tcPr>
                <w:p w14:paraId="7CBE5953">
                  <w:pPr>
                    <w:pStyle w:val="30"/>
                    <w:autoSpaceDE w:val="0"/>
                    <w:autoSpaceDN w:val="0"/>
                    <w:bidi w:val="0"/>
                    <w:jc w:val="center"/>
                    <w:rPr>
                      <w:rFonts w:hint="default"/>
                      <w:highlight w:val="none"/>
                      <w:u w:val="none" w:color="auto"/>
                      <w:lang w:val="en-US" w:eastAsia="en-US"/>
                    </w:rPr>
                  </w:pPr>
                  <w:r>
                    <w:rPr>
                      <w:rFonts w:hint="eastAsia"/>
                      <w:highlight w:val="none"/>
                      <w:u w:val="none" w:color="auto"/>
                      <w:lang w:val="en-US" w:eastAsia="zh-CN"/>
                    </w:rPr>
                    <w:t>COD</w:t>
                  </w:r>
                </w:p>
              </w:tc>
              <w:tc>
                <w:tcPr>
                  <w:tcW w:w="573" w:type="pct"/>
                  <w:tcBorders>
                    <w:tl2br w:val="nil"/>
                    <w:tr2bl w:val="nil"/>
                  </w:tcBorders>
                  <w:vAlign w:val="center"/>
                </w:tcPr>
                <w:p w14:paraId="5B5BE4B4">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zh-CN"/>
                    </w:rPr>
                    <w:t>285</w:t>
                  </w:r>
                </w:p>
              </w:tc>
              <w:tc>
                <w:tcPr>
                  <w:tcW w:w="515" w:type="pct"/>
                  <w:tcBorders>
                    <w:tl2br w:val="nil"/>
                    <w:tr2bl w:val="nil"/>
                  </w:tcBorders>
                  <w:vAlign w:val="center"/>
                </w:tcPr>
                <w:p w14:paraId="662BB2FF">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0.0513</w:t>
                  </w:r>
                </w:p>
              </w:tc>
              <w:tc>
                <w:tcPr>
                  <w:tcW w:w="473" w:type="pct"/>
                  <w:vMerge w:val="restart"/>
                  <w:tcBorders>
                    <w:tl2br w:val="nil"/>
                    <w:tr2bl w:val="nil"/>
                  </w:tcBorders>
                  <w:vAlign w:val="center"/>
                </w:tcPr>
                <w:p w14:paraId="4C981C7C">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152</w:t>
                  </w:r>
                </w:p>
              </w:tc>
              <w:tc>
                <w:tcPr>
                  <w:tcW w:w="526" w:type="pct"/>
                  <w:vMerge w:val="restart"/>
                  <w:tcBorders>
                    <w:tl2br w:val="nil"/>
                    <w:tr2bl w:val="nil"/>
                  </w:tcBorders>
                  <w:vAlign w:val="center"/>
                </w:tcPr>
                <w:p w14:paraId="724739BD">
                  <w:pPr>
                    <w:pStyle w:val="30"/>
                    <w:autoSpaceDE w:val="0"/>
                    <w:autoSpaceDN w:val="0"/>
                    <w:bidi w:val="0"/>
                    <w:jc w:val="center"/>
                    <w:rPr>
                      <w:rFonts w:hint="default"/>
                      <w:highlight w:val="none"/>
                      <w:u w:val="none" w:color="auto"/>
                      <w:lang w:val="en-US" w:eastAsia="en-US"/>
                    </w:rPr>
                  </w:pPr>
                  <w:r>
                    <w:rPr>
                      <w:rFonts w:hint="eastAsia"/>
                      <w:highlight w:val="none"/>
                      <w:u w:val="none" w:color="auto"/>
                      <w:lang w:val="en-US" w:eastAsia="zh-CN"/>
                    </w:rPr>
                    <w:t>三级</w:t>
                  </w:r>
                  <w:r>
                    <w:rPr>
                      <w:rFonts w:hint="default"/>
                      <w:highlight w:val="none"/>
                      <w:u w:val="none" w:color="auto"/>
                      <w:lang w:val="en-US" w:eastAsia="en-US"/>
                    </w:rPr>
                    <w:t>化粪池</w:t>
                  </w:r>
                </w:p>
              </w:tc>
              <w:tc>
                <w:tcPr>
                  <w:tcW w:w="429" w:type="pct"/>
                  <w:tcBorders>
                    <w:tl2br w:val="nil"/>
                    <w:tr2bl w:val="nil"/>
                  </w:tcBorders>
                  <w:vAlign w:val="center"/>
                </w:tcPr>
                <w:p w14:paraId="0B3366E1">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30</w:t>
                  </w:r>
                </w:p>
              </w:tc>
              <w:tc>
                <w:tcPr>
                  <w:tcW w:w="338" w:type="pct"/>
                  <w:vMerge w:val="restart"/>
                  <w:tcBorders>
                    <w:tl2br w:val="nil"/>
                    <w:tr2bl w:val="nil"/>
                  </w:tcBorders>
                  <w:vAlign w:val="center"/>
                </w:tcPr>
                <w:p w14:paraId="3594382E">
                  <w:pPr>
                    <w:pStyle w:val="30"/>
                    <w:autoSpaceDE w:val="0"/>
                    <w:autoSpaceDN w:val="0"/>
                    <w:bidi w:val="0"/>
                    <w:jc w:val="center"/>
                    <w:rPr>
                      <w:rFonts w:hint="eastAsia"/>
                      <w:highlight w:val="none"/>
                      <w:u w:val="none" w:color="auto"/>
                      <w:lang w:val="en-US" w:eastAsia="zh-CN"/>
                    </w:rPr>
                  </w:pPr>
                  <w:r>
                    <w:rPr>
                      <w:rFonts w:hint="eastAsia"/>
                      <w:highlight w:val="none"/>
                      <w:u w:val="none" w:color="auto"/>
                      <w:lang w:val="en-US" w:eastAsia="zh-CN"/>
                    </w:rPr>
                    <w:t>/</w:t>
                  </w:r>
                </w:p>
              </w:tc>
              <w:tc>
                <w:tcPr>
                  <w:tcW w:w="577" w:type="pct"/>
                  <w:tcBorders>
                    <w:tl2br w:val="nil"/>
                    <w:tr2bl w:val="nil"/>
                  </w:tcBorders>
                  <w:vAlign w:val="center"/>
                </w:tcPr>
                <w:p w14:paraId="643E4783">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199.5</w:t>
                  </w:r>
                </w:p>
              </w:tc>
              <w:tc>
                <w:tcPr>
                  <w:tcW w:w="597" w:type="pct"/>
                  <w:tcBorders>
                    <w:tl2br w:val="nil"/>
                    <w:tr2bl w:val="nil"/>
                  </w:tcBorders>
                  <w:vAlign w:val="center"/>
                </w:tcPr>
                <w:p w14:paraId="674E2C5E">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0.03591</w:t>
                  </w:r>
                </w:p>
              </w:tc>
            </w:tr>
            <w:tr w14:paraId="7B6BF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02" w:type="pct"/>
                  <w:vMerge w:val="continue"/>
                  <w:tcBorders>
                    <w:tl2br w:val="nil"/>
                    <w:tr2bl w:val="nil"/>
                  </w:tcBorders>
                  <w:vAlign w:val="center"/>
                </w:tcPr>
                <w:p w14:paraId="07296B34">
                  <w:pPr>
                    <w:pStyle w:val="30"/>
                    <w:autoSpaceDE w:val="0"/>
                    <w:autoSpaceDN w:val="0"/>
                    <w:bidi w:val="0"/>
                    <w:jc w:val="center"/>
                    <w:rPr>
                      <w:rFonts w:hint="default"/>
                      <w:highlight w:val="none"/>
                      <w:u w:val="none" w:color="auto"/>
                    </w:rPr>
                  </w:pPr>
                </w:p>
              </w:tc>
              <w:tc>
                <w:tcPr>
                  <w:tcW w:w="293" w:type="pct"/>
                  <w:vMerge w:val="continue"/>
                  <w:tcBorders>
                    <w:tl2br w:val="nil"/>
                    <w:tr2bl w:val="nil"/>
                  </w:tcBorders>
                  <w:vAlign w:val="center"/>
                </w:tcPr>
                <w:p w14:paraId="75C2CC09">
                  <w:pPr>
                    <w:pStyle w:val="30"/>
                    <w:autoSpaceDE w:val="0"/>
                    <w:autoSpaceDN w:val="0"/>
                    <w:bidi w:val="0"/>
                    <w:jc w:val="center"/>
                    <w:rPr>
                      <w:rFonts w:hint="default"/>
                      <w:highlight w:val="none"/>
                      <w:u w:val="none" w:color="auto"/>
                    </w:rPr>
                  </w:pPr>
                </w:p>
              </w:tc>
              <w:tc>
                <w:tcPr>
                  <w:tcW w:w="374" w:type="pct"/>
                  <w:tcBorders>
                    <w:tl2br w:val="nil"/>
                    <w:tr2bl w:val="nil"/>
                  </w:tcBorders>
                  <w:vAlign w:val="center"/>
                </w:tcPr>
                <w:p w14:paraId="15BB8A0B">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en-US"/>
                    </w:rPr>
                    <w:t>BOD5</w:t>
                  </w:r>
                </w:p>
              </w:tc>
              <w:tc>
                <w:tcPr>
                  <w:tcW w:w="573" w:type="pct"/>
                  <w:tcBorders>
                    <w:tl2br w:val="nil"/>
                    <w:tr2bl w:val="nil"/>
                  </w:tcBorders>
                  <w:vAlign w:val="center"/>
                </w:tcPr>
                <w:p w14:paraId="189AC211">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zh-CN"/>
                    </w:rPr>
                    <w:t>1</w:t>
                  </w:r>
                  <w:r>
                    <w:rPr>
                      <w:rFonts w:hint="eastAsia"/>
                      <w:highlight w:val="none"/>
                      <w:u w:val="none" w:color="auto"/>
                      <w:lang w:val="en-US" w:eastAsia="zh-CN"/>
                    </w:rPr>
                    <w:t>5</w:t>
                  </w:r>
                  <w:r>
                    <w:rPr>
                      <w:rFonts w:hint="default"/>
                      <w:highlight w:val="none"/>
                      <w:u w:val="none" w:color="auto"/>
                      <w:lang w:val="en-US" w:eastAsia="zh-CN"/>
                    </w:rPr>
                    <w:t>0</w:t>
                  </w:r>
                </w:p>
              </w:tc>
              <w:tc>
                <w:tcPr>
                  <w:tcW w:w="515" w:type="pct"/>
                  <w:tcBorders>
                    <w:tl2br w:val="nil"/>
                    <w:tr2bl w:val="nil"/>
                  </w:tcBorders>
                  <w:vAlign w:val="center"/>
                </w:tcPr>
                <w:p w14:paraId="273A55A7">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0.027</w:t>
                  </w:r>
                </w:p>
              </w:tc>
              <w:tc>
                <w:tcPr>
                  <w:tcW w:w="473" w:type="pct"/>
                  <w:vMerge w:val="continue"/>
                  <w:tcBorders>
                    <w:tl2br w:val="nil"/>
                    <w:tr2bl w:val="nil"/>
                  </w:tcBorders>
                  <w:vAlign w:val="center"/>
                </w:tcPr>
                <w:p w14:paraId="3773D328">
                  <w:pPr>
                    <w:pStyle w:val="30"/>
                    <w:autoSpaceDE w:val="0"/>
                    <w:autoSpaceDN w:val="0"/>
                    <w:bidi w:val="0"/>
                    <w:jc w:val="center"/>
                    <w:rPr>
                      <w:rFonts w:hint="default"/>
                      <w:highlight w:val="none"/>
                      <w:u w:val="none" w:color="auto"/>
                      <w:lang w:val="en-US" w:eastAsia="zh-CN"/>
                    </w:rPr>
                  </w:pPr>
                </w:p>
              </w:tc>
              <w:tc>
                <w:tcPr>
                  <w:tcW w:w="526" w:type="pct"/>
                  <w:vMerge w:val="continue"/>
                  <w:tcBorders>
                    <w:tl2br w:val="nil"/>
                    <w:tr2bl w:val="nil"/>
                  </w:tcBorders>
                  <w:vAlign w:val="center"/>
                </w:tcPr>
                <w:p w14:paraId="295C12D8">
                  <w:pPr>
                    <w:pStyle w:val="30"/>
                    <w:autoSpaceDE w:val="0"/>
                    <w:autoSpaceDN w:val="0"/>
                    <w:bidi w:val="0"/>
                    <w:jc w:val="center"/>
                    <w:rPr>
                      <w:rFonts w:hint="default"/>
                      <w:highlight w:val="none"/>
                      <w:u w:val="none" w:color="auto"/>
                      <w:lang w:val="en-US" w:eastAsia="zh-CN"/>
                    </w:rPr>
                  </w:pPr>
                </w:p>
              </w:tc>
              <w:tc>
                <w:tcPr>
                  <w:tcW w:w="429" w:type="pct"/>
                  <w:tcBorders>
                    <w:tl2br w:val="nil"/>
                    <w:tr2bl w:val="nil"/>
                  </w:tcBorders>
                  <w:vAlign w:val="center"/>
                </w:tcPr>
                <w:p w14:paraId="7657BBFD">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9</w:t>
                  </w:r>
                </w:p>
              </w:tc>
              <w:tc>
                <w:tcPr>
                  <w:tcW w:w="338" w:type="pct"/>
                  <w:vMerge w:val="continue"/>
                  <w:tcBorders>
                    <w:tl2br w:val="nil"/>
                    <w:tr2bl w:val="nil"/>
                  </w:tcBorders>
                  <w:vAlign w:val="center"/>
                </w:tcPr>
                <w:p w14:paraId="0918263A">
                  <w:pPr>
                    <w:pStyle w:val="30"/>
                    <w:autoSpaceDE w:val="0"/>
                    <w:autoSpaceDN w:val="0"/>
                    <w:bidi w:val="0"/>
                    <w:jc w:val="center"/>
                    <w:rPr>
                      <w:rFonts w:hint="default"/>
                      <w:highlight w:val="none"/>
                      <w:u w:val="none" w:color="auto"/>
                      <w:lang w:val="en-US" w:eastAsia="zh-CN"/>
                    </w:rPr>
                  </w:pPr>
                </w:p>
              </w:tc>
              <w:tc>
                <w:tcPr>
                  <w:tcW w:w="577" w:type="pct"/>
                  <w:tcBorders>
                    <w:tl2br w:val="nil"/>
                    <w:tr2bl w:val="nil"/>
                  </w:tcBorders>
                  <w:vAlign w:val="center"/>
                </w:tcPr>
                <w:p w14:paraId="5C249254">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136.5</w:t>
                  </w:r>
                </w:p>
              </w:tc>
              <w:tc>
                <w:tcPr>
                  <w:tcW w:w="597" w:type="pct"/>
                  <w:tcBorders>
                    <w:tl2br w:val="nil"/>
                    <w:tr2bl w:val="nil"/>
                  </w:tcBorders>
                  <w:vAlign w:val="center"/>
                </w:tcPr>
                <w:p w14:paraId="699F62E9">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0.02457</w:t>
                  </w:r>
                </w:p>
              </w:tc>
            </w:tr>
            <w:tr w14:paraId="632FE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02" w:type="pct"/>
                  <w:vMerge w:val="continue"/>
                  <w:tcBorders>
                    <w:tl2br w:val="nil"/>
                    <w:tr2bl w:val="nil"/>
                  </w:tcBorders>
                  <w:vAlign w:val="center"/>
                </w:tcPr>
                <w:p w14:paraId="05B59ABD">
                  <w:pPr>
                    <w:pStyle w:val="30"/>
                    <w:autoSpaceDE w:val="0"/>
                    <w:autoSpaceDN w:val="0"/>
                    <w:bidi w:val="0"/>
                    <w:jc w:val="center"/>
                    <w:rPr>
                      <w:rFonts w:hint="default"/>
                      <w:highlight w:val="none"/>
                      <w:u w:val="none" w:color="auto"/>
                    </w:rPr>
                  </w:pPr>
                </w:p>
              </w:tc>
              <w:tc>
                <w:tcPr>
                  <w:tcW w:w="293" w:type="pct"/>
                  <w:vMerge w:val="continue"/>
                  <w:tcBorders>
                    <w:tl2br w:val="nil"/>
                    <w:tr2bl w:val="nil"/>
                  </w:tcBorders>
                  <w:vAlign w:val="center"/>
                </w:tcPr>
                <w:p w14:paraId="7CB52410">
                  <w:pPr>
                    <w:pStyle w:val="30"/>
                    <w:autoSpaceDE w:val="0"/>
                    <w:autoSpaceDN w:val="0"/>
                    <w:bidi w:val="0"/>
                    <w:jc w:val="center"/>
                    <w:rPr>
                      <w:rFonts w:hint="default"/>
                      <w:highlight w:val="none"/>
                      <w:u w:val="none" w:color="auto"/>
                    </w:rPr>
                  </w:pPr>
                </w:p>
              </w:tc>
              <w:tc>
                <w:tcPr>
                  <w:tcW w:w="374" w:type="pct"/>
                  <w:tcBorders>
                    <w:tl2br w:val="nil"/>
                    <w:tr2bl w:val="nil"/>
                  </w:tcBorders>
                  <w:vAlign w:val="center"/>
                </w:tcPr>
                <w:p w14:paraId="5D6C6ADC">
                  <w:pPr>
                    <w:pStyle w:val="30"/>
                    <w:autoSpaceDE w:val="0"/>
                    <w:autoSpaceDN w:val="0"/>
                    <w:bidi w:val="0"/>
                    <w:jc w:val="center"/>
                    <w:rPr>
                      <w:rFonts w:hint="default"/>
                      <w:highlight w:val="none"/>
                      <w:u w:val="none" w:color="auto"/>
                    </w:rPr>
                  </w:pPr>
                  <w:r>
                    <w:rPr>
                      <w:rFonts w:hint="default"/>
                      <w:highlight w:val="none"/>
                      <w:u w:val="none" w:color="auto"/>
                    </w:rPr>
                    <w:t>SS</w:t>
                  </w:r>
                </w:p>
              </w:tc>
              <w:tc>
                <w:tcPr>
                  <w:tcW w:w="573" w:type="pct"/>
                  <w:tcBorders>
                    <w:tl2br w:val="nil"/>
                    <w:tr2bl w:val="nil"/>
                  </w:tcBorders>
                  <w:vAlign w:val="center"/>
                </w:tcPr>
                <w:p w14:paraId="4AFB4AA7">
                  <w:pPr>
                    <w:pStyle w:val="30"/>
                    <w:autoSpaceDE w:val="0"/>
                    <w:autoSpaceDN w:val="0"/>
                    <w:bidi w:val="0"/>
                    <w:jc w:val="center"/>
                    <w:rPr>
                      <w:rFonts w:hint="default"/>
                      <w:highlight w:val="none"/>
                      <w:u w:val="none" w:color="auto"/>
                      <w:lang w:eastAsia="en-US"/>
                    </w:rPr>
                  </w:pPr>
                  <w:r>
                    <w:rPr>
                      <w:rFonts w:hint="default"/>
                      <w:highlight w:val="none"/>
                      <w:u w:val="none" w:color="auto"/>
                      <w:lang w:val="en-US" w:eastAsia="zh-CN"/>
                    </w:rPr>
                    <w:t>1</w:t>
                  </w:r>
                  <w:r>
                    <w:rPr>
                      <w:rFonts w:hint="eastAsia"/>
                      <w:highlight w:val="none"/>
                      <w:u w:val="none" w:color="auto"/>
                      <w:lang w:val="en-US" w:eastAsia="zh-CN"/>
                    </w:rPr>
                    <w:t>8</w:t>
                  </w:r>
                  <w:r>
                    <w:rPr>
                      <w:rFonts w:hint="default"/>
                      <w:highlight w:val="none"/>
                      <w:u w:val="none" w:color="auto"/>
                      <w:lang w:val="en-US" w:eastAsia="zh-CN"/>
                    </w:rPr>
                    <w:t>0</w:t>
                  </w:r>
                </w:p>
              </w:tc>
              <w:tc>
                <w:tcPr>
                  <w:tcW w:w="515" w:type="pct"/>
                  <w:tcBorders>
                    <w:tl2br w:val="nil"/>
                    <w:tr2bl w:val="nil"/>
                  </w:tcBorders>
                  <w:vAlign w:val="center"/>
                </w:tcPr>
                <w:p w14:paraId="5DFD7EA0">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0.0324</w:t>
                  </w:r>
                </w:p>
              </w:tc>
              <w:tc>
                <w:tcPr>
                  <w:tcW w:w="473" w:type="pct"/>
                  <w:vMerge w:val="continue"/>
                  <w:tcBorders>
                    <w:tl2br w:val="nil"/>
                    <w:tr2bl w:val="nil"/>
                  </w:tcBorders>
                  <w:vAlign w:val="center"/>
                </w:tcPr>
                <w:p w14:paraId="5076AE26">
                  <w:pPr>
                    <w:pStyle w:val="30"/>
                    <w:autoSpaceDE w:val="0"/>
                    <w:autoSpaceDN w:val="0"/>
                    <w:bidi w:val="0"/>
                    <w:jc w:val="center"/>
                    <w:rPr>
                      <w:rFonts w:hint="default"/>
                      <w:highlight w:val="none"/>
                      <w:u w:val="none" w:color="auto"/>
                      <w:lang w:val="en-US" w:eastAsia="zh-CN"/>
                    </w:rPr>
                  </w:pPr>
                </w:p>
              </w:tc>
              <w:tc>
                <w:tcPr>
                  <w:tcW w:w="526" w:type="pct"/>
                  <w:vMerge w:val="continue"/>
                  <w:tcBorders>
                    <w:tl2br w:val="nil"/>
                    <w:tr2bl w:val="nil"/>
                  </w:tcBorders>
                  <w:vAlign w:val="center"/>
                </w:tcPr>
                <w:p w14:paraId="192DF086">
                  <w:pPr>
                    <w:pStyle w:val="30"/>
                    <w:autoSpaceDE w:val="0"/>
                    <w:autoSpaceDN w:val="0"/>
                    <w:bidi w:val="0"/>
                    <w:jc w:val="center"/>
                    <w:rPr>
                      <w:rFonts w:hint="default"/>
                      <w:highlight w:val="none"/>
                      <w:u w:val="none" w:color="auto"/>
                      <w:lang w:val="en-US" w:eastAsia="zh-CN"/>
                    </w:rPr>
                  </w:pPr>
                </w:p>
              </w:tc>
              <w:tc>
                <w:tcPr>
                  <w:tcW w:w="429" w:type="pct"/>
                  <w:tcBorders>
                    <w:tl2br w:val="nil"/>
                    <w:tr2bl w:val="nil"/>
                  </w:tcBorders>
                  <w:vAlign w:val="center"/>
                </w:tcPr>
                <w:p w14:paraId="0B11456A">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20</w:t>
                  </w:r>
                </w:p>
              </w:tc>
              <w:tc>
                <w:tcPr>
                  <w:tcW w:w="338" w:type="pct"/>
                  <w:vMerge w:val="continue"/>
                  <w:tcBorders>
                    <w:tl2br w:val="nil"/>
                    <w:tr2bl w:val="nil"/>
                  </w:tcBorders>
                  <w:vAlign w:val="center"/>
                </w:tcPr>
                <w:p w14:paraId="6D925127">
                  <w:pPr>
                    <w:pStyle w:val="30"/>
                    <w:autoSpaceDE w:val="0"/>
                    <w:autoSpaceDN w:val="0"/>
                    <w:bidi w:val="0"/>
                    <w:jc w:val="center"/>
                    <w:rPr>
                      <w:rFonts w:hint="default"/>
                      <w:highlight w:val="none"/>
                      <w:u w:val="none" w:color="auto"/>
                      <w:lang w:val="en-US" w:eastAsia="zh-CN"/>
                    </w:rPr>
                  </w:pPr>
                </w:p>
              </w:tc>
              <w:tc>
                <w:tcPr>
                  <w:tcW w:w="577" w:type="pct"/>
                  <w:tcBorders>
                    <w:tl2br w:val="nil"/>
                    <w:tr2bl w:val="nil"/>
                  </w:tcBorders>
                  <w:vAlign w:val="center"/>
                </w:tcPr>
                <w:p w14:paraId="3CA57A78">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144</w:t>
                  </w:r>
                </w:p>
              </w:tc>
              <w:tc>
                <w:tcPr>
                  <w:tcW w:w="597" w:type="pct"/>
                  <w:tcBorders>
                    <w:tl2br w:val="nil"/>
                    <w:tr2bl w:val="nil"/>
                  </w:tcBorders>
                  <w:vAlign w:val="center"/>
                </w:tcPr>
                <w:p w14:paraId="5ACAC7DF">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0.02457</w:t>
                  </w:r>
                </w:p>
              </w:tc>
            </w:tr>
            <w:tr w14:paraId="44593B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02" w:type="pct"/>
                  <w:vMerge w:val="continue"/>
                  <w:tcBorders>
                    <w:tl2br w:val="nil"/>
                    <w:tr2bl w:val="nil"/>
                  </w:tcBorders>
                  <w:vAlign w:val="center"/>
                </w:tcPr>
                <w:p w14:paraId="02C42D02">
                  <w:pPr>
                    <w:pStyle w:val="30"/>
                    <w:autoSpaceDE w:val="0"/>
                    <w:autoSpaceDN w:val="0"/>
                    <w:bidi w:val="0"/>
                    <w:jc w:val="center"/>
                    <w:rPr>
                      <w:rFonts w:hint="default"/>
                      <w:highlight w:val="none"/>
                      <w:u w:val="none" w:color="auto"/>
                    </w:rPr>
                  </w:pPr>
                </w:p>
              </w:tc>
              <w:tc>
                <w:tcPr>
                  <w:tcW w:w="293" w:type="pct"/>
                  <w:vMerge w:val="continue"/>
                  <w:tcBorders>
                    <w:tl2br w:val="nil"/>
                    <w:tr2bl w:val="nil"/>
                  </w:tcBorders>
                  <w:vAlign w:val="center"/>
                </w:tcPr>
                <w:p w14:paraId="37872BA8">
                  <w:pPr>
                    <w:pStyle w:val="30"/>
                    <w:autoSpaceDE w:val="0"/>
                    <w:autoSpaceDN w:val="0"/>
                    <w:bidi w:val="0"/>
                    <w:jc w:val="center"/>
                    <w:rPr>
                      <w:rFonts w:hint="default"/>
                      <w:highlight w:val="none"/>
                      <w:u w:val="none" w:color="auto"/>
                    </w:rPr>
                  </w:pPr>
                </w:p>
              </w:tc>
              <w:tc>
                <w:tcPr>
                  <w:tcW w:w="374" w:type="pct"/>
                  <w:tcBorders>
                    <w:tl2br w:val="nil"/>
                    <w:tr2bl w:val="nil"/>
                  </w:tcBorders>
                  <w:vAlign w:val="center"/>
                </w:tcPr>
                <w:p w14:paraId="462D6F3A">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en-US"/>
                    </w:rPr>
                    <w:t>氨氮</w:t>
                  </w:r>
                </w:p>
              </w:tc>
              <w:tc>
                <w:tcPr>
                  <w:tcW w:w="573" w:type="pct"/>
                  <w:tcBorders>
                    <w:tl2br w:val="nil"/>
                    <w:tr2bl w:val="nil"/>
                  </w:tcBorders>
                  <w:vAlign w:val="center"/>
                </w:tcPr>
                <w:p w14:paraId="59EE02BB">
                  <w:pPr>
                    <w:pStyle w:val="30"/>
                    <w:autoSpaceDE w:val="0"/>
                    <w:autoSpaceDN w:val="0"/>
                    <w:bidi w:val="0"/>
                    <w:jc w:val="center"/>
                    <w:rPr>
                      <w:rFonts w:hint="default"/>
                      <w:highlight w:val="none"/>
                      <w:u w:val="none" w:color="auto"/>
                      <w:lang w:eastAsia="en-US"/>
                    </w:rPr>
                  </w:pPr>
                  <w:r>
                    <w:rPr>
                      <w:rFonts w:hint="default"/>
                      <w:highlight w:val="none"/>
                      <w:u w:val="none" w:color="auto"/>
                      <w:lang w:val="en-US" w:eastAsia="zh-CN"/>
                    </w:rPr>
                    <w:t>28.3</w:t>
                  </w:r>
                </w:p>
              </w:tc>
              <w:tc>
                <w:tcPr>
                  <w:tcW w:w="515" w:type="pct"/>
                  <w:tcBorders>
                    <w:tl2br w:val="nil"/>
                    <w:tr2bl w:val="nil"/>
                  </w:tcBorders>
                  <w:vAlign w:val="center"/>
                </w:tcPr>
                <w:p w14:paraId="7831D035">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0.005094</w:t>
                  </w:r>
                </w:p>
              </w:tc>
              <w:tc>
                <w:tcPr>
                  <w:tcW w:w="473" w:type="pct"/>
                  <w:vMerge w:val="continue"/>
                  <w:tcBorders>
                    <w:tl2br w:val="nil"/>
                    <w:tr2bl w:val="nil"/>
                  </w:tcBorders>
                  <w:vAlign w:val="center"/>
                </w:tcPr>
                <w:p w14:paraId="371ED614">
                  <w:pPr>
                    <w:pStyle w:val="30"/>
                    <w:autoSpaceDE w:val="0"/>
                    <w:autoSpaceDN w:val="0"/>
                    <w:bidi w:val="0"/>
                    <w:jc w:val="center"/>
                    <w:rPr>
                      <w:rFonts w:hint="default"/>
                      <w:highlight w:val="none"/>
                      <w:u w:val="none" w:color="auto"/>
                      <w:lang w:val="en-US" w:eastAsia="zh-CN"/>
                    </w:rPr>
                  </w:pPr>
                </w:p>
              </w:tc>
              <w:tc>
                <w:tcPr>
                  <w:tcW w:w="526" w:type="pct"/>
                  <w:vMerge w:val="continue"/>
                  <w:tcBorders>
                    <w:tl2br w:val="nil"/>
                    <w:tr2bl w:val="nil"/>
                  </w:tcBorders>
                  <w:vAlign w:val="center"/>
                </w:tcPr>
                <w:p w14:paraId="3DDBA49E">
                  <w:pPr>
                    <w:pStyle w:val="30"/>
                    <w:autoSpaceDE w:val="0"/>
                    <w:autoSpaceDN w:val="0"/>
                    <w:bidi w:val="0"/>
                    <w:jc w:val="center"/>
                    <w:rPr>
                      <w:rFonts w:hint="default"/>
                      <w:highlight w:val="none"/>
                      <w:u w:val="none" w:color="auto"/>
                      <w:lang w:val="en-US" w:eastAsia="zh-CN"/>
                    </w:rPr>
                  </w:pPr>
                </w:p>
              </w:tc>
              <w:tc>
                <w:tcPr>
                  <w:tcW w:w="429" w:type="pct"/>
                  <w:tcBorders>
                    <w:tl2br w:val="nil"/>
                    <w:tr2bl w:val="nil"/>
                  </w:tcBorders>
                  <w:vAlign w:val="center"/>
                </w:tcPr>
                <w:p w14:paraId="75E91383">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3</w:t>
                  </w:r>
                </w:p>
              </w:tc>
              <w:tc>
                <w:tcPr>
                  <w:tcW w:w="338" w:type="pct"/>
                  <w:vMerge w:val="continue"/>
                  <w:tcBorders>
                    <w:tl2br w:val="nil"/>
                    <w:tr2bl w:val="nil"/>
                  </w:tcBorders>
                  <w:vAlign w:val="center"/>
                </w:tcPr>
                <w:p w14:paraId="28CA21F7">
                  <w:pPr>
                    <w:pStyle w:val="30"/>
                    <w:autoSpaceDE w:val="0"/>
                    <w:autoSpaceDN w:val="0"/>
                    <w:bidi w:val="0"/>
                    <w:jc w:val="center"/>
                    <w:rPr>
                      <w:rFonts w:hint="default"/>
                      <w:highlight w:val="none"/>
                      <w:u w:val="none" w:color="auto"/>
                      <w:lang w:val="en-US" w:eastAsia="zh-CN"/>
                    </w:rPr>
                  </w:pPr>
                </w:p>
              </w:tc>
              <w:tc>
                <w:tcPr>
                  <w:tcW w:w="577" w:type="pct"/>
                  <w:tcBorders>
                    <w:tl2br w:val="nil"/>
                    <w:tr2bl w:val="nil"/>
                  </w:tcBorders>
                  <w:vAlign w:val="center"/>
                </w:tcPr>
                <w:p w14:paraId="5C69A74C">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27.451</w:t>
                  </w:r>
                </w:p>
              </w:tc>
              <w:tc>
                <w:tcPr>
                  <w:tcW w:w="597" w:type="pct"/>
                  <w:tcBorders>
                    <w:tl2br w:val="nil"/>
                    <w:tr2bl w:val="nil"/>
                  </w:tcBorders>
                  <w:vAlign w:val="center"/>
                </w:tcPr>
                <w:p w14:paraId="4714E883">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0.004941</w:t>
                  </w:r>
                </w:p>
              </w:tc>
            </w:tr>
            <w:tr w14:paraId="605BD8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02" w:type="pct"/>
                  <w:vMerge w:val="continue"/>
                  <w:tcBorders>
                    <w:tl2br w:val="nil"/>
                    <w:tr2bl w:val="nil"/>
                  </w:tcBorders>
                  <w:vAlign w:val="center"/>
                </w:tcPr>
                <w:p w14:paraId="7706449E">
                  <w:pPr>
                    <w:pStyle w:val="30"/>
                    <w:autoSpaceDE w:val="0"/>
                    <w:autoSpaceDN w:val="0"/>
                    <w:bidi w:val="0"/>
                    <w:jc w:val="center"/>
                    <w:rPr>
                      <w:rFonts w:hint="default"/>
                      <w:highlight w:val="none"/>
                      <w:u w:val="none" w:color="auto"/>
                    </w:rPr>
                  </w:pPr>
                </w:p>
              </w:tc>
              <w:tc>
                <w:tcPr>
                  <w:tcW w:w="293" w:type="pct"/>
                  <w:vMerge w:val="continue"/>
                  <w:tcBorders>
                    <w:tl2br w:val="nil"/>
                    <w:tr2bl w:val="nil"/>
                  </w:tcBorders>
                  <w:vAlign w:val="center"/>
                </w:tcPr>
                <w:p w14:paraId="7C51DC92">
                  <w:pPr>
                    <w:pStyle w:val="30"/>
                    <w:autoSpaceDE w:val="0"/>
                    <w:autoSpaceDN w:val="0"/>
                    <w:bidi w:val="0"/>
                    <w:jc w:val="center"/>
                    <w:rPr>
                      <w:rFonts w:hint="default"/>
                      <w:highlight w:val="none"/>
                      <w:u w:val="none" w:color="auto"/>
                    </w:rPr>
                  </w:pPr>
                </w:p>
              </w:tc>
              <w:tc>
                <w:tcPr>
                  <w:tcW w:w="374" w:type="pct"/>
                  <w:tcBorders>
                    <w:tl2br w:val="nil"/>
                    <w:tr2bl w:val="nil"/>
                  </w:tcBorders>
                  <w:vAlign w:val="center"/>
                </w:tcPr>
                <w:p w14:paraId="795017D2">
                  <w:pPr>
                    <w:pStyle w:val="30"/>
                    <w:autoSpaceDE w:val="0"/>
                    <w:autoSpaceDN w:val="0"/>
                    <w:bidi w:val="0"/>
                    <w:jc w:val="center"/>
                    <w:rPr>
                      <w:rFonts w:hint="default"/>
                      <w:highlight w:val="none"/>
                      <w:u w:val="none" w:color="auto"/>
                      <w:lang w:val="en-US" w:eastAsia="en-US"/>
                    </w:rPr>
                  </w:pPr>
                  <w:r>
                    <w:rPr>
                      <w:rFonts w:hint="default"/>
                      <w:highlight w:val="none"/>
                      <w:u w:val="none" w:color="auto"/>
                      <w:lang w:val="en-US" w:eastAsia="en-US"/>
                    </w:rPr>
                    <w:t>总磷</w:t>
                  </w:r>
                </w:p>
              </w:tc>
              <w:tc>
                <w:tcPr>
                  <w:tcW w:w="573" w:type="pct"/>
                  <w:tcBorders>
                    <w:tl2br w:val="nil"/>
                    <w:tr2bl w:val="nil"/>
                  </w:tcBorders>
                  <w:vAlign w:val="center"/>
                </w:tcPr>
                <w:p w14:paraId="4E05B916">
                  <w:pPr>
                    <w:pStyle w:val="30"/>
                    <w:autoSpaceDE w:val="0"/>
                    <w:autoSpaceDN w:val="0"/>
                    <w:bidi w:val="0"/>
                    <w:jc w:val="center"/>
                    <w:rPr>
                      <w:rFonts w:hint="default"/>
                      <w:highlight w:val="none"/>
                      <w:u w:val="none" w:color="auto"/>
                      <w:lang w:eastAsia="en-US"/>
                    </w:rPr>
                  </w:pPr>
                  <w:r>
                    <w:rPr>
                      <w:rFonts w:hint="eastAsia"/>
                      <w:highlight w:val="none"/>
                      <w:u w:val="none" w:color="auto"/>
                      <w:lang w:val="en-US" w:eastAsia="zh-CN"/>
                    </w:rPr>
                    <w:t>4.1</w:t>
                  </w:r>
                </w:p>
              </w:tc>
              <w:tc>
                <w:tcPr>
                  <w:tcW w:w="515" w:type="pct"/>
                  <w:tcBorders>
                    <w:tl2br w:val="nil"/>
                    <w:tr2bl w:val="nil"/>
                  </w:tcBorders>
                  <w:vAlign w:val="center"/>
                </w:tcPr>
                <w:p w14:paraId="0ACD11E9">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0.000738</w:t>
                  </w:r>
                </w:p>
              </w:tc>
              <w:tc>
                <w:tcPr>
                  <w:tcW w:w="473" w:type="pct"/>
                  <w:vMerge w:val="continue"/>
                  <w:tcBorders>
                    <w:tl2br w:val="nil"/>
                    <w:tr2bl w:val="nil"/>
                  </w:tcBorders>
                  <w:vAlign w:val="center"/>
                </w:tcPr>
                <w:p w14:paraId="7F6D845F">
                  <w:pPr>
                    <w:pStyle w:val="30"/>
                    <w:autoSpaceDE w:val="0"/>
                    <w:autoSpaceDN w:val="0"/>
                    <w:bidi w:val="0"/>
                    <w:jc w:val="center"/>
                    <w:rPr>
                      <w:rFonts w:hint="default"/>
                      <w:highlight w:val="none"/>
                      <w:u w:val="none" w:color="auto"/>
                      <w:lang w:val="en-US" w:eastAsia="zh-CN"/>
                    </w:rPr>
                  </w:pPr>
                </w:p>
              </w:tc>
              <w:tc>
                <w:tcPr>
                  <w:tcW w:w="526" w:type="pct"/>
                  <w:vMerge w:val="continue"/>
                  <w:tcBorders>
                    <w:tl2br w:val="nil"/>
                    <w:tr2bl w:val="nil"/>
                  </w:tcBorders>
                  <w:vAlign w:val="center"/>
                </w:tcPr>
                <w:p w14:paraId="35A8DDDC">
                  <w:pPr>
                    <w:pStyle w:val="30"/>
                    <w:autoSpaceDE w:val="0"/>
                    <w:autoSpaceDN w:val="0"/>
                    <w:bidi w:val="0"/>
                    <w:jc w:val="center"/>
                    <w:rPr>
                      <w:rFonts w:hint="default"/>
                      <w:highlight w:val="none"/>
                      <w:u w:val="none" w:color="auto"/>
                      <w:lang w:val="en-US" w:eastAsia="zh-CN"/>
                    </w:rPr>
                  </w:pPr>
                </w:p>
              </w:tc>
              <w:tc>
                <w:tcPr>
                  <w:tcW w:w="429" w:type="pct"/>
                  <w:tcBorders>
                    <w:tl2br w:val="nil"/>
                    <w:tr2bl w:val="nil"/>
                  </w:tcBorders>
                  <w:vAlign w:val="center"/>
                </w:tcPr>
                <w:p w14:paraId="5A7CB02D">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5</w:t>
                  </w:r>
                </w:p>
              </w:tc>
              <w:tc>
                <w:tcPr>
                  <w:tcW w:w="338" w:type="pct"/>
                  <w:vMerge w:val="continue"/>
                  <w:tcBorders>
                    <w:tl2br w:val="nil"/>
                    <w:tr2bl w:val="nil"/>
                  </w:tcBorders>
                  <w:vAlign w:val="center"/>
                </w:tcPr>
                <w:p w14:paraId="4AF1DA3F">
                  <w:pPr>
                    <w:pStyle w:val="30"/>
                    <w:autoSpaceDE w:val="0"/>
                    <w:autoSpaceDN w:val="0"/>
                    <w:bidi w:val="0"/>
                    <w:jc w:val="center"/>
                    <w:rPr>
                      <w:rFonts w:hint="default"/>
                      <w:highlight w:val="none"/>
                      <w:u w:val="none" w:color="auto"/>
                      <w:lang w:val="en-US" w:eastAsia="zh-CN"/>
                    </w:rPr>
                  </w:pPr>
                </w:p>
              </w:tc>
              <w:tc>
                <w:tcPr>
                  <w:tcW w:w="577" w:type="pct"/>
                  <w:tcBorders>
                    <w:tl2br w:val="nil"/>
                    <w:tr2bl w:val="nil"/>
                  </w:tcBorders>
                  <w:vAlign w:val="center"/>
                </w:tcPr>
                <w:p w14:paraId="3150B6D4">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3.895</w:t>
                  </w:r>
                </w:p>
              </w:tc>
              <w:tc>
                <w:tcPr>
                  <w:tcW w:w="597" w:type="pct"/>
                  <w:tcBorders>
                    <w:tl2br w:val="nil"/>
                    <w:tr2bl w:val="nil"/>
                  </w:tcBorders>
                  <w:vAlign w:val="center"/>
                </w:tcPr>
                <w:p w14:paraId="7579A795">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0.000691</w:t>
                  </w:r>
                </w:p>
              </w:tc>
            </w:tr>
          </w:tbl>
          <w:p w14:paraId="69213F76">
            <w:pPr>
              <w:pStyle w:val="30"/>
              <w:keepNext w:val="0"/>
              <w:keepLines w:val="0"/>
              <w:pageBreakBefore w:val="0"/>
              <w:widowControl/>
              <w:kinsoku/>
              <w:wordWrap w:val="0"/>
              <w:overflowPunct/>
              <w:topLinePunct/>
              <w:autoSpaceDE/>
              <w:autoSpaceDN/>
              <w:bidi w:val="0"/>
              <w:adjustRightInd/>
              <w:snapToGrid/>
              <w:jc w:val="center"/>
              <w:rPr>
                <w:rFonts w:hint="eastAsia" w:cs="Times New Roman"/>
                <w:b/>
                <w:bCs/>
                <w:color w:val="auto"/>
                <w:highlight w:val="none"/>
                <w:u w:val="none" w:color="auto"/>
                <w:lang w:val="en-US" w:eastAsia="zh-CN"/>
              </w:rPr>
            </w:pPr>
            <w:r>
              <w:rPr>
                <w:rFonts w:hint="default"/>
                <w:b/>
                <w:bCs/>
                <w:highlight w:val="none"/>
                <w:u w:val="none" w:color="auto"/>
              </w:rPr>
              <w:t>表4-</w:t>
            </w:r>
            <w:r>
              <w:rPr>
                <w:rFonts w:hint="eastAsia"/>
                <w:b/>
                <w:bCs/>
                <w:highlight w:val="none"/>
                <w:u w:val="none" w:color="auto"/>
                <w:lang w:val="en-US" w:eastAsia="zh-CN"/>
              </w:rPr>
              <w:t xml:space="preserve">13   </w:t>
            </w:r>
            <w:r>
              <w:rPr>
                <w:rFonts w:hint="default"/>
                <w:b/>
                <w:bCs/>
                <w:highlight w:val="none"/>
                <w:u w:val="none" w:color="auto"/>
              </w:rPr>
              <w:t>废水类别、污染物及污染治理设施信息表</w:t>
            </w:r>
          </w:p>
          <w:tbl>
            <w:tblPr>
              <w:tblStyle w:val="4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17"/>
              <w:gridCol w:w="501"/>
              <w:gridCol w:w="1175"/>
              <w:gridCol w:w="917"/>
              <w:gridCol w:w="325"/>
              <w:gridCol w:w="794"/>
              <w:gridCol w:w="1009"/>
              <w:gridCol w:w="746"/>
              <w:gridCol w:w="453"/>
              <w:gridCol w:w="1269"/>
              <w:gridCol w:w="456"/>
            </w:tblGrid>
            <w:tr w14:paraId="4D4D2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99" w:type="pct"/>
                  <w:vMerge w:val="restart"/>
                  <w:tcBorders>
                    <w:tl2br w:val="nil"/>
                    <w:tr2bl w:val="nil"/>
                  </w:tcBorders>
                  <w:vAlign w:val="center"/>
                </w:tcPr>
                <w:p w14:paraId="3B83926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314" w:type="pct"/>
                  <w:vMerge w:val="restart"/>
                  <w:tcBorders>
                    <w:tl2br w:val="nil"/>
                    <w:tr2bl w:val="nil"/>
                  </w:tcBorders>
                  <w:vAlign w:val="center"/>
                </w:tcPr>
                <w:p w14:paraId="0171676A">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废水类别</w:t>
                  </w:r>
                </w:p>
              </w:tc>
              <w:tc>
                <w:tcPr>
                  <w:tcW w:w="737" w:type="pct"/>
                  <w:vMerge w:val="restart"/>
                  <w:tcBorders>
                    <w:tl2br w:val="nil"/>
                    <w:tr2bl w:val="nil"/>
                  </w:tcBorders>
                  <w:vAlign w:val="center"/>
                </w:tcPr>
                <w:p w14:paraId="37DC5ED3">
                  <w:pPr>
                    <w:pStyle w:val="30"/>
                    <w:keepNext w:val="0"/>
                    <w:keepLines w:val="0"/>
                    <w:pageBreakBefore w:val="0"/>
                    <w:widowControl/>
                    <w:kinsoku/>
                    <w:wordWrap w:val="0"/>
                    <w:overflowPunct/>
                    <w:topLinePunct/>
                    <w:autoSpaceDE/>
                    <w:autoSpaceDN/>
                    <w:bidi w:val="0"/>
                    <w:adjustRightInd/>
                    <w:snapToGrid/>
                    <w:spacing w:before="0" w:after="0" w:line="240" w:lineRule="auto"/>
                    <w:jc w:val="both"/>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污染物种类</w:t>
                  </w:r>
                </w:p>
              </w:tc>
              <w:tc>
                <w:tcPr>
                  <w:tcW w:w="575" w:type="pct"/>
                  <w:vMerge w:val="restart"/>
                  <w:tcBorders>
                    <w:tl2br w:val="nil"/>
                    <w:tr2bl w:val="nil"/>
                  </w:tcBorders>
                  <w:vAlign w:val="center"/>
                </w:tcPr>
                <w:p w14:paraId="2641A718">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排放去向</w:t>
                  </w:r>
                </w:p>
              </w:tc>
              <w:tc>
                <w:tcPr>
                  <w:tcW w:w="204" w:type="pct"/>
                  <w:vMerge w:val="restart"/>
                  <w:tcBorders>
                    <w:tl2br w:val="nil"/>
                    <w:tr2bl w:val="nil"/>
                  </w:tcBorders>
                  <w:vAlign w:val="center"/>
                </w:tcPr>
                <w:p w14:paraId="73599BB7">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排放规律</w:t>
                  </w:r>
                </w:p>
              </w:tc>
              <w:tc>
                <w:tcPr>
                  <w:tcW w:w="1599" w:type="pct"/>
                  <w:gridSpan w:val="3"/>
                  <w:tcBorders>
                    <w:tl2br w:val="nil"/>
                    <w:tr2bl w:val="nil"/>
                  </w:tcBorders>
                  <w:vAlign w:val="center"/>
                </w:tcPr>
                <w:p w14:paraId="559330D2">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w:t>
                  </w:r>
                </w:p>
              </w:tc>
              <w:tc>
                <w:tcPr>
                  <w:tcW w:w="284" w:type="pct"/>
                  <w:vMerge w:val="restart"/>
                  <w:tcBorders>
                    <w:tl2br w:val="nil"/>
                    <w:tr2bl w:val="nil"/>
                  </w:tcBorders>
                  <w:vAlign w:val="center"/>
                </w:tcPr>
                <w:p w14:paraId="00309B68">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w:t>
                  </w:r>
                </w:p>
                <w:p w14:paraId="7F57E180">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口编</w:t>
                  </w:r>
                </w:p>
                <w:p w14:paraId="58B983A4">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号</w:t>
                  </w:r>
                </w:p>
              </w:tc>
              <w:tc>
                <w:tcPr>
                  <w:tcW w:w="796" w:type="pct"/>
                  <w:vMerge w:val="restart"/>
                  <w:tcBorders>
                    <w:tl2br w:val="nil"/>
                    <w:tr2bl w:val="nil"/>
                  </w:tcBorders>
                  <w:vAlign w:val="center"/>
                </w:tcPr>
                <w:p w14:paraId="63CE7DDF">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排放口设置是否符合要求</w:t>
                  </w:r>
                </w:p>
              </w:tc>
              <w:tc>
                <w:tcPr>
                  <w:tcW w:w="286" w:type="pct"/>
                  <w:vMerge w:val="restart"/>
                  <w:tcBorders>
                    <w:tl2br w:val="nil"/>
                    <w:tr2bl w:val="nil"/>
                  </w:tcBorders>
                  <w:vAlign w:val="center"/>
                </w:tcPr>
                <w:p w14:paraId="1F7848F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排放口类型</w:t>
                  </w:r>
                </w:p>
              </w:tc>
            </w:tr>
            <w:tr w14:paraId="4B70F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99" w:type="pct"/>
                  <w:vMerge w:val="continue"/>
                  <w:tcBorders>
                    <w:tl2br w:val="nil"/>
                    <w:tr2bl w:val="nil"/>
                  </w:tcBorders>
                  <w:vAlign w:val="center"/>
                </w:tcPr>
                <w:p w14:paraId="405E45E1">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314" w:type="pct"/>
                  <w:vMerge w:val="continue"/>
                  <w:tcBorders>
                    <w:tl2br w:val="nil"/>
                    <w:tr2bl w:val="nil"/>
                  </w:tcBorders>
                  <w:vAlign w:val="center"/>
                </w:tcPr>
                <w:p w14:paraId="0821EB5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737" w:type="pct"/>
                  <w:vMerge w:val="continue"/>
                  <w:tcBorders>
                    <w:tl2br w:val="nil"/>
                    <w:tr2bl w:val="nil"/>
                  </w:tcBorders>
                  <w:vAlign w:val="center"/>
                </w:tcPr>
                <w:p w14:paraId="2569F163">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575" w:type="pct"/>
                  <w:vMerge w:val="continue"/>
                  <w:tcBorders>
                    <w:tl2br w:val="nil"/>
                    <w:tr2bl w:val="nil"/>
                  </w:tcBorders>
                  <w:vAlign w:val="center"/>
                </w:tcPr>
                <w:p w14:paraId="0174338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204" w:type="pct"/>
                  <w:vMerge w:val="continue"/>
                  <w:tcBorders>
                    <w:tl2br w:val="nil"/>
                    <w:tr2bl w:val="nil"/>
                  </w:tcBorders>
                  <w:vAlign w:val="center"/>
                </w:tcPr>
                <w:p w14:paraId="115B137A">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498" w:type="pct"/>
                  <w:tcBorders>
                    <w:tl2br w:val="nil"/>
                    <w:tr2bl w:val="nil"/>
                  </w:tcBorders>
                  <w:vAlign w:val="center"/>
                </w:tcPr>
                <w:p w14:paraId="2B3B4A3F">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w:t>
                  </w:r>
                </w:p>
                <w:p w14:paraId="0B793E84">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治理</w:t>
                  </w:r>
                </w:p>
                <w:p w14:paraId="327E3A5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设施</w:t>
                  </w:r>
                </w:p>
                <w:p w14:paraId="7067D94E">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编号</w:t>
                  </w:r>
                </w:p>
              </w:tc>
              <w:tc>
                <w:tcPr>
                  <w:tcW w:w="633" w:type="pct"/>
                  <w:tcBorders>
                    <w:tl2br w:val="nil"/>
                    <w:tr2bl w:val="nil"/>
                  </w:tcBorders>
                  <w:vAlign w:val="center"/>
                </w:tcPr>
                <w:p w14:paraId="1185BB6C">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污染治理设施名称</w:t>
                  </w:r>
                </w:p>
              </w:tc>
              <w:tc>
                <w:tcPr>
                  <w:tcW w:w="467" w:type="pct"/>
                  <w:tcBorders>
                    <w:tl2br w:val="nil"/>
                    <w:tr2bl w:val="nil"/>
                  </w:tcBorders>
                  <w:vAlign w:val="center"/>
                </w:tcPr>
                <w:p w14:paraId="435AF6E3">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污染治理设施工艺</w:t>
                  </w:r>
                </w:p>
              </w:tc>
              <w:tc>
                <w:tcPr>
                  <w:tcW w:w="284" w:type="pct"/>
                  <w:vMerge w:val="continue"/>
                  <w:tcBorders>
                    <w:tl2br w:val="nil"/>
                    <w:tr2bl w:val="nil"/>
                  </w:tcBorders>
                  <w:vAlign w:val="center"/>
                </w:tcPr>
                <w:p w14:paraId="7936CB44">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796" w:type="pct"/>
                  <w:vMerge w:val="continue"/>
                  <w:tcBorders>
                    <w:tl2br w:val="nil"/>
                    <w:tr2bl w:val="nil"/>
                  </w:tcBorders>
                  <w:vAlign w:val="center"/>
                </w:tcPr>
                <w:p w14:paraId="7774B1DF">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286" w:type="pct"/>
                  <w:vMerge w:val="continue"/>
                  <w:tcBorders>
                    <w:tl2br w:val="nil"/>
                    <w:tr2bl w:val="nil"/>
                  </w:tcBorders>
                  <w:vAlign w:val="center"/>
                </w:tcPr>
                <w:p w14:paraId="12625D82">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r>
            <w:tr w14:paraId="06FE4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99" w:type="pct"/>
                  <w:tcBorders>
                    <w:tl2br w:val="nil"/>
                    <w:tr2bl w:val="nil"/>
                  </w:tcBorders>
                  <w:vAlign w:val="center"/>
                </w:tcPr>
                <w:p w14:paraId="396EE97D">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314" w:type="pct"/>
                  <w:tcBorders>
                    <w:tl2br w:val="nil"/>
                    <w:tr2bl w:val="nil"/>
                  </w:tcBorders>
                  <w:vAlign w:val="center"/>
                </w:tcPr>
                <w:p w14:paraId="2B1DB23A">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w:t>
                  </w:r>
                  <w:r>
                    <w:rPr>
                      <w:rFonts w:hint="default" w:ascii="Times New Roman" w:hAnsi="Times New Roman" w:cs="Times New Roman"/>
                      <w:color w:val="auto"/>
                      <w:highlight w:val="none"/>
                      <w:u w:val="none" w:color="auto"/>
                      <w:lang w:val="en-US" w:eastAsia="zh-CN"/>
                    </w:rPr>
                    <w:t>污</w:t>
                  </w:r>
                  <w:r>
                    <w:rPr>
                      <w:rFonts w:hint="default" w:ascii="Times New Roman" w:hAnsi="Times New Roman" w:cs="Times New Roman"/>
                      <w:color w:val="auto"/>
                      <w:highlight w:val="none"/>
                      <w:u w:val="none" w:color="auto"/>
                    </w:rPr>
                    <w:t>水</w:t>
                  </w:r>
                </w:p>
              </w:tc>
              <w:tc>
                <w:tcPr>
                  <w:tcW w:w="737" w:type="pct"/>
                  <w:tcBorders>
                    <w:tl2br w:val="nil"/>
                    <w:tr2bl w:val="nil"/>
                  </w:tcBorders>
                  <w:vAlign w:val="center"/>
                </w:tcPr>
                <w:p w14:paraId="422C6EA9">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pH、COD</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BOD</w:t>
                  </w:r>
                  <w:r>
                    <w:rPr>
                      <w:rFonts w:hint="default" w:ascii="Times New Roman" w:hAnsi="Times New Roman" w:cs="Times New Roman"/>
                      <w:color w:val="auto"/>
                      <w:highlight w:val="none"/>
                      <w:u w:val="none" w:color="auto"/>
                      <w:vertAlign w:val="subscript"/>
                    </w:rPr>
                    <w:t>5</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SS</w:t>
                  </w:r>
                  <w:r>
                    <w:rPr>
                      <w:rFonts w:hint="default" w:ascii="Times New Roman" w:hAnsi="Times New Roman" w:cs="Times New Roman"/>
                      <w:color w:val="auto"/>
                      <w:highlight w:val="none"/>
                      <w:u w:val="none" w:color="auto"/>
                      <w:lang w:eastAsia="zh-CN"/>
                    </w:rPr>
                    <w:t>、</w:t>
                  </w:r>
                </w:p>
                <w:p w14:paraId="486119C3">
                  <w:pPr>
                    <w:pStyle w:val="30"/>
                    <w:keepNext w:val="0"/>
                    <w:keepLines w:val="0"/>
                    <w:pageBreakBefore w:val="0"/>
                    <w:widowControl/>
                    <w:kinsoku/>
                    <w:wordWrap w:val="0"/>
                    <w:overflowPunct/>
                    <w:topLinePunct/>
                    <w:autoSpaceDE/>
                    <w:autoSpaceDN/>
                    <w:bidi w:val="0"/>
                    <w:adjustRightInd/>
                    <w:snapToGrid/>
                    <w:spacing w:before="0" w:after="0" w:line="240" w:lineRule="auto"/>
                    <w:jc w:val="both"/>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-N</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总磷</w:t>
                  </w:r>
                </w:p>
              </w:tc>
              <w:tc>
                <w:tcPr>
                  <w:tcW w:w="575" w:type="pct"/>
                  <w:tcBorders>
                    <w:tl2br w:val="nil"/>
                    <w:tr2bl w:val="nil"/>
                  </w:tcBorders>
                  <w:vAlign w:val="center"/>
                </w:tcPr>
                <w:p w14:paraId="7016AEDB">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周边农肥</w:t>
                  </w:r>
                </w:p>
              </w:tc>
              <w:tc>
                <w:tcPr>
                  <w:tcW w:w="204" w:type="pct"/>
                  <w:tcBorders>
                    <w:tl2br w:val="nil"/>
                    <w:tr2bl w:val="nil"/>
                  </w:tcBorders>
                  <w:vAlign w:val="center"/>
                </w:tcPr>
                <w:p w14:paraId="74A703F4">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eastAsia="zh-CN"/>
                    </w:rPr>
                  </w:pPr>
                  <w:r>
                    <w:rPr>
                      <w:rFonts w:hint="eastAsia" w:ascii="Times New Roman" w:hAnsi="Times New Roman" w:cs="Times New Roman"/>
                      <w:color w:val="auto"/>
                      <w:highlight w:val="none"/>
                      <w:u w:val="none" w:color="auto"/>
                      <w:lang w:val="en-US" w:eastAsia="zh-CN"/>
                    </w:rPr>
                    <w:t>/</w:t>
                  </w:r>
                </w:p>
              </w:tc>
              <w:tc>
                <w:tcPr>
                  <w:tcW w:w="498" w:type="pct"/>
                  <w:tcBorders>
                    <w:tl2br w:val="nil"/>
                    <w:tr2bl w:val="nil"/>
                  </w:tcBorders>
                  <w:vAlign w:val="center"/>
                </w:tcPr>
                <w:p w14:paraId="0731920D">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TW001</w:t>
                  </w:r>
                </w:p>
              </w:tc>
              <w:tc>
                <w:tcPr>
                  <w:tcW w:w="633" w:type="pct"/>
                  <w:tcBorders>
                    <w:tl2br w:val="nil"/>
                    <w:tr2bl w:val="nil"/>
                  </w:tcBorders>
                  <w:vAlign w:val="center"/>
                </w:tcPr>
                <w:p w14:paraId="1B630560">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三级</w:t>
                  </w:r>
                  <w:r>
                    <w:rPr>
                      <w:rFonts w:hint="default" w:ascii="Times New Roman" w:hAnsi="Times New Roman" w:cs="Times New Roman"/>
                      <w:color w:val="auto"/>
                      <w:highlight w:val="none"/>
                      <w:u w:val="none" w:color="auto"/>
                    </w:rPr>
                    <w:t>化粪池</w:t>
                  </w:r>
                </w:p>
              </w:tc>
              <w:tc>
                <w:tcPr>
                  <w:tcW w:w="467" w:type="pct"/>
                  <w:tcBorders>
                    <w:tl2br w:val="nil"/>
                    <w:tr2bl w:val="nil"/>
                  </w:tcBorders>
                  <w:vAlign w:val="center"/>
                </w:tcPr>
                <w:p w14:paraId="1865213D">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预处理</w:t>
                  </w:r>
                </w:p>
              </w:tc>
              <w:tc>
                <w:tcPr>
                  <w:tcW w:w="284" w:type="pct"/>
                  <w:tcBorders>
                    <w:tl2br w:val="nil"/>
                    <w:tr2bl w:val="nil"/>
                  </w:tcBorders>
                  <w:vAlign w:val="center"/>
                </w:tcPr>
                <w:p w14:paraId="5D77ED91">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c>
                <w:tcPr>
                  <w:tcW w:w="796" w:type="pct"/>
                  <w:tcBorders>
                    <w:tl2br w:val="nil"/>
                    <w:tr2bl w:val="nil"/>
                  </w:tcBorders>
                  <w:vAlign w:val="center"/>
                </w:tcPr>
                <w:p w14:paraId="76464DAA">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c>
                <w:tcPr>
                  <w:tcW w:w="286" w:type="pct"/>
                  <w:tcBorders>
                    <w:tl2br w:val="nil"/>
                    <w:tr2bl w:val="nil"/>
                  </w:tcBorders>
                  <w:vAlign w:val="center"/>
                </w:tcPr>
                <w:p w14:paraId="571F7990">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r>
            <w:tr w14:paraId="66DC5C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9" w:type="pct"/>
                  <w:tcBorders>
                    <w:tl2br w:val="nil"/>
                    <w:tr2bl w:val="nil"/>
                  </w:tcBorders>
                  <w:vAlign w:val="center"/>
                </w:tcPr>
                <w:p w14:paraId="112C0A8C">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w:t>
                  </w:r>
                </w:p>
              </w:tc>
              <w:tc>
                <w:tcPr>
                  <w:tcW w:w="314" w:type="pct"/>
                  <w:tcBorders>
                    <w:tl2br w:val="nil"/>
                    <w:tr2bl w:val="nil"/>
                  </w:tcBorders>
                  <w:vAlign w:val="center"/>
                </w:tcPr>
                <w:p w14:paraId="1886B035">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highlight w:val="none"/>
                      <w:u w:val="none" w:color="auto"/>
                      <w:lang w:val="en-US" w:eastAsia="zh-CN"/>
                    </w:rPr>
                    <w:t>水膜除尘用水</w:t>
                  </w:r>
                </w:p>
              </w:tc>
              <w:tc>
                <w:tcPr>
                  <w:tcW w:w="737" w:type="pct"/>
                  <w:tcBorders>
                    <w:tl2br w:val="nil"/>
                    <w:tr2bl w:val="nil"/>
                  </w:tcBorders>
                  <w:vAlign w:val="center"/>
                </w:tcPr>
                <w:p w14:paraId="04C71E52">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SS</w:t>
                  </w:r>
                </w:p>
              </w:tc>
              <w:tc>
                <w:tcPr>
                  <w:tcW w:w="575" w:type="pct"/>
                  <w:tcBorders>
                    <w:tl2br w:val="nil"/>
                    <w:tr2bl w:val="nil"/>
                  </w:tcBorders>
                  <w:vAlign w:val="center"/>
                </w:tcPr>
                <w:p w14:paraId="3A720C4F">
                  <w:pPr>
                    <w:pStyle w:val="30"/>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循环使用</w:t>
                  </w:r>
                </w:p>
              </w:tc>
              <w:tc>
                <w:tcPr>
                  <w:tcW w:w="204" w:type="pct"/>
                  <w:tcBorders>
                    <w:tl2br w:val="nil"/>
                    <w:tr2bl w:val="nil"/>
                  </w:tcBorders>
                  <w:vAlign w:val="center"/>
                </w:tcPr>
                <w:p w14:paraId="7187B7E8">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498" w:type="pct"/>
                  <w:tcBorders>
                    <w:tl2br w:val="nil"/>
                    <w:tr2bl w:val="nil"/>
                  </w:tcBorders>
                  <w:vAlign w:val="center"/>
                </w:tcPr>
                <w:p w14:paraId="267DCBBB">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w:t>
                  </w:r>
                </w:p>
              </w:tc>
              <w:tc>
                <w:tcPr>
                  <w:tcW w:w="633" w:type="pct"/>
                  <w:tcBorders>
                    <w:tl2br w:val="nil"/>
                    <w:tr2bl w:val="nil"/>
                  </w:tcBorders>
                  <w:vAlign w:val="center"/>
                </w:tcPr>
                <w:p w14:paraId="29F4FFA0">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467" w:type="pct"/>
                  <w:tcBorders>
                    <w:tl2br w:val="nil"/>
                    <w:tr2bl w:val="nil"/>
                  </w:tcBorders>
                  <w:vAlign w:val="center"/>
                </w:tcPr>
                <w:p w14:paraId="52D4471B">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w:t>
                  </w:r>
                </w:p>
              </w:tc>
              <w:tc>
                <w:tcPr>
                  <w:tcW w:w="284" w:type="pct"/>
                  <w:tcBorders>
                    <w:tl2br w:val="nil"/>
                    <w:tr2bl w:val="nil"/>
                  </w:tcBorders>
                  <w:vAlign w:val="center"/>
                </w:tcPr>
                <w:p w14:paraId="0933F033">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796" w:type="pct"/>
                  <w:tcBorders>
                    <w:tl2br w:val="nil"/>
                    <w:tr2bl w:val="nil"/>
                  </w:tcBorders>
                  <w:vAlign w:val="center"/>
                </w:tcPr>
                <w:p w14:paraId="31F100AC">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286" w:type="pct"/>
                  <w:tcBorders>
                    <w:tl2br w:val="nil"/>
                    <w:tr2bl w:val="nil"/>
                  </w:tcBorders>
                  <w:vAlign w:val="center"/>
                </w:tcPr>
                <w:p w14:paraId="1B370599">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r>
          </w:tbl>
          <w:p w14:paraId="7D897D04">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废水治理设施进行处理的可</w:t>
            </w:r>
            <w:r>
              <w:rPr>
                <w:rFonts w:hint="eastAsia" w:cs="Times New Roman"/>
                <w:b/>
                <w:bCs/>
                <w:color w:val="auto"/>
                <w:highlight w:val="none"/>
                <w:u w:val="none" w:color="auto"/>
                <w:lang w:val="en-US" w:eastAsia="zh-CN"/>
              </w:rPr>
              <w:t>行</w:t>
            </w:r>
            <w:r>
              <w:rPr>
                <w:rFonts w:hint="default" w:ascii="Times New Roman" w:hAnsi="Times New Roman" w:cs="Times New Roman"/>
                <w:b/>
                <w:bCs/>
                <w:color w:val="auto"/>
                <w:highlight w:val="none"/>
                <w:u w:val="none" w:color="auto"/>
              </w:rPr>
              <w:t>性分析</w:t>
            </w:r>
          </w:p>
          <w:p w14:paraId="5FC9459C">
            <w:pPr>
              <w:pStyle w:val="25"/>
              <w:keepNext w:val="0"/>
              <w:keepLines w:val="0"/>
              <w:pageBreakBefore w:val="0"/>
              <w:widowControl/>
              <w:kinsoku/>
              <w:wordWrap w:val="0"/>
              <w:overflowPunct/>
              <w:topLinePunct/>
              <w:autoSpaceDE/>
              <w:autoSpaceDN/>
              <w:bidi w:val="0"/>
              <w:adjustRightInd/>
              <w:snapToGrid/>
              <w:rPr>
                <w:rFonts w:hint="eastAsia" w:cs="Times New Roman"/>
                <w:color w:val="auto"/>
                <w:highlight w:val="none"/>
                <w:u w:val="none" w:color="auto"/>
                <w:lang w:val="en-US" w:eastAsia="zh-CN"/>
              </w:rPr>
            </w:pPr>
            <w:r>
              <w:rPr>
                <w:rFonts w:hint="default" w:ascii="Times New Roman" w:hAnsi="Times New Roman" w:cs="Times New Roman"/>
                <w:color w:val="auto"/>
                <w:highlight w:val="none"/>
                <w:u w:val="none" w:color="auto"/>
              </w:rPr>
              <w:t>（1）</w:t>
            </w:r>
            <w:r>
              <w:rPr>
                <w:rFonts w:hint="eastAsia" w:cs="Times New Roman"/>
                <w:color w:val="auto"/>
                <w:highlight w:val="none"/>
                <w:u w:val="none" w:color="auto"/>
                <w:lang w:val="en-US" w:eastAsia="zh-CN"/>
              </w:rPr>
              <w:t>采用“三级化粪池”处理设施并经其处理后用作农肥可</w:t>
            </w:r>
            <w:r>
              <w:rPr>
                <w:rFonts w:hint="eastAsia" w:cs="Times New Roman"/>
                <w:b w:val="0"/>
                <w:bCs w:val="0"/>
                <w:color w:val="auto"/>
                <w:highlight w:val="none"/>
                <w:u w:val="none" w:color="auto"/>
                <w:lang w:val="en-US" w:eastAsia="zh-CN"/>
              </w:rPr>
              <w:t>行</w:t>
            </w:r>
            <w:r>
              <w:rPr>
                <w:rFonts w:hint="eastAsia" w:cs="Times New Roman"/>
                <w:color w:val="auto"/>
                <w:highlight w:val="none"/>
                <w:u w:val="none" w:color="auto"/>
                <w:lang w:val="en-US" w:eastAsia="zh-CN"/>
              </w:rPr>
              <w:t>性分析</w:t>
            </w:r>
          </w:p>
          <w:p w14:paraId="7F3A2CA8">
            <w:pPr>
              <w:pStyle w:val="25"/>
              <w:bidi w:val="0"/>
              <w:rPr>
                <w:rFonts w:hint="eastAsia"/>
                <w:highlight w:val="none"/>
                <w:u w:val="none" w:color="auto"/>
                <w:lang w:val="en-US" w:eastAsia="zh-CN"/>
              </w:rPr>
            </w:pPr>
            <w:r>
              <w:rPr>
                <w:rFonts w:hint="eastAsia"/>
                <w:highlight w:val="none"/>
                <w:u w:val="none" w:color="auto"/>
                <w:lang w:val="en-US" w:eastAsia="zh-CN"/>
              </w:rPr>
              <w:t>三级化粪池是一种传统的污水处理设施，通过厌氧发酵原理，对污水中的有机物进行分解和稳定。技术成熟、操作简单，适用于各类规模的污水预处理。</w:t>
            </w:r>
          </w:p>
          <w:p w14:paraId="0F57B5E8">
            <w:pPr>
              <w:pStyle w:val="25"/>
              <w:bidi w:val="0"/>
              <w:rPr>
                <w:rFonts w:hint="eastAsia" w:cs="Times New Roman"/>
                <w:color w:val="auto"/>
                <w:highlight w:val="none"/>
                <w:u w:val="none" w:color="auto"/>
                <w:lang w:val="en-US" w:eastAsia="zh-CN"/>
              </w:rPr>
            </w:pPr>
            <w:r>
              <w:rPr>
                <w:rFonts w:hint="eastAsia"/>
                <w:highlight w:val="none"/>
                <w:u w:val="none" w:color="auto"/>
                <w:lang w:val="en-US" w:eastAsia="zh-CN"/>
              </w:rPr>
              <w:t>其成本相对较低，维护管理简便。同时，三级化粪池能够有效减少污水中的有机物含量，减轻后续处理</w:t>
            </w:r>
            <w:r>
              <w:rPr>
                <w:rFonts w:hint="eastAsia" w:cs="Times New Roman"/>
                <w:color w:val="auto"/>
                <w:highlight w:val="none"/>
                <w:u w:val="none" w:color="auto"/>
                <w:lang w:val="en-US" w:eastAsia="zh-CN"/>
              </w:rPr>
              <w:t>设施的压力，降低整体污水处理成本。三级化粪池能够减少污水中的病原体和臭味物质。</w:t>
            </w:r>
          </w:p>
          <w:p w14:paraId="2C267BD0">
            <w:pPr>
              <w:pStyle w:val="25"/>
              <w:keepNext w:val="0"/>
              <w:keepLines w:val="0"/>
              <w:pageBreakBefore w:val="0"/>
              <w:widowControl/>
              <w:kinsoku/>
              <w:wordWrap w:val="0"/>
              <w:overflowPunct/>
              <w:topLinePunct/>
              <w:autoSpaceDE/>
              <w:autoSpaceDN/>
              <w:bidi w:val="0"/>
              <w:adjustRightInd/>
              <w:snapToGrid/>
              <w:rPr>
                <w:rFonts w:hint="eastAsia"/>
                <w:highlight w:val="none"/>
                <w:u w:val="none" w:color="auto"/>
              </w:rPr>
            </w:pPr>
            <w:r>
              <w:rPr>
                <w:rFonts w:hint="eastAsia"/>
                <w:highlight w:val="none"/>
                <w:u w:val="none" w:color="auto"/>
              </w:rPr>
              <w:t>根据《湖南省用水定额》(DB43/T388-2020)</w:t>
            </w:r>
            <w:r>
              <w:rPr>
                <w:rFonts w:hint="eastAsia"/>
                <w:highlight w:val="none"/>
                <w:u w:val="none" w:color="auto"/>
                <w:lang w:val="en-US" w:eastAsia="zh-CN"/>
              </w:rPr>
              <w:t>可知</w:t>
            </w:r>
            <w:r>
              <w:rPr>
                <w:rFonts w:hint="eastAsia"/>
                <w:highlight w:val="none"/>
                <w:u w:val="none" w:color="auto"/>
              </w:rPr>
              <w:t>，项目所在地属于洞庭湖及环湖区，灌溉分区为</w:t>
            </w:r>
            <w:r>
              <w:rPr>
                <w:rFonts w:hint="eastAsia"/>
                <w:highlight w:val="none"/>
                <w:u w:val="none" w:color="auto"/>
                <w:lang w:val="en-US" w:eastAsia="zh-CN"/>
              </w:rPr>
              <w:t>Ⅲ</w:t>
            </w:r>
            <w:r>
              <w:rPr>
                <w:rFonts w:hint="eastAsia"/>
                <w:highlight w:val="none"/>
                <w:u w:val="none" w:color="auto"/>
              </w:rPr>
              <w:t>区，项目周边田地主要种植水稻，早稻、中稻和晚稻的净灌溉用水基准定额为155~411m</w:t>
            </w:r>
            <w:r>
              <w:rPr>
                <w:rFonts w:hint="eastAsia"/>
                <w:highlight w:val="none"/>
                <w:u w:val="none" w:color="auto"/>
                <w:vertAlign w:val="superscript"/>
              </w:rPr>
              <w:t>3</w:t>
            </w:r>
            <w:r>
              <w:rPr>
                <w:rFonts w:hint="eastAsia"/>
                <w:highlight w:val="none"/>
                <w:u w:val="none" w:color="auto"/>
              </w:rPr>
              <w:t>/亩</w:t>
            </w:r>
            <w:r>
              <w:rPr>
                <w:rFonts w:hint="eastAsia"/>
                <w:highlight w:val="none"/>
                <w:u w:val="none" w:color="auto"/>
                <w:lang w:val="en-US" w:eastAsia="zh-CN"/>
              </w:rPr>
              <w:t>·</w:t>
            </w:r>
            <w:r>
              <w:rPr>
                <w:rFonts w:hint="eastAsia"/>
                <w:highlight w:val="none"/>
                <w:u w:val="none" w:color="auto"/>
              </w:rPr>
              <w:t>a</w:t>
            </w:r>
            <w:r>
              <w:rPr>
                <w:rFonts w:hint="eastAsia"/>
                <w:highlight w:val="none"/>
                <w:u w:val="none" w:color="auto"/>
                <w:lang w:eastAsia="zh-CN"/>
              </w:rPr>
              <w:t>；</w:t>
            </w:r>
            <w:r>
              <w:rPr>
                <w:rFonts w:hint="eastAsia"/>
                <w:highlight w:val="none"/>
                <w:u w:val="none" w:color="auto"/>
              </w:rPr>
              <w:t>本项目周边能用于消纳粪污水的农田至少有10亩，则项目周边农田所需施肥用水总量为1550~4110m</w:t>
            </w:r>
            <w:r>
              <w:rPr>
                <w:rFonts w:hint="eastAsia"/>
                <w:highlight w:val="none"/>
                <w:u w:val="none" w:color="auto"/>
                <w:vertAlign w:val="superscript"/>
                <w:lang w:val="en-US" w:eastAsia="zh-CN"/>
              </w:rPr>
              <w:t>3</w:t>
            </w:r>
            <w:r>
              <w:rPr>
                <w:rFonts w:hint="eastAsia"/>
                <w:highlight w:val="none"/>
                <w:u w:val="none" w:color="auto"/>
              </w:rPr>
              <w:t>/a。本项目营运期员工生活污水产生量为</w:t>
            </w:r>
            <w:r>
              <w:rPr>
                <w:rFonts w:hint="eastAsia" w:cs="Times New Roman"/>
                <w:color w:val="auto"/>
                <w:sz w:val="24"/>
                <w:highlight w:val="none"/>
                <w:u w:val="none" w:color="auto"/>
                <w:lang w:val="en-US" w:eastAsia="zh-CN"/>
              </w:rPr>
              <w:t>152</w:t>
            </w:r>
            <w:r>
              <w:rPr>
                <w:rFonts w:hint="eastAsia"/>
                <w:highlight w:val="none"/>
                <w:u w:val="none" w:color="auto"/>
              </w:rPr>
              <w:t>m</w:t>
            </w:r>
            <w:r>
              <w:rPr>
                <w:rFonts w:hint="eastAsia"/>
                <w:highlight w:val="none"/>
                <w:u w:val="none" w:color="auto"/>
                <w:vertAlign w:val="superscript"/>
              </w:rPr>
              <w:t>3</w:t>
            </w:r>
            <w:r>
              <w:rPr>
                <w:rFonts w:hint="eastAsia"/>
                <w:highlight w:val="none"/>
                <w:u w:val="none" w:color="auto"/>
              </w:rPr>
              <w:t>/a。由此表明，从水量上，项目附近的农田完全可以消纳本项目产生的生活污水</w:t>
            </w:r>
            <w:r>
              <w:rPr>
                <w:rFonts w:hint="eastAsia"/>
                <w:highlight w:val="none"/>
                <w:u w:val="none" w:color="auto"/>
                <w:lang w:eastAsia="zh-CN"/>
              </w:rPr>
              <w:t>；</w:t>
            </w:r>
            <w:r>
              <w:rPr>
                <w:rFonts w:hint="eastAsia"/>
                <w:highlight w:val="none"/>
                <w:u w:val="none" w:color="auto"/>
              </w:rPr>
              <w:t>本项目粪污农用主要采用人工挑运的方式，从运输方式上可行。</w:t>
            </w:r>
          </w:p>
          <w:p w14:paraId="6DD68709">
            <w:pPr>
              <w:pStyle w:val="25"/>
              <w:keepNext w:val="0"/>
              <w:keepLines w:val="0"/>
              <w:pageBreakBefore w:val="0"/>
              <w:widowControl/>
              <w:kinsoku/>
              <w:wordWrap w:val="0"/>
              <w:overflowPunct/>
              <w:topLinePunct/>
              <w:autoSpaceDE/>
              <w:autoSpaceDN/>
              <w:bidi w:val="0"/>
              <w:adjustRightInd/>
              <w:snapToGrid/>
              <w:rPr>
                <w:rFonts w:hint="eastAsia"/>
                <w:highlight w:val="none"/>
                <w:u w:val="none" w:color="auto"/>
              </w:rPr>
            </w:pPr>
            <w:r>
              <w:rPr>
                <w:rFonts w:hint="eastAsia"/>
                <w:highlight w:val="none"/>
                <w:u w:val="none" w:color="auto"/>
              </w:rPr>
              <w:t>同时，生活污水污染因子单一，可生化降解能力强，根据中国农村现状情况，及各地农村实际耕作经验，人畜的粪便经化粪池初步处理后是较好的生态有机肥，可以单独使用，也可以配合化肥使用。</w:t>
            </w:r>
          </w:p>
          <w:p w14:paraId="01E4D2DE">
            <w:pPr>
              <w:pStyle w:val="25"/>
              <w:keepNext w:val="0"/>
              <w:keepLines w:val="0"/>
              <w:pageBreakBefore w:val="0"/>
              <w:widowControl/>
              <w:kinsoku/>
              <w:wordWrap w:val="0"/>
              <w:overflowPunct/>
              <w:topLinePunct/>
              <w:autoSpaceDE/>
              <w:autoSpaceDN/>
              <w:bidi w:val="0"/>
              <w:adjustRightInd/>
              <w:snapToGrid/>
              <w:rPr>
                <w:highlight w:val="none"/>
                <w:u w:val="none" w:color="auto"/>
              </w:rPr>
            </w:pPr>
            <w:r>
              <w:rPr>
                <w:rFonts w:hint="eastAsia"/>
                <w:highlight w:val="none"/>
                <w:u w:val="none" w:color="auto"/>
              </w:rPr>
              <w:t>综上所述，本项目的生活污水从水量、运输方式、水质上看，用作农肥是可行的。</w:t>
            </w:r>
          </w:p>
          <w:p w14:paraId="569EA30A">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lang w:val="en-US" w:eastAsia="zh-CN"/>
              </w:rPr>
            </w:pPr>
            <w:r>
              <w:rPr>
                <w:rFonts w:hint="eastAsia"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监测要求</w:t>
            </w:r>
          </w:p>
          <w:p w14:paraId="345673A9">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rPr>
            </w:pPr>
            <w:r>
              <w:rPr>
                <w:rFonts w:hint="default"/>
                <w:color w:val="auto"/>
                <w:highlight w:val="none"/>
                <w:u w:val="none" w:color="auto"/>
              </w:rPr>
              <w:t>本项目的生活污水经</w:t>
            </w:r>
            <w:r>
              <w:rPr>
                <w:rFonts w:hint="eastAsia"/>
                <w:color w:val="auto"/>
                <w:highlight w:val="none"/>
                <w:u w:val="none" w:color="auto"/>
                <w:lang w:eastAsia="zh-CN"/>
              </w:rPr>
              <w:t>三级化粪池</w:t>
            </w:r>
            <w:r>
              <w:rPr>
                <w:rFonts w:hint="default"/>
                <w:color w:val="auto"/>
                <w:highlight w:val="none"/>
                <w:u w:val="none" w:color="auto"/>
              </w:rPr>
              <w:t>处理后用作农肥，不外排</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因此无废水污染物排</w:t>
            </w:r>
            <w:r>
              <w:rPr>
                <w:rFonts w:hint="default"/>
                <w:color w:val="auto"/>
                <w:highlight w:val="none"/>
                <w:u w:val="none" w:color="auto"/>
              </w:rPr>
              <w:t>放监测要求。</w:t>
            </w:r>
          </w:p>
          <w:p w14:paraId="6EE8DAC5">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三、噪声</w:t>
            </w:r>
          </w:p>
          <w:p w14:paraId="1C2D5E73">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1</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源强分析</w:t>
            </w:r>
          </w:p>
          <w:p w14:paraId="0DA5EA1D">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highlight w:val="none"/>
                <w:u w:val="none" w:color="auto"/>
              </w:rPr>
            </w:pPr>
            <w:r>
              <w:rPr>
                <w:color w:val="auto"/>
                <w:sz w:val="24"/>
                <w:highlight w:val="none"/>
                <w:u w:val="none" w:color="auto"/>
              </w:rPr>
              <w:t>项目噪声主要来源于生产设备运行时产生的噪声，其噪声值在</w:t>
            </w:r>
            <w:r>
              <w:rPr>
                <w:rFonts w:hint="eastAsia"/>
                <w:color w:val="auto"/>
                <w:sz w:val="24"/>
                <w:highlight w:val="none"/>
                <w:u w:val="none" w:color="auto"/>
                <w:lang w:val="en-US" w:eastAsia="zh-CN"/>
              </w:rPr>
              <w:t>70</w:t>
            </w:r>
            <w:r>
              <w:rPr>
                <w:color w:val="auto"/>
                <w:sz w:val="24"/>
                <w:highlight w:val="none"/>
                <w:u w:val="none" w:color="auto"/>
              </w:rPr>
              <w:t>~</w:t>
            </w:r>
            <w:r>
              <w:rPr>
                <w:rFonts w:hint="eastAsia"/>
                <w:color w:val="auto"/>
                <w:sz w:val="24"/>
                <w:highlight w:val="none"/>
                <w:u w:val="none" w:color="auto"/>
                <w:lang w:val="en-US" w:eastAsia="zh-CN"/>
              </w:rPr>
              <w:t>90</w:t>
            </w:r>
            <w:r>
              <w:rPr>
                <w:color w:val="auto"/>
                <w:sz w:val="24"/>
                <w:highlight w:val="none"/>
                <w:u w:val="none" w:color="auto"/>
              </w:rPr>
              <w:t>dB（A）之间，生产设备均位于室内。各噪声源源强见下</w:t>
            </w:r>
            <w:r>
              <w:rPr>
                <w:rFonts w:hint="default" w:ascii="Times New Roman" w:hAnsi="Times New Roman" w:eastAsia="宋体" w:cs="Times New Roman"/>
                <w:b w:val="0"/>
                <w:bCs w:val="0"/>
                <w:color w:val="auto"/>
                <w:kern w:val="0"/>
                <w:sz w:val="24"/>
                <w:szCs w:val="24"/>
                <w:highlight w:val="none"/>
                <w:u w:val="none" w:color="auto"/>
                <w:lang w:val="en-US" w:eastAsia="zh-CN" w:bidi="ar-SA"/>
              </w:rPr>
              <w:t>表。</w:t>
            </w:r>
          </w:p>
          <w:p w14:paraId="5843EB3D">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 xml:space="preserve">14   </w:t>
            </w:r>
            <w:r>
              <w:rPr>
                <w:rFonts w:hint="default" w:ascii="Times New Roman" w:hAnsi="Times New Roman" w:cs="Times New Roman"/>
                <w:b/>
                <w:bCs/>
                <w:color w:val="auto"/>
                <w:highlight w:val="none"/>
                <w:u w:val="none" w:color="auto"/>
              </w:rPr>
              <w:t>工程设备噪声源强一览表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29"/>
              <w:gridCol w:w="432"/>
              <w:gridCol w:w="432"/>
              <w:gridCol w:w="680"/>
              <w:gridCol w:w="644"/>
              <w:gridCol w:w="432"/>
              <w:gridCol w:w="502"/>
              <w:gridCol w:w="435"/>
              <w:gridCol w:w="432"/>
              <w:gridCol w:w="432"/>
              <w:gridCol w:w="770"/>
              <w:gridCol w:w="488"/>
              <w:gridCol w:w="650"/>
              <w:gridCol w:w="770"/>
              <w:gridCol w:w="440"/>
            </w:tblGrid>
            <w:tr w14:paraId="6FFC1A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0" w:type="pct"/>
                  <w:vMerge w:val="restart"/>
                  <w:noWrap w:val="0"/>
                  <w:vAlign w:val="center"/>
                </w:tcPr>
                <w:p w14:paraId="57B21D7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序</w:t>
                  </w:r>
                </w:p>
                <w:p w14:paraId="219EBE2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号</w:t>
                  </w:r>
                </w:p>
              </w:tc>
              <w:tc>
                <w:tcPr>
                  <w:tcW w:w="271" w:type="pct"/>
                  <w:vMerge w:val="restart"/>
                  <w:noWrap w:val="0"/>
                  <w:vAlign w:val="center"/>
                </w:tcPr>
                <w:p w14:paraId="1B0E164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w:t>
                  </w:r>
                </w:p>
                <w:p w14:paraId="0D497F6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名称</w:t>
                  </w:r>
                </w:p>
              </w:tc>
              <w:tc>
                <w:tcPr>
                  <w:tcW w:w="271" w:type="pct"/>
                  <w:vMerge w:val="restart"/>
                  <w:noWrap w:val="0"/>
                  <w:vAlign w:val="center"/>
                </w:tcPr>
                <w:p w14:paraId="099FCA8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声源名</w:t>
                  </w:r>
                </w:p>
                <w:p w14:paraId="08650C6A">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称</w:t>
                  </w:r>
                </w:p>
              </w:tc>
              <w:tc>
                <w:tcPr>
                  <w:tcW w:w="427" w:type="pct"/>
                  <w:vMerge w:val="restart"/>
                  <w:noWrap w:val="0"/>
                  <w:vAlign w:val="center"/>
                </w:tcPr>
                <w:p w14:paraId="7129844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声功率级</w:t>
                  </w:r>
                </w:p>
                <w:p w14:paraId="0ED4034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404" w:type="pct"/>
                  <w:vMerge w:val="restart"/>
                  <w:noWrap w:val="0"/>
                  <w:vAlign w:val="center"/>
                </w:tcPr>
                <w:p w14:paraId="4B3D677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声源控</w:t>
                  </w:r>
                </w:p>
                <w:p w14:paraId="393F437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0"/>
                      <w:sz w:val="21"/>
                      <w:szCs w:val="21"/>
                      <w:highlight w:val="none"/>
                      <w:u w:val="none" w:color="auto"/>
                      <w:lang w:bidi="ar"/>
                    </w:rPr>
                    <w:t>制措施</w:t>
                  </w:r>
                </w:p>
              </w:tc>
              <w:tc>
                <w:tcPr>
                  <w:tcW w:w="859" w:type="pct"/>
                  <w:gridSpan w:val="3"/>
                  <w:noWrap w:val="0"/>
                  <w:vAlign w:val="center"/>
                </w:tcPr>
                <w:p w14:paraId="1ECA47C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空间相对位置/m</w:t>
                  </w:r>
                </w:p>
              </w:tc>
              <w:tc>
                <w:tcPr>
                  <w:tcW w:w="542" w:type="pct"/>
                  <w:gridSpan w:val="2"/>
                  <w:vMerge w:val="restart"/>
                  <w:noWrap w:val="0"/>
                  <w:vAlign w:val="center"/>
                </w:tcPr>
                <w:p w14:paraId="60937E0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距室内边</w:t>
                  </w:r>
                </w:p>
                <w:p w14:paraId="4A8A75A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界距离/m</w:t>
                  </w:r>
                </w:p>
              </w:tc>
              <w:tc>
                <w:tcPr>
                  <w:tcW w:w="483" w:type="pct"/>
                  <w:vMerge w:val="restart"/>
                  <w:noWrap w:val="0"/>
                  <w:vAlign w:val="center"/>
                </w:tcPr>
                <w:p w14:paraId="13E9877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室内边界</w:t>
                  </w:r>
                </w:p>
                <w:p w14:paraId="3F9E4AE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声级</w:t>
                  </w:r>
                </w:p>
                <w:p w14:paraId="4392507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306" w:type="pct"/>
                  <w:vMerge w:val="restart"/>
                  <w:noWrap w:val="0"/>
                  <w:vAlign w:val="center"/>
                </w:tcPr>
                <w:p w14:paraId="75CE80A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运行时</w:t>
                  </w:r>
                </w:p>
                <w:p w14:paraId="21E81C4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段</w:t>
                  </w:r>
                </w:p>
              </w:tc>
              <w:tc>
                <w:tcPr>
                  <w:tcW w:w="408" w:type="pct"/>
                  <w:vMerge w:val="restart"/>
                  <w:noWrap w:val="0"/>
                  <w:vAlign w:val="center"/>
                </w:tcPr>
                <w:p w14:paraId="4E6DDA31">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建筑物插入损</w:t>
                  </w:r>
                </w:p>
                <w:p w14:paraId="089727D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失/</w:t>
                  </w:r>
                </w:p>
                <w:p w14:paraId="1A3EAA3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755" w:type="pct"/>
                  <w:gridSpan w:val="2"/>
                  <w:noWrap w:val="0"/>
                  <w:vAlign w:val="center"/>
                </w:tcPr>
                <w:p w14:paraId="2A8995A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建筑物外噪声</w:t>
                  </w:r>
                </w:p>
              </w:tc>
            </w:tr>
            <w:tr w14:paraId="34818B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70" w:type="pct"/>
                  <w:vMerge w:val="continue"/>
                  <w:noWrap w:val="0"/>
                  <w:vAlign w:val="center"/>
                </w:tcPr>
                <w:p w14:paraId="042A3FD8">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138BCB98">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75B15C1D">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411E5A3C">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6D29195D">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noWrap w:val="0"/>
                  <w:vAlign w:val="center"/>
                </w:tcPr>
                <w:p w14:paraId="3D28B5F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X</w:t>
                  </w:r>
                </w:p>
              </w:tc>
              <w:tc>
                <w:tcPr>
                  <w:tcW w:w="315" w:type="pct"/>
                  <w:noWrap w:val="0"/>
                  <w:vAlign w:val="center"/>
                </w:tcPr>
                <w:p w14:paraId="67B1AF8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Y</w:t>
                  </w:r>
                </w:p>
              </w:tc>
              <w:tc>
                <w:tcPr>
                  <w:tcW w:w="272" w:type="pct"/>
                  <w:noWrap w:val="0"/>
                  <w:vAlign w:val="center"/>
                </w:tcPr>
                <w:p w14:paraId="3EE3A7A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Z</w:t>
                  </w:r>
                </w:p>
              </w:tc>
              <w:tc>
                <w:tcPr>
                  <w:tcW w:w="542" w:type="pct"/>
                  <w:gridSpan w:val="2"/>
                  <w:vMerge w:val="continue"/>
                  <w:noWrap w:val="0"/>
                  <w:vAlign w:val="center"/>
                </w:tcPr>
                <w:p w14:paraId="473C475E">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83" w:type="pct"/>
                  <w:vMerge w:val="continue"/>
                  <w:noWrap w:val="0"/>
                  <w:vAlign w:val="center"/>
                </w:tcPr>
                <w:p w14:paraId="39D69EC2">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306" w:type="pct"/>
                  <w:vMerge w:val="continue"/>
                  <w:noWrap w:val="0"/>
                  <w:vAlign w:val="center"/>
                </w:tcPr>
                <w:p w14:paraId="0D2849CF">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545D6402">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83" w:type="pct"/>
                  <w:noWrap w:val="0"/>
                  <w:vAlign w:val="center"/>
                </w:tcPr>
                <w:p w14:paraId="74369DD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声压级</w:t>
                  </w:r>
                </w:p>
                <w:p w14:paraId="0841E5A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272" w:type="pct"/>
                  <w:noWrap w:val="0"/>
                  <w:vAlign w:val="center"/>
                </w:tcPr>
                <w:p w14:paraId="2DEDFEF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w:t>
                  </w:r>
                </w:p>
                <w:p w14:paraId="7A53C23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外距离</w:t>
                  </w:r>
                </w:p>
              </w:tc>
            </w:tr>
            <w:tr w14:paraId="19B6B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270" w:type="pct"/>
                  <w:vMerge w:val="restart"/>
                  <w:noWrap w:val="0"/>
                  <w:vAlign w:val="center"/>
                </w:tcPr>
                <w:p w14:paraId="635FDB6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rPr>
                    <w:t>l</w:t>
                  </w:r>
                </w:p>
              </w:tc>
              <w:tc>
                <w:tcPr>
                  <w:tcW w:w="271" w:type="pct"/>
                  <w:vMerge w:val="restart"/>
                  <w:noWrap w:val="0"/>
                  <w:vAlign w:val="center"/>
                </w:tcPr>
                <w:p w14:paraId="080FF80A">
                  <w:pPr>
                    <w:keepNext w:val="0"/>
                    <w:keepLines w:val="0"/>
                    <w:pageBreakBefore w:val="0"/>
                    <w:widowControl/>
                    <w:kinsoku/>
                    <w:wordWrap w:val="0"/>
                    <w:overflowPunct/>
                    <w:topLinePunct/>
                    <w:autoSpaceDE/>
                    <w:autoSpaceDN/>
                    <w:bidi w:val="0"/>
                    <w:adjustRightInd/>
                    <w:snapToGrid/>
                    <w:jc w:val="center"/>
                    <w:rPr>
                      <w:rFonts w:hint="default"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生产</w:t>
                  </w:r>
                  <w:r>
                    <w:rPr>
                      <w:rFonts w:hint="default" w:ascii="Times New Roman" w:hAnsi="Times New Roman" w:eastAsia="宋体" w:cs="Times New Roman"/>
                      <w:color w:val="auto"/>
                      <w:sz w:val="21"/>
                      <w:szCs w:val="21"/>
                      <w:highlight w:val="none"/>
                      <w:u w:val="none" w:color="auto"/>
                      <w:lang w:val="en-US" w:eastAsia="zh-CN"/>
                    </w:rPr>
                    <w:t>厂房</w:t>
                  </w:r>
                </w:p>
              </w:tc>
              <w:tc>
                <w:tcPr>
                  <w:tcW w:w="271" w:type="pct"/>
                  <w:vMerge w:val="restart"/>
                  <w:noWrap w:val="0"/>
                  <w:vAlign w:val="center"/>
                </w:tcPr>
                <w:p w14:paraId="2CA4E9B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eastAsia" w:cs="Times New Roman"/>
                      <w:bCs/>
                      <w:color w:val="auto"/>
                      <w:sz w:val="21"/>
                      <w:szCs w:val="21"/>
                      <w:highlight w:val="none"/>
                      <w:u w:val="none" w:color="auto"/>
                      <w:lang w:val="en-US" w:eastAsia="zh-CN"/>
                    </w:rPr>
                    <w:t>抽残机</w:t>
                  </w:r>
                </w:p>
              </w:tc>
              <w:tc>
                <w:tcPr>
                  <w:tcW w:w="427" w:type="pct"/>
                  <w:vMerge w:val="restart"/>
                  <w:noWrap w:val="0"/>
                  <w:vAlign w:val="center"/>
                </w:tcPr>
                <w:p w14:paraId="5FA8712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90</w:t>
                  </w:r>
                </w:p>
              </w:tc>
              <w:tc>
                <w:tcPr>
                  <w:tcW w:w="404" w:type="pct"/>
                  <w:vMerge w:val="restart"/>
                  <w:noWrap w:val="0"/>
                  <w:vAlign w:val="center"/>
                </w:tcPr>
                <w:p w14:paraId="3756F6E7">
                  <w:pPr>
                    <w:keepNext w:val="0"/>
                    <w:keepLines w:val="0"/>
                    <w:pageBreakBefore w:val="0"/>
                    <w:widowControl/>
                    <w:kinsoku/>
                    <w:wordWrap w:val="0"/>
                    <w:overflowPunct/>
                    <w:topLinePunct/>
                    <w:autoSpaceDE/>
                    <w:autoSpaceDN/>
                    <w:bidi w:val="0"/>
                    <w:adjustRightInd/>
                    <w:snapToGrid/>
                    <w:jc w:val="both"/>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合理布置、基础</w:t>
                  </w:r>
                  <w:r>
                    <w:rPr>
                      <w:rFonts w:hint="eastAsia" w:cs="Times New Roman"/>
                      <w:color w:val="auto"/>
                      <w:spacing w:val="0"/>
                      <w:position w:val="0"/>
                      <w:sz w:val="21"/>
                      <w:szCs w:val="21"/>
                      <w:highlight w:val="none"/>
                      <w:u w:val="none" w:color="auto"/>
                      <w:lang w:eastAsia="zh-CN"/>
                    </w:rPr>
                    <w:t>减振</w:t>
                  </w:r>
                  <w:r>
                    <w:rPr>
                      <w:rFonts w:hint="default" w:ascii="Times New Roman" w:hAnsi="Times New Roman" w:eastAsia="宋体" w:cs="Times New Roman"/>
                      <w:color w:val="auto"/>
                      <w:spacing w:val="0"/>
                      <w:position w:val="0"/>
                      <w:sz w:val="21"/>
                      <w:szCs w:val="21"/>
                      <w:highlight w:val="none"/>
                      <w:u w:val="none" w:color="auto"/>
                      <w:lang w:eastAsia="zh-CN"/>
                    </w:rPr>
                    <w:t>、隔声处理，绿化带、围墙隔声，加强管理和设备的保养，防止异常</w:t>
                  </w:r>
                  <w:r>
                    <w:rPr>
                      <w:rFonts w:hint="eastAsia" w:cs="Times New Roman"/>
                      <w:color w:val="auto"/>
                      <w:spacing w:val="0"/>
                      <w:position w:val="0"/>
                      <w:sz w:val="21"/>
                      <w:szCs w:val="21"/>
                      <w:highlight w:val="none"/>
                      <w:u w:val="none" w:color="auto"/>
                      <w:lang w:eastAsia="zh-CN"/>
                    </w:rPr>
                    <w:t>噪染</w:t>
                  </w:r>
                </w:p>
              </w:tc>
              <w:tc>
                <w:tcPr>
                  <w:tcW w:w="271" w:type="pct"/>
                  <w:vMerge w:val="restart"/>
                  <w:noWrap w:val="0"/>
                  <w:vAlign w:val="center"/>
                </w:tcPr>
                <w:p w14:paraId="4B6F649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17</w:t>
                  </w:r>
                </w:p>
              </w:tc>
              <w:tc>
                <w:tcPr>
                  <w:tcW w:w="315" w:type="pct"/>
                  <w:vMerge w:val="restart"/>
                  <w:noWrap w:val="0"/>
                  <w:vAlign w:val="center"/>
                </w:tcPr>
                <w:p w14:paraId="216A4EF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-37</w:t>
                  </w:r>
                </w:p>
              </w:tc>
              <w:tc>
                <w:tcPr>
                  <w:tcW w:w="272" w:type="pct"/>
                  <w:vMerge w:val="restart"/>
                  <w:noWrap w:val="0"/>
                  <w:vAlign w:val="center"/>
                </w:tcPr>
                <w:p w14:paraId="61F2650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271" w:type="pct"/>
                  <w:noWrap w:val="0"/>
                  <w:vAlign w:val="center"/>
                </w:tcPr>
                <w:p w14:paraId="6E77F69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271" w:type="pct"/>
                  <w:noWrap w:val="0"/>
                  <w:vAlign w:val="center"/>
                </w:tcPr>
                <w:p w14:paraId="1728D52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11</w:t>
                  </w:r>
                </w:p>
              </w:tc>
              <w:tc>
                <w:tcPr>
                  <w:tcW w:w="483" w:type="pct"/>
                  <w:noWrap w:val="0"/>
                  <w:vAlign w:val="center"/>
                </w:tcPr>
                <w:p w14:paraId="5386E6E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25.17</w:t>
                  </w:r>
                </w:p>
              </w:tc>
              <w:tc>
                <w:tcPr>
                  <w:tcW w:w="306" w:type="pct"/>
                  <w:vMerge w:val="restart"/>
                  <w:noWrap w:val="0"/>
                  <w:vAlign w:val="center"/>
                </w:tcPr>
                <w:p w14:paraId="3F124D9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eastAsia" w:cs="Times New Roman"/>
                      <w:color w:val="auto"/>
                      <w:spacing w:val="0"/>
                      <w:position w:val="0"/>
                      <w:sz w:val="21"/>
                      <w:szCs w:val="21"/>
                      <w:highlight w:val="none"/>
                      <w:u w:val="none" w:color="auto"/>
                      <w:lang w:val="en-US" w:eastAsia="zh-CN"/>
                    </w:rPr>
                    <w:t>8</w:t>
                  </w:r>
                  <w:r>
                    <w:rPr>
                      <w:rFonts w:hint="default" w:ascii="Times New Roman" w:hAnsi="Times New Roman" w:eastAsia="宋体" w:cs="Times New Roman"/>
                      <w:color w:val="auto"/>
                      <w:spacing w:val="0"/>
                      <w:position w:val="0"/>
                      <w:sz w:val="21"/>
                      <w:szCs w:val="21"/>
                      <w:highlight w:val="none"/>
                      <w:u w:val="none" w:color="auto"/>
                      <w:lang w:val="en-US" w:eastAsia="zh-CN"/>
                    </w:rPr>
                    <w:t>h</w:t>
                  </w:r>
                </w:p>
              </w:tc>
              <w:tc>
                <w:tcPr>
                  <w:tcW w:w="408" w:type="pct"/>
                  <w:vMerge w:val="restart"/>
                  <w:noWrap w:val="0"/>
                  <w:vAlign w:val="center"/>
                </w:tcPr>
                <w:p w14:paraId="34E910CC">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483" w:type="pct"/>
                  <w:noWrap w:val="0"/>
                  <w:vAlign w:val="center"/>
                </w:tcPr>
                <w:p w14:paraId="53BF2FDA">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10.17</w:t>
                  </w:r>
                </w:p>
              </w:tc>
              <w:tc>
                <w:tcPr>
                  <w:tcW w:w="272" w:type="pct"/>
                  <w:noWrap w:val="0"/>
                  <w:vAlign w:val="center"/>
                </w:tcPr>
                <w:p w14:paraId="0F78142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0050B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0" w:type="pct"/>
                  <w:vMerge w:val="continue"/>
                  <w:noWrap w:val="0"/>
                  <w:vAlign w:val="center"/>
                </w:tcPr>
                <w:p w14:paraId="3C7D01E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8511D5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060F196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5482591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3CCE84B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6BEF9A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32145F5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26BB025C">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094053B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271" w:type="pct"/>
                  <w:noWrap w:val="0"/>
                  <w:vAlign w:val="center"/>
                </w:tcPr>
                <w:p w14:paraId="1587F98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c>
                <w:tcPr>
                  <w:tcW w:w="483" w:type="pct"/>
                  <w:noWrap w:val="0"/>
                  <w:vAlign w:val="center"/>
                </w:tcPr>
                <w:p w14:paraId="297AB24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46.93</w:t>
                  </w:r>
                </w:p>
              </w:tc>
              <w:tc>
                <w:tcPr>
                  <w:tcW w:w="306" w:type="pct"/>
                  <w:vMerge w:val="continue"/>
                  <w:noWrap w:val="0"/>
                  <w:vAlign w:val="center"/>
                </w:tcPr>
                <w:p w14:paraId="41EBA0A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41890CD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25EC69A6">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31.93</w:t>
                  </w:r>
                </w:p>
              </w:tc>
              <w:tc>
                <w:tcPr>
                  <w:tcW w:w="272" w:type="pct"/>
                  <w:noWrap w:val="0"/>
                  <w:vAlign w:val="center"/>
                </w:tcPr>
                <w:p w14:paraId="76EC6CB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327466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270" w:type="pct"/>
                  <w:vMerge w:val="continue"/>
                  <w:noWrap w:val="0"/>
                  <w:vAlign w:val="center"/>
                </w:tcPr>
                <w:p w14:paraId="1510CCC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0B00A95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988EFE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74E86C1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21AE5B2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7A845FD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7F49E40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53B6BA7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4794AA2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271" w:type="pct"/>
                  <w:noWrap w:val="0"/>
                  <w:vAlign w:val="center"/>
                </w:tcPr>
                <w:p w14:paraId="7585943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25</w:t>
                  </w:r>
                </w:p>
              </w:tc>
              <w:tc>
                <w:tcPr>
                  <w:tcW w:w="483" w:type="pct"/>
                  <w:noWrap w:val="0"/>
                  <w:vAlign w:val="center"/>
                </w:tcPr>
                <w:p w14:paraId="22D944E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40.39</w:t>
                  </w:r>
                </w:p>
              </w:tc>
              <w:tc>
                <w:tcPr>
                  <w:tcW w:w="306" w:type="pct"/>
                  <w:vMerge w:val="continue"/>
                  <w:noWrap w:val="0"/>
                  <w:vAlign w:val="center"/>
                </w:tcPr>
                <w:p w14:paraId="0F3BF6B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4F98731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5AA57AF9">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25.39</w:t>
                  </w:r>
                </w:p>
              </w:tc>
              <w:tc>
                <w:tcPr>
                  <w:tcW w:w="272" w:type="pct"/>
                  <w:noWrap w:val="0"/>
                  <w:vAlign w:val="center"/>
                </w:tcPr>
                <w:p w14:paraId="161CFE3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3B7087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270" w:type="pct"/>
                  <w:vMerge w:val="continue"/>
                  <w:noWrap w:val="0"/>
                  <w:vAlign w:val="center"/>
                </w:tcPr>
                <w:p w14:paraId="2D207F5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2A6F23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483F890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19AD380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7F0D487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76D0C6C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5030ED2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693F0ED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4EFF32F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271" w:type="pct"/>
                  <w:noWrap w:val="0"/>
                  <w:vAlign w:val="center"/>
                </w:tcPr>
                <w:p w14:paraId="7B55EC4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37</w:t>
                  </w:r>
                </w:p>
              </w:tc>
              <w:tc>
                <w:tcPr>
                  <w:tcW w:w="483" w:type="pct"/>
                  <w:noWrap w:val="0"/>
                  <w:vAlign w:val="center"/>
                </w:tcPr>
                <w:p w14:paraId="5ED3343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33.63</w:t>
                  </w:r>
                </w:p>
              </w:tc>
              <w:tc>
                <w:tcPr>
                  <w:tcW w:w="306" w:type="pct"/>
                  <w:vMerge w:val="continue"/>
                  <w:noWrap w:val="0"/>
                  <w:vAlign w:val="center"/>
                </w:tcPr>
                <w:p w14:paraId="46E038A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522547C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373604B9">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18.63</w:t>
                  </w:r>
                </w:p>
              </w:tc>
              <w:tc>
                <w:tcPr>
                  <w:tcW w:w="272" w:type="pct"/>
                  <w:noWrap w:val="0"/>
                  <w:vAlign w:val="center"/>
                </w:tcPr>
                <w:p w14:paraId="2BE665B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0A5B7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restart"/>
                  <w:noWrap w:val="0"/>
                  <w:vAlign w:val="center"/>
                </w:tcPr>
                <w:p w14:paraId="54027941">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2</w:t>
                  </w:r>
                </w:p>
              </w:tc>
              <w:tc>
                <w:tcPr>
                  <w:tcW w:w="271" w:type="pct"/>
                  <w:vMerge w:val="continue"/>
                  <w:noWrap w:val="0"/>
                  <w:vAlign w:val="center"/>
                </w:tcPr>
                <w:p w14:paraId="414E720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restart"/>
                  <w:noWrap w:val="0"/>
                  <w:vAlign w:val="center"/>
                </w:tcPr>
                <w:p w14:paraId="6B8FD5A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eastAsia" w:cs="Times New Roman"/>
                      <w:bCs/>
                      <w:color w:val="auto"/>
                      <w:sz w:val="21"/>
                      <w:szCs w:val="21"/>
                      <w:highlight w:val="none"/>
                      <w:u w:val="none" w:color="auto"/>
                      <w:lang w:val="en-US" w:eastAsia="zh-CN"/>
                    </w:rPr>
                    <w:t>卸阀机</w:t>
                  </w:r>
                </w:p>
              </w:tc>
              <w:tc>
                <w:tcPr>
                  <w:tcW w:w="427" w:type="pct"/>
                  <w:vMerge w:val="restart"/>
                  <w:noWrap w:val="0"/>
                  <w:vAlign w:val="center"/>
                </w:tcPr>
                <w:p w14:paraId="0DFD680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pacing w:val="0"/>
                      <w:position w:val="0"/>
                      <w:sz w:val="21"/>
                      <w:szCs w:val="21"/>
                      <w:highlight w:val="none"/>
                      <w:u w:val="none" w:color="auto"/>
                      <w:lang w:val="en-US" w:eastAsia="zh-CN"/>
                    </w:rPr>
                    <w:t>75</w:t>
                  </w:r>
                </w:p>
              </w:tc>
              <w:tc>
                <w:tcPr>
                  <w:tcW w:w="404" w:type="pct"/>
                  <w:vMerge w:val="continue"/>
                  <w:noWrap w:val="0"/>
                  <w:vAlign w:val="center"/>
                </w:tcPr>
                <w:p w14:paraId="6565BAE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restart"/>
                  <w:noWrap w:val="0"/>
                  <w:vAlign w:val="center"/>
                </w:tcPr>
                <w:p w14:paraId="17C4B4D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20</w:t>
                  </w:r>
                </w:p>
              </w:tc>
              <w:tc>
                <w:tcPr>
                  <w:tcW w:w="315" w:type="pct"/>
                  <w:vMerge w:val="restart"/>
                  <w:noWrap w:val="0"/>
                  <w:vAlign w:val="center"/>
                </w:tcPr>
                <w:p w14:paraId="074B241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-38</w:t>
                  </w:r>
                </w:p>
              </w:tc>
              <w:tc>
                <w:tcPr>
                  <w:tcW w:w="272" w:type="pct"/>
                  <w:vMerge w:val="restart"/>
                  <w:noWrap w:val="0"/>
                  <w:vAlign w:val="center"/>
                </w:tcPr>
                <w:p w14:paraId="6E2C146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271" w:type="pct"/>
                  <w:noWrap w:val="0"/>
                  <w:vAlign w:val="center"/>
                </w:tcPr>
                <w:p w14:paraId="5332B6A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271" w:type="pct"/>
                  <w:noWrap w:val="0"/>
                  <w:vAlign w:val="center"/>
                </w:tcPr>
                <w:p w14:paraId="117E94F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95</w:t>
                  </w:r>
                </w:p>
              </w:tc>
              <w:tc>
                <w:tcPr>
                  <w:tcW w:w="483" w:type="pct"/>
                  <w:noWrap w:val="0"/>
                  <w:vAlign w:val="center"/>
                </w:tcPr>
                <w:p w14:paraId="174662B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25.44</w:t>
                  </w:r>
                </w:p>
              </w:tc>
              <w:tc>
                <w:tcPr>
                  <w:tcW w:w="306" w:type="pct"/>
                  <w:vMerge w:val="continue"/>
                  <w:noWrap w:val="0"/>
                  <w:vAlign w:val="center"/>
                </w:tcPr>
                <w:p w14:paraId="671C9B8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3FBA181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2AE7289F">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10.44</w:t>
                  </w:r>
                </w:p>
              </w:tc>
              <w:tc>
                <w:tcPr>
                  <w:tcW w:w="272" w:type="pct"/>
                  <w:noWrap w:val="0"/>
                  <w:vAlign w:val="center"/>
                </w:tcPr>
                <w:p w14:paraId="3BD382C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7B59B2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continue"/>
                  <w:noWrap w:val="0"/>
                  <w:vAlign w:val="center"/>
                </w:tcPr>
                <w:p w14:paraId="1057678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415112A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4B93636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5515B48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0723E19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5CE6B0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4A0FC1C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79E8422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49D43AA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271" w:type="pct"/>
                  <w:noWrap w:val="0"/>
                  <w:vAlign w:val="center"/>
                </w:tcPr>
                <w:p w14:paraId="74BBB28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483" w:type="pct"/>
                  <w:noWrap w:val="0"/>
                  <w:vAlign w:val="center"/>
                </w:tcPr>
                <w:p w14:paraId="16A9389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lang w:val="en-US" w:eastAsia="zh-CN"/>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47.04</w:t>
                  </w:r>
                </w:p>
              </w:tc>
              <w:tc>
                <w:tcPr>
                  <w:tcW w:w="306" w:type="pct"/>
                  <w:vMerge w:val="continue"/>
                  <w:noWrap w:val="0"/>
                  <w:vAlign w:val="center"/>
                </w:tcPr>
                <w:p w14:paraId="69DAFDC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523B0D1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7EEDE220">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32.04</w:t>
                  </w:r>
                </w:p>
              </w:tc>
              <w:tc>
                <w:tcPr>
                  <w:tcW w:w="272" w:type="pct"/>
                  <w:noWrap w:val="0"/>
                  <w:vAlign w:val="center"/>
                </w:tcPr>
                <w:p w14:paraId="34CFEBA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70913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continue"/>
                  <w:noWrap w:val="0"/>
                  <w:vAlign w:val="center"/>
                </w:tcPr>
                <w:p w14:paraId="3A069F9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388E22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7E40A54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33EDD18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6B1FBE6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6CBFD4C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2159E93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7B7542D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1DC54B8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271" w:type="pct"/>
                  <w:noWrap w:val="0"/>
                  <w:vAlign w:val="center"/>
                </w:tcPr>
                <w:p w14:paraId="6946E76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60</w:t>
                  </w:r>
                </w:p>
              </w:tc>
              <w:tc>
                <w:tcPr>
                  <w:tcW w:w="483" w:type="pct"/>
                  <w:noWrap w:val="0"/>
                  <w:vAlign w:val="center"/>
                </w:tcPr>
                <w:p w14:paraId="256660D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39.43</w:t>
                  </w:r>
                </w:p>
              </w:tc>
              <w:tc>
                <w:tcPr>
                  <w:tcW w:w="306" w:type="pct"/>
                  <w:vMerge w:val="continue"/>
                  <w:noWrap w:val="0"/>
                  <w:vAlign w:val="center"/>
                </w:tcPr>
                <w:p w14:paraId="7D994CA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4311AB0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0A7A8D9B">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24.43</w:t>
                  </w:r>
                </w:p>
              </w:tc>
              <w:tc>
                <w:tcPr>
                  <w:tcW w:w="272" w:type="pct"/>
                  <w:noWrap w:val="0"/>
                  <w:vAlign w:val="center"/>
                </w:tcPr>
                <w:p w14:paraId="3A4AAEC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7C31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continue"/>
                  <w:noWrap w:val="0"/>
                  <w:vAlign w:val="center"/>
                </w:tcPr>
                <w:p w14:paraId="2BBB3BA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165563D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0885C7C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7A25F48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6657F13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18B198A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1D67A24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732A60B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45F49CE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271" w:type="pct"/>
                  <w:noWrap w:val="0"/>
                  <w:vAlign w:val="center"/>
                </w:tcPr>
                <w:p w14:paraId="3330E14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20</w:t>
                  </w:r>
                </w:p>
              </w:tc>
              <w:tc>
                <w:tcPr>
                  <w:tcW w:w="483" w:type="pct"/>
                  <w:noWrap w:val="0"/>
                  <w:vAlign w:val="center"/>
                </w:tcPr>
                <w:p w14:paraId="3E3D8CE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48.97</w:t>
                  </w:r>
                </w:p>
              </w:tc>
              <w:tc>
                <w:tcPr>
                  <w:tcW w:w="306" w:type="pct"/>
                  <w:vMerge w:val="continue"/>
                  <w:noWrap w:val="0"/>
                  <w:vAlign w:val="center"/>
                </w:tcPr>
                <w:p w14:paraId="781D135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131B432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69F9CD39">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33.97</w:t>
                  </w:r>
                </w:p>
              </w:tc>
              <w:tc>
                <w:tcPr>
                  <w:tcW w:w="272" w:type="pct"/>
                  <w:noWrap w:val="0"/>
                  <w:vAlign w:val="center"/>
                </w:tcPr>
                <w:p w14:paraId="00AF0C6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BE70D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restart"/>
                  <w:noWrap w:val="0"/>
                  <w:vAlign w:val="center"/>
                </w:tcPr>
                <w:p w14:paraId="5FD9F499">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3</w:t>
                  </w:r>
                </w:p>
              </w:tc>
              <w:tc>
                <w:tcPr>
                  <w:tcW w:w="271" w:type="pct"/>
                  <w:vMerge w:val="continue"/>
                  <w:noWrap w:val="0"/>
                  <w:vAlign w:val="center"/>
                </w:tcPr>
                <w:p w14:paraId="5ACBD0EA">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restart"/>
                  <w:noWrap w:val="0"/>
                  <w:vAlign w:val="center"/>
                </w:tcPr>
                <w:p w14:paraId="15845BC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eastAsia" w:cs="Times New Roman"/>
                      <w:bCs/>
                      <w:color w:val="auto"/>
                      <w:sz w:val="21"/>
                      <w:szCs w:val="21"/>
                      <w:highlight w:val="none"/>
                      <w:u w:val="none" w:color="auto"/>
                      <w:lang w:val="en-US" w:eastAsia="zh-CN"/>
                    </w:rPr>
                    <w:t>水膜</w:t>
                  </w:r>
                  <w:r>
                    <w:rPr>
                      <w:rFonts w:hint="eastAsia" w:cs="Times New Roman"/>
                      <w:i w:val="0"/>
                      <w:iCs w:val="0"/>
                      <w:color w:val="auto"/>
                      <w:kern w:val="0"/>
                      <w:sz w:val="21"/>
                      <w:szCs w:val="21"/>
                      <w:highlight w:val="none"/>
                      <w:u w:val="none" w:color="auto"/>
                      <w:lang w:val="en-US" w:eastAsia="zh-CN" w:bidi="ar"/>
                    </w:rPr>
                    <w:t>除尘装置</w:t>
                  </w:r>
                </w:p>
              </w:tc>
              <w:tc>
                <w:tcPr>
                  <w:tcW w:w="427" w:type="pct"/>
                  <w:vMerge w:val="restart"/>
                  <w:noWrap w:val="0"/>
                  <w:vAlign w:val="center"/>
                </w:tcPr>
                <w:p w14:paraId="2EF2FAD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c>
                <w:tcPr>
                  <w:tcW w:w="404" w:type="pct"/>
                  <w:vMerge w:val="continue"/>
                  <w:noWrap w:val="0"/>
                  <w:vAlign w:val="center"/>
                </w:tcPr>
                <w:p w14:paraId="5FC77C0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restart"/>
                  <w:noWrap w:val="0"/>
                  <w:vAlign w:val="center"/>
                </w:tcPr>
                <w:p w14:paraId="7877B2A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70</w:t>
                  </w:r>
                </w:p>
              </w:tc>
              <w:tc>
                <w:tcPr>
                  <w:tcW w:w="315" w:type="pct"/>
                  <w:vMerge w:val="restart"/>
                  <w:noWrap w:val="0"/>
                  <w:vAlign w:val="center"/>
                </w:tcPr>
                <w:p w14:paraId="31E7907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-20</w:t>
                  </w:r>
                </w:p>
              </w:tc>
              <w:tc>
                <w:tcPr>
                  <w:tcW w:w="272" w:type="pct"/>
                  <w:vMerge w:val="restart"/>
                  <w:noWrap w:val="0"/>
                  <w:vAlign w:val="center"/>
                </w:tcPr>
                <w:p w14:paraId="39811D8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271" w:type="pct"/>
                  <w:noWrap w:val="0"/>
                  <w:vAlign w:val="center"/>
                </w:tcPr>
                <w:p w14:paraId="5572958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271" w:type="pct"/>
                  <w:noWrap w:val="0"/>
                  <w:vAlign w:val="center"/>
                </w:tcPr>
                <w:p w14:paraId="247AA96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45</w:t>
                  </w:r>
                </w:p>
              </w:tc>
              <w:tc>
                <w:tcPr>
                  <w:tcW w:w="483" w:type="pct"/>
                  <w:noWrap w:val="0"/>
                  <w:vAlign w:val="center"/>
                </w:tcPr>
                <w:p w14:paraId="2B6B196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41.93</w:t>
                  </w:r>
                </w:p>
              </w:tc>
              <w:tc>
                <w:tcPr>
                  <w:tcW w:w="306" w:type="pct"/>
                  <w:vMerge w:val="continue"/>
                  <w:noWrap w:val="0"/>
                  <w:vAlign w:val="center"/>
                </w:tcPr>
                <w:p w14:paraId="39443DE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69AFA1A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43B0776A">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26.93</w:t>
                  </w:r>
                </w:p>
              </w:tc>
              <w:tc>
                <w:tcPr>
                  <w:tcW w:w="272" w:type="pct"/>
                  <w:noWrap w:val="0"/>
                  <w:vAlign w:val="center"/>
                </w:tcPr>
                <w:p w14:paraId="5A40655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C2C98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continue"/>
                  <w:noWrap w:val="0"/>
                  <w:vAlign w:val="center"/>
                </w:tcPr>
                <w:p w14:paraId="6C8C604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64C7618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141F91F1">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4AB8170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0965E0F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01FDE04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1475D09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7C67AC1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3D7AD33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271" w:type="pct"/>
                  <w:noWrap w:val="0"/>
                  <w:vAlign w:val="center"/>
                </w:tcPr>
                <w:p w14:paraId="30AA14E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483" w:type="pct"/>
                  <w:noWrap w:val="0"/>
                  <w:vAlign w:val="center"/>
                </w:tcPr>
                <w:p w14:paraId="4D2B26F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lang w:val="en-US" w:eastAsia="zh-CN"/>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47.04</w:t>
                  </w:r>
                </w:p>
              </w:tc>
              <w:tc>
                <w:tcPr>
                  <w:tcW w:w="306" w:type="pct"/>
                  <w:vMerge w:val="continue"/>
                  <w:noWrap w:val="0"/>
                  <w:vAlign w:val="center"/>
                </w:tcPr>
                <w:p w14:paraId="5E9A1FA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5B631D9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0A6BD2D8">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32.04</w:t>
                  </w:r>
                </w:p>
              </w:tc>
              <w:tc>
                <w:tcPr>
                  <w:tcW w:w="272" w:type="pct"/>
                  <w:noWrap w:val="0"/>
                  <w:vAlign w:val="center"/>
                </w:tcPr>
                <w:p w14:paraId="185BD4E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A773D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270" w:type="pct"/>
                  <w:vMerge w:val="continue"/>
                  <w:noWrap w:val="0"/>
                  <w:vAlign w:val="center"/>
                </w:tcPr>
                <w:p w14:paraId="41123DE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2FA0F5D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5695A5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7055547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0C2F93C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4A91BB9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1CE737A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51249D5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03C1643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271" w:type="pct"/>
                  <w:noWrap w:val="0"/>
                  <w:vAlign w:val="center"/>
                </w:tcPr>
                <w:p w14:paraId="0BF5F24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eastAsia" w:cs="Times New Roman"/>
                      <w:color w:val="auto"/>
                      <w:spacing w:val="0"/>
                      <w:position w:val="0"/>
                      <w:sz w:val="21"/>
                      <w:szCs w:val="21"/>
                      <w:highlight w:val="none"/>
                      <w:u w:val="none" w:color="auto"/>
                      <w:lang w:val="en-US" w:eastAsia="zh-CN"/>
                    </w:rPr>
                    <w:t>3</w:t>
                  </w:r>
                  <w:r>
                    <w:rPr>
                      <w:rFonts w:hint="default" w:ascii="Times New Roman" w:hAnsi="Times New Roman" w:eastAsia="宋体" w:cs="Times New Roman"/>
                      <w:color w:val="auto"/>
                      <w:spacing w:val="0"/>
                      <w:position w:val="0"/>
                      <w:sz w:val="21"/>
                      <w:szCs w:val="21"/>
                      <w:highlight w:val="none"/>
                      <w:u w:val="none" w:color="auto"/>
                      <w:lang w:val="en-US" w:eastAsia="zh-CN"/>
                    </w:rPr>
                    <w:t>0</w:t>
                  </w:r>
                </w:p>
              </w:tc>
              <w:tc>
                <w:tcPr>
                  <w:tcW w:w="483" w:type="pct"/>
                  <w:noWrap w:val="0"/>
                  <w:vAlign w:val="center"/>
                </w:tcPr>
                <w:p w14:paraId="1BD4597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38.09</w:t>
                  </w:r>
                </w:p>
              </w:tc>
              <w:tc>
                <w:tcPr>
                  <w:tcW w:w="306" w:type="pct"/>
                  <w:vMerge w:val="continue"/>
                  <w:noWrap w:val="0"/>
                  <w:vAlign w:val="center"/>
                </w:tcPr>
                <w:p w14:paraId="3B65922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594FA3C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68F0E951">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23.09</w:t>
                  </w:r>
                </w:p>
              </w:tc>
              <w:tc>
                <w:tcPr>
                  <w:tcW w:w="272" w:type="pct"/>
                  <w:noWrap w:val="0"/>
                  <w:vAlign w:val="center"/>
                </w:tcPr>
                <w:p w14:paraId="4E11163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6CD930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70" w:type="pct"/>
                  <w:vMerge w:val="continue"/>
                  <w:noWrap w:val="0"/>
                  <w:vAlign w:val="center"/>
                </w:tcPr>
                <w:p w14:paraId="093DCB3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5DE44E6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9D6B0AA">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7" w:type="pct"/>
                  <w:vMerge w:val="continue"/>
                  <w:noWrap w:val="0"/>
                  <w:vAlign w:val="center"/>
                </w:tcPr>
                <w:p w14:paraId="446C7DE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4" w:type="pct"/>
                  <w:vMerge w:val="continue"/>
                  <w:noWrap w:val="0"/>
                  <w:vAlign w:val="center"/>
                </w:tcPr>
                <w:p w14:paraId="344E70F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vMerge w:val="continue"/>
                  <w:noWrap w:val="0"/>
                  <w:vAlign w:val="center"/>
                </w:tcPr>
                <w:p w14:paraId="34B13AE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315" w:type="pct"/>
                  <w:vMerge w:val="continue"/>
                  <w:noWrap w:val="0"/>
                  <w:vAlign w:val="center"/>
                </w:tcPr>
                <w:p w14:paraId="7CBD017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2" w:type="pct"/>
                  <w:vMerge w:val="continue"/>
                  <w:noWrap w:val="0"/>
                  <w:vAlign w:val="center"/>
                </w:tcPr>
                <w:p w14:paraId="4914CC5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271" w:type="pct"/>
                  <w:noWrap w:val="0"/>
                  <w:vAlign w:val="center"/>
                </w:tcPr>
                <w:p w14:paraId="0A96C7DC">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271" w:type="pct"/>
                  <w:noWrap w:val="0"/>
                  <w:vAlign w:val="center"/>
                </w:tcPr>
                <w:p w14:paraId="2F50642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20</w:t>
                  </w:r>
                </w:p>
              </w:tc>
              <w:tc>
                <w:tcPr>
                  <w:tcW w:w="483" w:type="pct"/>
                  <w:noWrap w:val="0"/>
                  <w:vAlign w:val="center"/>
                </w:tcPr>
                <w:p w14:paraId="23B6F6F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48.97</w:t>
                  </w:r>
                </w:p>
              </w:tc>
              <w:tc>
                <w:tcPr>
                  <w:tcW w:w="306" w:type="pct"/>
                  <w:vMerge w:val="continue"/>
                  <w:noWrap w:val="0"/>
                  <w:vAlign w:val="center"/>
                </w:tcPr>
                <w:p w14:paraId="700AD0B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08" w:type="pct"/>
                  <w:vMerge w:val="continue"/>
                  <w:noWrap w:val="0"/>
                  <w:vAlign w:val="center"/>
                </w:tcPr>
                <w:p w14:paraId="7DA9F8C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83" w:type="pct"/>
                  <w:noWrap w:val="0"/>
                  <w:vAlign w:val="center"/>
                </w:tcPr>
                <w:p w14:paraId="151EF7E8">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33.97</w:t>
                  </w:r>
                </w:p>
              </w:tc>
              <w:tc>
                <w:tcPr>
                  <w:tcW w:w="272" w:type="pct"/>
                  <w:noWrap w:val="0"/>
                  <w:vAlign w:val="center"/>
                </w:tcPr>
                <w:p w14:paraId="3563DD2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7A6193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270" w:type="pct"/>
                  <w:vMerge w:val="restart"/>
                  <w:noWrap w:val="0"/>
                  <w:vAlign w:val="center"/>
                </w:tcPr>
                <w:p w14:paraId="48EF288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4</w:t>
                  </w:r>
                </w:p>
              </w:tc>
              <w:tc>
                <w:tcPr>
                  <w:tcW w:w="271" w:type="pct"/>
                  <w:vMerge w:val="continue"/>
                  <w:noWrap w:val="0"/>
                  <w:vAlign w:val="center"/>
                </w:tcPr>
                <w:p w14:paraId="3AB6C63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cs="Times New Roman"/>
                      <w:b/>
                      <w:bCs/>
                      <w:color w:val="auto"/>
                      <w:kern w:val="2"/>
                      <w:sz w:val="21"/>
                      <w:szCs w:val="21"/>
                      <w:highlight w:val="none"/>
                      <w:u w:val="none" w:color="auto"/>
                      <w:lang w:val="en-US" w:eastAsia="zh-CN" w:bidi="ar-SA"/>
                    </w:rPr>
                  </w:pPr>
                </w:p>
              </w:tc>
              <w:tc>
                <w:tcPr>
                  <w:tcW w:w="271" w:type="pct"/>
                  <w:vMerge w:val="restart"/>
                  <w:noWrap w:val="0"/>
                  <w:vAlign w:val="center"/>
                </w:tcPr>
                <w:p w14:paraId="6F6041E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cs="Times New Roman"/>
                      <w:b/>
                      <w:bCs/>
                      <w:color w:val="auto"/>
                      <w:kern w:val="2"/>
                      <w:sz w:val="21"/>
                      <w:szCs w:val="21"/>
                      <w:highlight w:val="none"/>
                      <w:u w:val="none" w:color="auto"/>
                      <w:lang w:val="en-US" w:eastAsia="zh-CN" w:bidi="ar-SA"/>
                    </w:rPr>
                  </w:pPr>
                  <w:r>
                    <w:rPr>
                      <w:rFonts w:hint="eastAsia" w:cs="Times New Roman"/>
                      <w:i w:val="0"/>
                      <w:iCs w:val="0"/>
                      <w:color w:val="auto"/>
                      <w:kern w:val="0"/>
                      <w:sz w:val="21"/>
                      <w:szCs w:val="21"/>
                      <w:highlight w:val="none"/>
                      <w:u w:val="none" w:color="auto"/>
                      <w:lang w:val="en-US" w:eastAsia="zh-CN" w:bidi="ar"/>
                    </w:rPr>
                    <w:t>风机</w:t>
                  </w:r>
                </w:p>
              </w:tc>
              <w:tc>
                <w:tcPr>
                  <w:tcW w:w="427" w:type="pct"/>
                  <w:vMerge w:val="restart"/>
                  <w:noWrap w:val="0"/>
                  <w:vAlign w:val="center"/>
                </w:tcPr>
                <w:p w14:paraId="5B65F5A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cs="Times New Roman"/>
                      <w:b/>
                      <w:bCs/>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90</w:t>
                  </w:r>
                </w:p>
              </w:tc>
              <w:tc>
                <w:tcPr>
                  <w:tcW w:w="404" w:type="pct"/>
                  <w:vMerge w:val="continue"/>
                  <w:noWrap w:val="0"/>
                  <w:vAlign w:val="center"/>
                </w:tcPr>
                <w:p w14:paraId="3F7A684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restart"/>
                  <w:noWrap w:val="0"/>
                  <w:vAlign w:val="center"/>
                </w:tcPr>
                <w:p w14:paraId="7C16CD81">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315" w:type="pct"/>
                  <w:vMerge w:val="restart"/>
                  <w:noWrap w:val="0"/>
                  <w:vAlign w:val="center"/>
                </w:tcPr>
                <w:p w14:paraId="4A77CB02">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-12</w:t>
                  </w:r>
                </w:p>
              </w:tc>
              <w:tc>
                <w:tcPr>
                  <w:tcW w:w="272" w:type="pct"/>
                  <w:vMerge w:val="restart"/>
                  <w:noWrap w:val="0"/>
                  <w:vAlign w:val="center"/>
                </w:tcPr>
                <w:p w14:paraId="204C5376">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271" w:type="pct"/>
                  <w:noWrap w:val="0"/>
                  <w:vAlign w:val="center"/>
                </w:tcPr>
                <w:p w14:paraId="62C84E1E">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271" w:type="pct"/>
                  <w:noWrap w:val="0"/>
                  <w:vAlign w:val="center"/>
                </w:tcPr>
                <w:p w14:paraId="36BF9350">
                  <w:pPr>
                    <w:keepNext w:val="0"/>
                    <w:keepLines w:val="0"/>
                    <w:pageBreakBefore w:val="0"/>
                    <w:widowControl/>
                    <w:kinsoku/>
                    <w:wordWrap w:val="0"/>
                    <w:overflowPunct/>
                    <w:topLinePunct/>
                    <w:autoSpaceDE/>
                    <w:autoSpaceDN/>
                    <w:bidi w:val="0"/>
                    <w:adjustRightInd/>
                    <w:snapToGrid/>
                    <w:jc w:val="both"/>
                    <w:outlineLvl w:val="9"/>
                    <w:rPr>
                      <w:rFonts w:hint="default"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26</w:t>
                  </w:r>
                </w:p>
              </w:tc>
              <w:tc>
                <w:tcPr>
                  <w:tcW w:w="483" w:type="pct"/>
                  <w:noWrap w:val="0"/>
                  <w:vAlign w:val="center"/>
                </w:tcPr>
                <w:p w14:paraId="16F76B0A">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40.91</w:t>
                  </w:r>
                </w:p>
              </w:tc>
              <w:tc>
                <w:tcPr>
                  <w:tcW w:w="306" w:type="pct"/>
                  <w:vMerge w:val="continue"/>
                  <w:noWrap w:val="0"/>
                  <w:vAlign w:val="center"/>
                </w:tcPr>
                <w:p w14:paraId="775FAF3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49ACE29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83" w:type="pct"/>
                  <w:noWrap w:val="0"/>
                  <w:vAlign w:val="center"/>
                </w:tcPr>
                <w:p w14:paraId="57A4B673">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highlight w:val="none"/>
                      <w:u w:val="none" w:color="auto"/>
                      <w:lang w:val="en-US" w:eastAsia="zh-CN" w:bidi="ar"/>
                    </w:rPr>
                    <w:t>25.91</w:t>
                  </w:r>
                </w:p>
              </w:tc>
              <w:tc>
                <w:tcPr>
                  <w:tcW w:w="272" w:type="pct"/>
                  <w:noWrap w:val="0"/>
                  <w:vAlign w:val="center"/>
                </w:tcPr>
                <w:p w14:paraId="2A4D5DF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3D0C58A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270" w:type="pct"/>
                  <w:vMerge w:val="continue"/>
                  <w:noWrap w:val="0"/>
                  <w:vAlign w:val="center"/>
                </w:tcPr>
                <w:p w14:paraId="7EEED60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6D7666E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79E523A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66F36AC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7911DCA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07978435">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315" w:type="pct"/>
                  <w:vMerge w:val="continue"/>
                  <w:noWrap w:val="0"/>
                  <w:vAlign w:val="center"/>
                </w:tcPr>
                <w:p w14:paraId="6996B2C2">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2" w:type="pct"/>
                  <w:vMerge w:val="continue"/>
                  <w:noWrap w:val="0"/>
                  <w:vAlign w:val="center"/>
                </w:tcPr>
                <w:p w14:paraId="6B48F625">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1" w:type="pct"/>
                  <w:noWrap w:val="0"/>
                  <w:vAlign w:val="center"/>
                </w:tcPr>
                <w:p w14:paraId="58BCBCDB">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271" w:type="pct"/>
                  <w:noWrap w:val="0"/>
                  <w:vAlign w:val="center"/>
                </w:tcPr>
                <w:p w14:paraId="24AE73B7">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33</w:t>
                  </w:r>
                </w:p>
              </w:tc>
              <w:tc>
                <w:tcPr>
                  <w:tcW w:w="483" w:type="pct"/>
                  <w:noWrap w:val="0"/>
                  <w:vAlign w:val="center"/>
                </w:tcPr>
                <w:p w14:paraId="1B88C1EB">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49.62</w:t>
                  </w:r>
                </w:p>
              </w:tc>
              <w:tc>
                <w:tcPr>
                  <w:tcW w:w="306" w:type="pct"/>
                  <w:vMerge w:val="continue"/>
                  <w:noWrap w:val="0"/>
                  <w:vAlign w:val="center"/>
                </w:tcPr>
                <w:p w14:paraId="734AC1E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0ED14F1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83" w:type="pct"/>
                  <w:noWrap w:val="0"/>
                  <w:vAlign w:val="center"/>
                </w:tcPr>
                <w:p w14:paraId="63C28F0F">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highlight w:val="none"/>
                      <w:u w:val="none" w:color="auto"/>
                      <w:lang w:val="en-US" w:eastAsia="zh-CN" w:bidi="ar"/>
                    </w:rPr>
                    <w:t>34.62</w:t>
                  </w:r>
                </w:p>
              </w:tc>
              <w:tc>
                <w:tcPr>
                  <w:tcW w:w="272" w:type="pct"/>
                  <w:noWrap w:val="0"/>
                  <w:vAlign w:val="center"/>
                </w:tcPr>
                <w:p w14:paraId="6D6564C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74514F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270" w:type="pct"/>
                  <w:vMerge w:val="continue"/>
                  <w:noWrap w:val="0"/>
                  <w:vAlign w:val="center"/>
                </w:tcPr>
                <w:p w14:paraId="1B5F9EE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6B4A7E9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17DF1E9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216A0C6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6CE5857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63B45BA8">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315" w:type="pct"/>
                  <w:vMerge w:val="continue"/>
                  <w:noWrap w:val="0"/>
                  <w:vAlign w:val="center"/>
                </w:tcPr>
                <w:p w14:paraId="5066427E">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2" w:type="pct"/>
                  <w:vMerge w:val="continue"/>
                  <w:noWrap w:val="0"/>
                  <w:vAlign w:val="center"/>
                </w:tcPr>
                <w:p w14:paraId="1186EF19">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1" w:type="pct"/>
                  <w:noWrap w:val="0"/>
                  <w:vAlign w:val="center"/>
                </w:tcPr>
                <w:p w14:paraId="39FEB3C8">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271" w:type="pct"/>
                  <w:noWrap w:val="0"/>
                  <w:vAlign w:val="center"/>
                </w:tcPr>
                <w:p w14:paraId="22E3E3A0">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483" w:type="pct"/>
                  <w:noWrap w:val="0"/>
                  <w:vAlign w:val="center"/>
                </w:tcPr>
                <w:p w14:paraId="2B3129C8">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52.04</w:t>
                  </w:r>
                </w:p>
              </w:tc>
              <w:tc>
                <w:tcPr>
                  <w:tcW w:w="306" w:type="pct"/>
                  <w:vMerge w:val="continue"/>
                  <w:noWrap w:val="0"/>
                  <w:vAlign w:val="center"/>
                </w:tcPr>
                <w:p w14:paraId="229C0E2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03E1B62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83" w:type="pct"/>
                  <w:noWrap w:val="0"/>
                  <w:vAlign w:val="center"/>
                </w:tcPr>
                <w:p w14:paraId="17A9EF19">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highlight w:val="none"/>
                      <w:u w:val="none" w:color="auto"/>
                      <w:lang w:val="en-US" w:eastAsia="zh-CN" w:bidi="ar"/>
                    </w:rPr>
                    <w:t>37.04</w:t>
                  </w:r>
                </w:p>
              </w:tc>
              <w:tc>
                <w:tcPr>
                  <w:tcW w:w="272" w:type="pct"/>
                  <w:noWrap w:val="0"/>
                  <w:vAlign w:val="center"/>
                </w:tcPr>
                <w:p w14:paraId="2EE78A5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38E1FB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270" w:type="pct"/>
                  <w:vMerge w:val="continue"/>
                  <w:noWrap w:val="0"/>
                  <w:vAlign w:val="center"/>
                </w:tcPr>
                <w:p w14:paraId="6180CB2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1BA85A4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2C005C5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07929BE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2235DE3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3D65BB46">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315" w:type="pct"/>
                  <w:vMerge w:val="continue"/>
                  <w:noWrap w:val="0"/>
                  <w:vAlign w:val="center"/>
                </w:tcPr>
                <w:p w14:paraId="2327DEC1">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2" w:type="pct"/>
                  <w:vMerge w:val="continue"/>
                  <w:noWrap w:val="0"/>
                  <w:vAlign w:val="center"/>
                </w:tcPr>
                <w:p w14:paraId="3B1A9FB5">
                  <w:pPr>
                    <w:keepNext w:val="0"/>
                    <w:keepLines w:val="0"/>
                    <w:pageBreakBefore w:val="0"/>
                    <w:widowControl/>
                    <w:kinsoku/>
                    <w:wordWrap w:val="0"/>
                    <w:overflowPunct/>
                    <w:topLinePunct/>
                    <w:autoSpaceDE/>
                    <w:autoSpaceDN/>
                    <w:bidi w:val="0"/>
                    <w:adjustRightInd/>
                    <w:snapToGrid/>
                    <w:jc w:val="center"/>
                    <w:outlineLvl w:val="9"/>
                    <w:rPr>
                      <w:rFonts w:hint="eastAsia" w:cs="Times New Roman"/>
                      <w:b/>
                      <w:bCs/>
                      <w:color w:val="auto"/>
                      <w:kern w:val="2"/>
                      <w:sz w:val="21"/>
                      <w:szCs w:val="21"/>
                      <w:highlight w:val="none"/>
                      <w:u w:val="none" w:color="auto"/>
                      <w:lang w:val="en-US" w:eastAsia="zh-CN" w:bidi="ar-SA"/>
                    </w:rPr>
                  </w:pPr>
                </w:p>
              </w:tc>
              <w:tc>
                <w:tcPr>
                  <w:tcW w:w="271" w:type="pct"/>
                  <w:noWrap w:val="0"/>
                  <w:vAlign w:val="center"/>
                </w:tcPr>
                <w:p w14:paraId="59F46313">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271" w:type="pct"/>
                  <w:noWrap w:val="0"/>
                  <w:vAlign w:val="center"/>
                </w:tcPr>
                <w:p w14:paraId="264FBC3B">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12</w:t>
                  </w:r>
                </w:p>
              </w:tc>
              <w:tc>
                <w:tcPr>
                  <w:tcW w:w="483" w:type="pct"/>
                  <w:noWrap w:val="0"/>
                  <w:vAlign w:val="center"/>
                </w:tcPr>
                <w:p w14:paraId="24A65C8B">
                  <w:pPr>
                    <w:keepNext w:val="0"/>
                    <w:keepLines w:val="0"/>
                    <w:pageBreakBefore w:val="0"/>
                    <w:widowControl/>
                    <w:kinsoku/>
                    <w:wordWrap w:val="0"/>
                    <w:overflowPunct/>
                    <w:topLinePunct/>
                    <w:autoSpaceDE/>
                    <w:autoSpaceDN/>
                    <w:bidi w:val="0"/>
                    <w:adjustRightInd/>
                    <w:snapToGrid/>
                    <w:jc w:val="both"/>
                    <w:outlineLvl w:val="9"/>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58.41</w:t>
                  </w:r>
                </w:p>
              </w:tc>
              <w:tc>
                <w:tcPr>
                  <w:tcW w:w="306" w:type="pct"/>
                  <w:vMerge w:val="continue"/>
                  <w:noWrap w:val="0"/>
                  <w:vAlign w:val="center"/>
                </w:tcPr>
                <w:p w14:paraId="2090963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70EEA16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eastAsia" w:cs="Times New Roman"/>
                      <w:b/>
                      <w:bCs/>
                      <w:color w:val="auto"/>
                      <w:kern w:val="2"/>
                      <w:sz w:val="21"/>
                      <w:szCs w:val="21"/>
                      <w:highlight w:val="none"/>
                      <w:u w:val="none" w:color="auto"/>
                      <w:lang w:val="en-US" w:eastAsia="zh-CN" w:bidi="ar-SA"/>
                    </w:rPr>
                  </w:pPr>
                </w:p>
              </w:tc>
              <w:tc>
                <w:tcPr>
                  <w:tcW w:w="483" w:type="pct"/>
                  <w:noWrap w:val="0"/>
                  <w:vAlign w:val="center"/>
                </w:tcPr>
                <w:p w14:paraId="50A95162">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eastAsia"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highlight w:val="none"/>
                      <w:u w:val="none" w:color="auto"/>
                      <w:lang w:val="en-US" w:eastAsia="zh-CN" w:bidi="ar"/>
                    </w:rPr>
                    <w:t>43.41</w:t>
                  </w:r>
                </w:p>
              </w:tc>
              <w:tc>
                <w:tcPr>
                  <w:tcW w:w="272" w:type="pct"/>
                  <w:noWrap w:val="0"/>
                  <w:vAlign w:val="center"/>
                </w:tcPr>
                <w:p w14:paraId="32D818B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24B84E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270" w:type="pct"/>
                  <w:vMerge w:val="restart"/>
                  <w:noWrap w:val="0"/>
                  <w:vAlign w:val="center"/>
                </w:tcPr>
                <w:p w14:paraId="01B8236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5</w:t>
                  </w:r>
                </w:p>
              </w:tc>
              <w:tc>
                <w:tcPr>
                  <w:tcW w:w="271" w:type="pct"/>
                  <w:vMerge w:val="continue"/>
                  <w:noWrap w:val="0"/>
                  <w:vAlign w:val="center"/>
                </w:tcPr>
                <w:p w14:paraId="2310153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restart"/>
                  <w:noWrap w:val="0"/>
                  <w:vAlign w:val="center"/>
                </w:tcPr>
                <w:p w14:paraId="55EB941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Cs/>
                      <w:color w:val="auto"/>
                      <w:sz w:val="21"/>
                      <w:szCs w:val="21"/>
                      <w:highlight w:val="none"/>
                      <w:u w:val="none" w:color="auto"/>
                      <w:lang w:val="en-US" w:eastAsia="zh-CN"/>
                    </w:rPr>
                    <w:t>液压一体化裁剪机</w:t>
                  </w:r>
                </w:p>
              </w:tc>
              <w:tc>
                <w:tcPr>
                  <w:tcW w:w="427" w:type="pct"/>
                  <w:vMerge w:val="restart"/>
                  <w:noWrap w:val="0"/>
                  <w:vAlign w:val="center"/>
                </w:tcPr>
                <w:p w14:paraId="348501E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75</w:t>
                  </w:r>
                </w:p>
              </w:tc>
              <w:tc>
                <w:tcPr>
                  <w:tcW w:w="404" w:type="pct"/>
                  <w:vMerge w:val="continue"/>
                  <w:noWrap w:val="0"/>
                  <w:vAlign w:val="center"/>
                </w:tcPr>
                <w:p w14:paraId="36DF0E6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restart"/>
                  <w:noWrap w:val="0"/>
                  <w:vAlign w:val="center"/>
                </w:tcPr>
                <w:p w14:paraId="417009F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10</w:t>
                  </w:r>
                </w:p>
              </w:tc>
              <w:tc>
                <w:tcPr>
                  <w:tcW w:w="315" w:type="pct"/>
                  <w:vMerge w:val="restart"/>
                  <w:noWrap w:val="0"/>
                  <w:vAlign w:val="center"/>
                </w:tcPr>
                <w:p w14:paraId="436A024C">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-18</w:t>
                  </w:r>
                </w:p>
              </w:tc>
              <w:tc>
                <w:tcPr>
                  <w:tcW w:w="272" w:type="pct"/>
                  <w:vMerge w:val="restart"/>
                  <w:noWrap w:val="0"/>
                  <w:vAlign w:val="center"/>
                </w:tcPr>
                <w:p w14:paraId="5B23D67D">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271" w:type="pct"/>
                  <w:noWrap w:val="0"/>
                  <w:vAlign w:val="center"/>
                </w:tcPr>
                <w:p w14:paraId="58D974B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东</w:t>
                  </w:r>
                </w:p>
              </w:tc>
              <w:tc>
                <w:tcPr>
                  <w:tcW w:w="271" w:type="pct"/>
                  <w:noWrap w:val="0"/>
                  <w:vAlign w:val="center"/>
                </w:tcPr>
                <w:p w14:paraId="4A9B8DF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40</w:t>
                  </w:r>
                </w:p>
              </w:tc>
              <w:tc>
                <w:tcPr>
                  <w:tcW w:w="483" w:type="pct"/>
                  <w:noWrap w:val="0"/>
                  <w:vAlign w:val="center"/>
                </w:tcPr>
                <w:p w14:paraId="1DDB353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43.38</w:t>
                  </w:r>
                </w:p>
              </w:tc>
              <w:tc>
                <w:tcPr>
                  <w:tcW w:w="306" w:type="pct"/>
                  <w:vMerge w:val="continue"/>
                  <w:noWrap w:val="0"/>
                  <w:vAlign w:val="center"/>
                </w:tcPr>
                <w:p w14:paraId="59DFB10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40CC2BF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83" w:type="pct"/>
                  <w:noWrap w:val="0"/>
                  <w:vAlign w:val="center"/>
                </w:tcPr>
                <w:p w14:paraId="50B0EC8E">
                  <w:pPr>
                    <w:keepNext w:val="0"/>
                    <w:keepLines w:val="0"/>
                    <w:pageBreakBefore w:val="0"/>
                    <w:kinsoku/>
                    <w:wordWrap/>
                    <w:overflowPunct/>
                    <w:topLinePunct w:val="0"/>
                    <w:autoSpaceDE/>
                    <w:autoSpaceDN/>
                    <w:bidi w:val="0"/>
                    <w:adjustRightInd/>
                    <w:snapToGrid/>
                    <w:jc w:val="both"/>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28.38</w:t>
                  </w:r>
                </w:p>
              </w:tc>
              <w:tc>
                <w:tcPr>
                  <w:tcW w:w="272" w:type="pct"/>
                  <w:noWrap w:val="0"/>
                  <w:vAlign w:val="center"/>
                </w:tcPr>
                <w:p w14:paraId="4D19B10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91D43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270" w:type="pct"/>
                  <w:vMerge w:val="continue"/>
                  <w:noWrap w:val="0"/>
                  <w:vAlign w:val="center"/>
                </w:tcPr>
                <w:p w14:paraId="5A35AC8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271" w:type="pct"/>
                  <w:vMerge w:val="continue"/>
                  <w:noWrap w:val="0"/>
                  <w:vAlign w:val="center"/>
                </w:tcPr>
                <w:p w14:paraId="196B597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271" w:type="pct"/>
                  <w:vMerge w:val="continue"/>
                  <w:noWrap w:val="0"/>
                  <w:vAlign w:val="center"/>
                </w:tcPr>
                <w:p w14:paraId="16B912B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427" w:type="pct"/>
                  <w:vMerge w:val="continue"/>
                  <w:noWrap w:val="0"/>
                  <w:vAlign w:val="center"/>
                </w:tcPr>
                <w:p w14:paraId="331930C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404" w:type="pct"/>
                  <w:vMerge w:val="continue"/>
                  <w:noWrap w:val="0"/>
                  <w:vAlign w:val="center"/>
                </w:tcPr>
                <w:p w14:paraId="216B899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271" w:type="pct"/>
                  <w:vMerge w:val="continue"/>
                  <w:noWrap w:val="0"/>
                  <w:vAlign w:val="center"/>
                </w:tcPr>
                <w:p w14:paraId="66FA52D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315" w:type="pct"/>
                  <w:vMerge w:val="continue"/>
                  <w:noWrap w:val="0"/>
                  <w:vAlign w:val="center"/>
                </w:tcPr>
                <w:p w14:paraId="75B3339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272" w:type="pct"/>
                  <w:vMerge w:val="continue"/>
                  <w:noWrap w:val="0"/>
                  <w:vAlign w:val="center"/>
                </w:tcPr>
                <w:p w14:paraId="328D551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271" w:type="pct"/>
                  <w:noWrap w:val="0"/>
                  <w:vAlign w:val="center"/>
                </w:tcPr>
                <w:p w14:paraId="1E80820E">
                  <w:pPr>
                    <w:keepNext w:val="0"/>
                    <w:keepLines w:val="0"/>
                    <w:pageBreakBefore w:val="0"/>
                    <w:kinsoku/>
                    <w:wordWrap/>
                    <w:overflowPunct/>
                    <w:topLinePunct w:val="0"/>
                    <w:autoSpaceDE/>
                    <w:autoSpaceDN/>
                    <w:bidi w:val="0"/>
                    <w:adjustRightInd/>
                    <w:snapToGrid/>
                    <w:jc w:val="center"/>
                    <w:outlineLvl w:val="9"/>
                    <w:rPr>
                      <w:highlight w:val="none"/>
                      <w:u w:val="none" w:color="auto"/>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南</w:t>
                  </w:r>
                </w:p>
              </w:tc>
              <w:tc>
                <w:tcPr>
                  <w:tcW w:w="271" w:type="pct"/>
                  <w:noWrap w:val="0"/>
                  <w:vAlign w:val="center"/>
                </w:tcPr>
                <w:p w14:paraId="1A3E2D3D">
                  <w:pPr>
                    <w:keepNext w:val="0"/>
                    <w:keepLines w:val="0"/>
                    <w:pageBreakBefore w:val="0"/>
                    <w:kinsoku/>
                    <w:wordWrap/>
                    <w:overflowPunct/>
                    <w:topLinePunct w:val="0"/>
                    <w:autoSpaceDE/>
                    <w:autoSpaceDN/>
                    <w:bidi w:val="0"/>
                    <w:adjustRightInd/>
                    <w:snapToGrid/>
                    <w:jc w:val="center"/>
                    <w:outlineLvl w:val="9"/>
                    <w:rPr>
                      <w:highlight w:val="none"/>
                      <w:u w:val="none" w:color="auto"/>
                    </w:rPr>
                  </w:pPr>
                  <w:r>
                    <w:rPr>
                      <w:rFonts w:hint="eastAsia" w:cs="Times New Roman"/>
                      <w:color w:val="auto"/>
                      <w:spacing w:val="0"/>
                      <w:position w:val="0"/>
                      <w:sz w:val="21"/>
                      <w:szCs w:val="21"/>
                      <w:highlight w:val="none"/>
                      <w:u w:val="none" w:color="auto"/>
                      <w:lang w:val="en-US" w:eastAsia="zh-CN"/>
                    </w:rPr>
                    <w:t>30</w:t>
                  </w:r>
                </w:p>
              </w:tc>
              <w:tc>
                <w:tcPr>
                  <w:tcW w:w="483" w:type="pct"/>
                  <w:noWrap w:val="0"/>
                  <w:vAlign w:val="center"/>
                </w:tcPr>
                <w:p w14:paraId="5355BF90">
                  <w:pPr>
                    <w:keepNext w:val="0"/>
                    <w:keepLines w:val="0"/>
                    <w:pageBreakBefore w:val="0"/>
                    <w:kinsoku/>
                    <w:wordWrap/>
                    <w:overflowPunct/>
                    <w:topLinePunct w:val="0"/>
                    <w:autoSpaceDE/>
                    <w:autoSpaceDN/>
                    <w:bidi w:val="0"/>
                    <w:adjustRightInd/>
                    <w:snapToGrid/>
                    <w:jc w:val="center"/>
                    <w:outlineLvl w:val="9"/>
                    <w:rPr>
                      <w:highlight w:val="none"/>
                      <w:u w:val="none" w:color="auto"/>
                    </w:rPr>
                  </w:pPr>
                  <w:r>
                    <w:rPr>
                      <w:rFonts w:hint="eastAsia" w:cs="Times New Roman"/>
                      <w:i w:val="0"/>
                      <w:iCs w:val="0"/>
                      <w:color w:val="auto"/>
                      <w:spacing w:val="0"/>
                      <w:position w:val="0"/>
                      <w:sz w:val="21"/>
                      <w:szCs w:val="21"/>
                      <w:highlight w:val="none"/>
                      <w:u w:val="none" w:color="auto"/>
                      <w:lang w:val="en-US" w:eastAsia="zh-CN"/>
                    </w:rPr>
                    <w:t>51.02</w:t>
                  </w:r>
                </w:p>
              </w:tc>
              <w:tc>
                <w:tcPr>
                  <w:tcW w:w="306" w:type="pct"/>
                  <w:vMerge w:val="continue"/>
                  <w:noWrap w:val="0"/>
                  <w:vAlign w:val="center"/>
                </w:tcPr>
                <w:p w14:paraId="5B8CE1E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408" w:type="pct"/>
                  <w:vMerge w:val="continue"/>
                  <w:noWrap w:val="0"/>
                  <w:vAlign w:val="center"/>
                </w:tcPr>
                <w:p w14:paraId="4605A23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highlight w:val="none"/>
                      <w:u w:val="none" w:color="auto"/>
                    </w:rPr>
                  </w:pPr>
                </w:p>
              </w:tc>
              <w:tc>
                <w:tcPr>
                  <w:tcW w:w="483" w:type="pct"/>
                  <w:noWrap w:val="0"/>
                  <w:vAlign w:val="center"/>
                </w:tcPr>
                <w:p w14:paraId="11C40811">
                  <w:pPr>
                    <w:keepNext w:val="0"/>
                    <w:keepLines w:val="0"/>
                    <w:pageBreakBefore w:val="0"/>
                    <w:kinsoku/>
                    <w:wordWrap/>
                    <w:overflowPunct/>
                    <w:topLinePunct w:val="0"/>
                    <w:autoSpaceDE/>
                    <w:autoSpaceDN/>
                    <w:bidi w:val="0"/>
                    <w:adjustRightInd/>
                    <w:snapToGrid/>
                    <w:jc w:val="both"/>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36.02</w:t>
                  </w:r>
                </w:p>
              </w:tc>
              <w:tc>
                <w:tcPr>
                  <w:tcW w:w="272" w:type="pct"/>
                  <w:noWrap w:val="0"/>
                  <w:vAlign w:val="center"/>
                </w:tcPr>
                <w:p w14:paraId="04A84D6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76AF48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270" w:type="pct"/>
                  <w:vMerge w:val="continue"/>
                  <w:noWrap w:val="0"/>
                  <w:vAlign w:val="center"/>
                </w:tcPr>
                <w:p w14:paraId="30B7666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62F3E0A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05A4797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65F1468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66F43E7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7C63BE5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315" w:type="pct"/>
                  <w:vMerge w:val="continue"/>
                  <w:noWrap w:val="0"/>
                  <w:vAlign w:val="center"/>
                </w:tcPr>
                <w:p w14:paraId="34EF467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2" w:type="pct"/>
                  <w:vMerge w:val="continue"/>
                  <w:noWrap w:val="0"/>
                  <w:vAlign w:val="center"/>
                </w:tcPr>
                <w:p w14:paraId="3DE2F0C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noWrap w:val="0"/>
                  <w:vAlign w:val="center"/>
                </w:tcPr>
                <w:p w14:paraId="0D67F7B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西</w:t>
                  </w:r>
                </w:p>
              </w:tc>
              <w:tc>
                <w:tcPr>
                  <w:tcW w:w="271" w:type="pct"/>
                  <w:noWrap w:val="0"/>
                  <w:vAlign w:val="center"/>
                </w:tcPr>
                <w:p w14:paraId="32BC895F">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25</w:t>
                  </w:r>
                </w:p>
              </w:tc>
              <w:tc>
                <w:tcPr>
                  <w:tcW w:w="483" w:type="pct"/>
                  <w:noWrap w:val="0"/>
                  <w:vAlign w:val="center"/>
                </w:tcPr>
                <w:p w14:paraId="51828B0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56.27</w:t>
                  </w:r>
                </w:p>
              </w:tc>
              <w:tc>
                <w:tcPr>
                  <w:tcW w:w="306" w:type="pct"/>
                  <w:vMerge w:val="continue"/>
                  <w:noWrap w:val="0"/>
                  <w:vAlign w:val="center"/>
                </w:tcPr>
                <w:p w14:paraId="78853AF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2D5C691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83" w:type="pct"/>
                  <w:noWrap w:val="0"/>
                  <w:vAlign w:val="center"/>
                </w:tcPr>
                <w:p w14:paraId="0096985A">
                  <w:pPr>
                    <w:keepNext w:val="0"/>
                    <w:keepLines w:val="0"/>
                    <w:pageBreakBefore w:val="0"/>
                    <w:kinsoku/>
                    <w:wordWrap/>
                    <w:overflowPunct/>
                    <w:topLinePunct w:val="0"/>
                    <w:autoSpaceDE/>
                    <w:autoSpaceDN/>
                    <w:bidi w:val="0"/>
                    <w:adjustRightInd/>
                    <w:snapToGrid/>
                    <w:jc w:val="both"/>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41.27</w:t>
                  </w:r>
                </w:p>
              </w:tc>
              <w:tc>
                <w:tcPr>
                  <w:tcW w:w="272" w:type="pct"/>
                  <w:noWrap w:val="0"/>
                  <w:vAlign w:val="center"/>
                </w:tcPr>
                <w:p w14:paraId="2358D0CD">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FFB90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270" w:type="pct"/>
                  <w:vMerge w:val="continue"/>
                  <w:noWrap w:val="0"/>
                  <w:vAlign w:val="center"/>
                </w:tcPr>
                <w:p w14:paraId="64E0674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4458F00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0501F3A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7" w:type="pct"/>
                  <w:vMerge w:val="continue"/>
                  <w:noWrap w:val="0"/>
                  <w:vAlign w:val="center"/>
                </w:tcPr>
                <w:p w14:paraId="031A5E9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4" w:type="pct"/>
                  <w:vMerge w:val="continue"/>
                  <w:noWrap w:val="0"/>
                  <w:vAlign w:val="center"/>
                </w:tcPr>
                <w:p w14:paraId="5421220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vMerge w:val="continue"/>
                  <w:noWrap w:val="0"/>
                  <w:vAlign w:val="center"/>
                </w:tcPr>
                <w:p w14:paraId="5FC8B08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315" w:type="pct"/>
                  <w:vMerge w:val="continue"/>
                  <w:noWrap w:val="0"/>
                  <w:vAlign w:val="center"/>
                </w:tcPr>
                <w:p w14:paraId="312D721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2" w:type="pct"/>
                  <w:vMerge w:val="continue"/>
                  <w:noWrap w:val="0"/>
                  <w:vAlign w:val="center"/>
                </w:tcPr>
                <w:p w14:paraId="535F40D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271" w:type="pct"/>
                  <w:noWrap w:val="0"/>
                  <w:vAlign w:val="center"/>
                </w:tcPr>
                <w:p w14:paraId="77EA2AA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北</w:t>
                  </w:r>
                </w:p>
              </w:tc>
              <w:tc>
                <w:tcPr>
                  <w:tcW w:w="271" w:type="pct"/>
                  <w:noWrap w:val="0"/>
                  <w:vAlign w:val="center"/>
                </w:tcPr>
                <w:p w14:paraId="1B6070F2">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30</w:t>
                  </w:r>
                </w:p>
              </w:tc>
              <w:tc>
                <w:tcPr>
                  <w:tcW w:w="483" w:type="pct"/>
                  <w:noWrap w:val="0"/>
                  <w:vAlign w:val="center"/>
                </w:tcPr>
                <w:p w14:paraId="2048A73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54.20</w:t>
                  </w:r>
                </w:p>
              </w:tc>
              <w:tc>
                <w:tcPr>
                  <w:tcW w:w="306" w:type="pct"/>
                  <w:vMerge w:val="continue"/>
                  <w:noWrap w:val="0"/>
                  <w:vAlign w:val="center"/>
                </w:tcPr>
                <w:p w14:paraId="321E965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08" w:type="pct"/>
                  <w:vMerge w:val="continue"/>
                  <w:noWrap w:val="0"/>
                  <w:vAlign w:val="center"/>
                </w:tcPr>
                <w:p w14:paraId="38E9220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83" w:type="pct"/>
                  <w:noWrap w:val="0"/>
                  <w:vAlign w:val="center"/>
                </w:tcPr>
                <w:p w14:paraId="3D5B367D">
                  <w:pPr>
                    <w:keepNext w:val="0"/>
                    <w:keepLines w:val="0"/>
                    <w:pageBreakBefore w:val="0"/>
                    <w:kinsoku/>
                    <w:wordWrap/>
                    <w:overflowPunct/>
                    <w:topLinePunct w:val="0"/>
                    <w:autoSpaceDE/>
                    <w:autoSpaceDN/>
                    <w:bidi w:val="0"/>
                    <w:adjustRightInd/>
                    <w:snapToGrid/>
                    <w:jc w:val="both"/>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39.20</w:t>
                  </w:r>
                </w:p>
              </w:tc>
              <w:tc>
                <w:tcPr>
                  <w:tcW w:w="272" w:type="pct"/>
                  <w:noWrap w:val="0"/>
                  <w:vAlign w:val="center"/>
                </w:tcPr>
                <w:p w14:paraId="18632AF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629257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5000" w:type="pct"/>
                  <w:gridSpan w:val="15"/>
                  <w:noWrap w:val="0"/>
                  <w:vAlign w:val="center"/>
                </w:tcPr>
                <w:p w14:paraId="7B8B3EC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both"/>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注：以</w:t>
                  </w:r>
                  <w:r>
                    <w:rPr>
                      <w:rFonts w:hint="eastAsia" w:ascii="Times New Roman" w:hAnsi="Times New Roman" w:eastAsia="宋体" w:cs="Times New Roman"/>
                      <w:b/>
                      <w:bCs/>
                      <w:color w:val="auto"/>
                      <w:kern w:val="2"/>
                      <w:sz w:val="21"/>
                      <w:szCs w:val="21"/>
                      <w:highlight w:val="none"/>
                      <w:u w:val="none" w:color="auto"/>
                      <w:lang w:val="en-US" w:eastAsia="zh-CN" w:bidi="ar-SA"/>
                    </w:rPr>
                    <w:t>生产厂房</w:t>
                  </w:r>
                  <w:r>
                    <w:rPr>
                      <w:rFonts w:hint="default" w:ascii="Times New Roman" w:hAnsi="Times New Roman" w:eastAsia="宋体" w:cs="Times New Roman"/>
                      <w:b/>
                      <w:bCs/>
                      <w:color w:val="auto"/>
                      <w:kern w:val="2"/>
                      <w:sz w:val="21"/>
                      <w:szCs w:val="21"/>
                      <w:highlight w:val="none"/>
                      <w:u w:val="none" w:color="auto"/>
                      <w:lang w:val="en-US" w:eastAsia="zh-CN" w:bidi="ar-SA"/>
                    </w:rPr>
                    <w:t>西北角为中心（0,0,0）</w:t>
                  </w:r>
                </w:p>
              </w:tc>
            </w:tr>
          </w:tbl>
          <w:p w14:paraId="2403EB7C">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噪声排放达标性分析</w:t>
            </w:r>
          </w:p>
          <w:p w14:paraId="529DCFFB">
            <w:pPr>
              <w:pStyle w:val="25"/>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本次工程建设内容及《环境影响评价技术导则—声环境》（HJ2.4-2021）的要求，本次评价采用的模型为《环境影响评价技术导则声环境》(HJ2.4.2021)附录A（规范性附录）户外声传播的衰减和附录B（规范性附录）中“B.1工业噪声预测计算模型”。</w:t>
            </w:r>
          </w:p>
          <w:p w14:paraId="519A833F">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cs="Times New Roman"/>
                <w:color w:val="auto"/>
                <w:spacing w:val="0"/>
                <w:position w:val="0"/>
                <w:sz w:val="24"/>
                <w:szCs w:val="24"/>
                <w:highlight w:val="none"/>
                <w:u w:val="none" w:color="auto"/>
                <w:lang w:val="en-US" w:eastAsia="zh-CN"/>
              </w:rPr>
              <w:t>1</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噪声预测模式及参数</w:t>
            </w:r>
          </w:p>
          <w:p w14:paraId="1E9A865B">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本项目预测模式选用《环境影响评价技术导则声环境》（HJ2.4-2021）中推荐的工业噪声预测计算模式，模式如下：</w:t>
            </w:r>
          </w:p>
          <w:p w14:paraId="0BC123CE">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①室内声源等效室外声源声功率级计算方法</w:t>
            </w:r>
          </w:p>
          <w:p w14:paraId="7828FBBC">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声源位于室内，室内声源可采用等效室外声源声功率级法进行计算。按5.2-2式计算某一室内声源靠近围护结构处产生的倍频带声压级或A声级：</w:t>
            </w:r>
          </w:p>
          <w:p w14:paraId="7C95ED50">
            <w:pPr>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314700" cy="739140"/>
                  <wp:effectExtent l="0" t="0" r="0"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0"/>
                          <a:stretch>
                            <a:fillRect/>
                          </a:stretch>
                        </pic:blipFill>
                        <pic:spPr>
                          <a:xfrm>
                            <a:off x="0" y="0"/>
                            <a:ext cx="3314700" cy="739140"/>
                          </a:xfrm>
                          <a:prstGeom prst="rect">
                            <a:avLst/>
                          </a:prstGeom>
                          <a:noFill/>
                          <a:ln>
                            <a:noFill/>
                          </a:ln>
                        </pic:spPr>
                      </pic:pic>
                    </a:graphicData>
                  </a:graphic>
                </wp:inline>
              </w:drawing>
            </w:r>
          </w:p>
          <w:p w14:paraId="3E58DB79">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656B02F7">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w:t>
            </w:r>
            <w:r>
              <w:rPr>
                <w:rFonts w:hint="default" w:ascii="Times New Roman" w:hAnsi="Times New Roman" w:eastAsia="宋体" w:cs="Times New Roman"/>
                <w:color w:val="auto"/>
                <w:spacing w:val="0"/>
                <w:position w:val="0"/>
                <w:sz w:val="24"/>
                <w:szCs w:val="24"/>
                <w:highlight w:val="none"/>
                <w:u w:val="none" w:color="auto"/>
              </w:rPr>
              <w:t>——靠近开口处（或窗户）室内某倍频带的声压级或A声级，dB；</w:t>
            </w:r>
          </w:p>
          <w:p w14:paraId="239FDBD1">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——点声源声功率级（A计权或倍频带），dB；</w:t>
            </w:r>
          </w:p>
          <w:p w14:paraId="55E10645">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Q——指向性因数；通常对无指向性声源，当声源放在房间中心时，Q=1；当放在一面墙的中心时，Q=2；当放在两面墙夹角处时，Q=4；当放在三面墙夹角处时，Q=8；</w:t>
            </w:r>
          </w:p>
          <w:p w14:paraId="6D230D88">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R——房间常数；R=Sα/（1-α），S为房间内表面面积，m</w:t>
            </w:r>
            <w:r>
              <w:rPr>
                <w:rFonts w:hint="default" w:ascii="Times New Roman" w:hAnsi="Times New Roman" w:eastAsia="宋体" w:cs="Times New Roman"/>
                <w:color w:val="auto"/>
                <w:spacing w:val="0"/>
                <w:position w:val="0"/>
                <w:sz w:val="24"/>
                <w:szCs w:val="24"/>
                <w:highlight w:val="none"/>
                <w:u w:val="none" w:color="auto"/>
                <w:vertAlign w:val="superscript"/>
              </w:rPr>
              <w:t>2</w:t>
            </w:r>
            <w:r>
              <w:rPr>
                <w:rFonts w:hint="default" w:ascii="Times New Roman" w:hAnsi="Times New Roman" w:eastAsia="宋体" w:cs="Times New Roman"/>
                <w:color w:val="auto"/>
                <w:spacing w:val="0"/>
                <w:position w:val="0"/>
                <w:sz w:val="24"/>
                <w:szCs w:val="24"/>
                <w:highlight w:val="none"/>
                <w:u w:val="none" w:color="auto"/>
              </w:rPr>
              <w:t>；α为平均吸声系数；</w:t>
            </w:r>
          </w:p>
          <w:p w14:paraId="39EC45F9">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r——声源到靠近围护结构某点处的距离，m。</w:t>
            </w:r>
          </w:p>
          <w:p w14:paraId="646C7DB2">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然后按式5.2-3计算出所有室内声源在围护结构处产生的i倍频带叠加声压级：</w:t>
            </w:r>
          </w:p>
          <w:p w14:paraId="18944490">
            <w:pPr>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200400" cy="792480"/>
                  <wp:effectExtent l="0" t="0" r="0" b="762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1"/>
                          <a:stretch>
                            <a:fillRect/>
                          </a:stretch>
                        </pic:blipFill>
                        <pic:spPr>
                          <a:xfrm>
                            <a:off x="0" y="0"/>
                            <a:ext cx="3200400" cy="792480"/>
                          </a:xfrm>
                          <a:prstGeom prst="rect">
                            <a:avLst/>
                          </a:prstGeom>
                          <a:noFill/>
                          <a:ln>
                            <a:noFill/>
                          </a:ln>
                        </pic:spPr>
                      </pic:pic>
                    </a:graphicData>
                  </a:graphic>
                </wp:inline>
              </w:drawing>
            </w:r>
          </w:p>
          <w:p w14:paraId="1447C2BC">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3D3C9A15">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——靠近围护结构处室内N个声源i倍频带的叠加声压级，dB；</w:t>
            </w:r>
          </w:p>
          <w:p w14:paraId="73DB14D0">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p1ij</w:t>
            </w:r>
            <w:r>
              <w:rPr>
                <w:rFonts w:hint="default" w:ascii="Times New Roman" w:hAnsi="Times New Roman" w:eastAsia="宋体" w:cs="Times New Roman"/>
                <w:color w:val="auto"/>
                <w:spacing w:val="0"/>
                <w:position w:val="0"/>
                <w:sz w:val="24"/>
                <w:szCs w:val="24"/>
                <w:highlight w:val="none"/>
                <w:u w:val="none" w:color="auto"/>
              </w:rPr>
              <w:t>——室内j声源i倍频带的声压级，dB；</w:t>
            </w:r>
          </w:p>
          <w:p w14:paraId="06450E60">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N——室内声源总数。</w:t>
            </w:r>
          </w:p>
          <w:p w14:paraId="18C5F543">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在室内近似为扩散声场时，按5.2-4式计算出靠近室外围护结构处的声压级：</w:t>
            </w:r>
          </w:p>
          <w:p w14:paraId="03BE4AFC">
            <w:pPr>
              <w:pStyle w:val="48"/>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078480" cy="541020"/>
                  <wp:effectExtent l="0" t="0" r="7620" b="1143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2"/>
                          <a:stretch>
                            <a:fillRect/>
                          </a:stretch>
                        </pic:blipFill>
                        <pic:spPr>
                          <a:xfrm>
                            <a:off x="0" y="0"/>
                            <a:ext cx="3078480" cy="541020"/>
                          </a:xfrm>
                          <a:prstGeom prst="rect">
                            <a:avLst/>
                          </a:prstGeom>
                          <a:noFill/>
                          <a:ln>
                            <a:noFill/>
                          </a:ln>
                        </pic:spPr>
                      </pic:pic>
                    </a:graphicData>
                  </a:graphic>
                </wp:inline>
              </w:drawing>
            </w:r>
          </w:p>
          <w:p w14:paraId="442DBA38">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75228255">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p2i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——靠近围护结构处室外N个声源i倍频带的叠加声压级，dB；</w:t>
            </w:r>
          </w:p>
          <w:p w14:paraId="1850B166">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——靠近围护结构处室内N个声源i倍频带的叠加声压级，dB；</w:t>
            </w:r>
          </w:p>
          <w:p w14:paraId="391D2A89">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TL</w:t>
            </w:r>
            <w:r>
              <w:rPr>
                <w:rFonts w:hint="default" w:ascii="Times New Roman" w:hAnsi="Times New Roman" w:eastAsia="宋体" w:cs="Times New Roman"/>
                <w:color w:val="auto"/>
                <w:spacing w:val="0"/>
                <w:position w:val="0"/>
                <w:sz w:val="24"/>
                <w:szCs w:val="24"/>
                <w:highlight w:val="none"/>
                <w:u w:val="none" w:color="auto"/>
                <w:vertAlign w:val="subscript"/>
              </w:rPr>
              <w:t>i</w:t>
            </w:r>
            <w:r>
              <w:rPr>
                <w:rFonts w:hint="default" w:ascii="Times New Roman" w:hAnsi="Times New Roman" w:eastAsia="宋体" w:cs="Times New Roman"/>
                <w:color w:val="auto"/>
                <w:spacing w:val="0"/>
                <w:position w:val="0"/>
                <w:sz w:val="24"/>
                <w:szCs w:val="24"/>
                <w:highlight w:val="none"/>
                <w:u w:val="none" w:color="auto"/>
              </w:rPr>
              <w:t>——围护结构i倍频带的隔声量，dB。</w:t>
            </w:r>
          </w:p>
          <w:p w14:paraId="60996E2A">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然后按5.2-5式将室外声源的声压级和透过面积换算成等效的室外声源，计算出中心位置位于透声面积（S）处的等效声源的倍频带声功率级。</w:t>
            </w:r>
          </w:p>
          <w:p w14:paraId="60DC21E4">
            <w:pPr>
              <w:pStyle w:val="48"/>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849880" cy="525780"/>
                  <wp:effectExtent l="0" t="0" r="7620" b="762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3"/>
                          <a:stretch>
                            <a:fillRect/>
                          </a:stretch>
                        </pic:blipFill>
                        <pic:spPr>
                          <a:xfrm>
                            <a:off x="0" y="0"/>
                            <a:ext cx="2849880" cy="525780"/>
                          </a:xfrm>
                          <a:prstGeom prst="rect">
                            <a:avLst/>
                          </a:prstGeom>
                          <a:noFill/>
                          <a:ln>
                            <a:noFill/>
                          </a:ln>
                        </pic:spPr>
                      </pic:pic>
                    </a:graphicData>
                  </a:graphic>
                </wp:inline>
              </w:drawing>
            </w:r>
          </w:p>
          <w:p w14:paraId="2CD359F3">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5282ADAB">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——中心位置位于透声面积（S）处的等效声源的倍频带声功率级，dB；</w:t>
            </w:r>
          </w:p>
          <w:p w14:paraId="33AD152A">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p2</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——靠近围护结构处室外声源的声压级，dB；</w:t>
            </w:r>
          </w:p>
          <w:p w14:paraId="3D2D1470">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S——透声面积，m</w:t>
            </w:r>
            <w:r>
              <w:rPr>
                <w:rFonts w:hint="default" w:ascii="Times New Roman" w:hAnsi="Times New Roman" w:eastAsia="宋体" w:cs="Times New Roman"/>
                <w:color w:val="auto"/>
                <w:spacing w:val="0"/>
                <w:position w:val="0"/>
                <w:sz w:val="24"/>
                <w:szCs w:val="24"/>
                <w:highlight w:val="none"/>
                <w:u w:val="none" w:color="auto"/>
                <w:vertAlign w:val="superscript"/>
              </w:rPr>
              <w:t>2</w:t>
            </w:r>
            <w:r>
              <w:rPr>
                <w:rFonts w:hint="default" w:ascii="Times New Roman" w:hAnsi="Times New Roman" w:eastAsia="宋体" w:cs="Times New Roman"/>
                <w:color w:val="auto"/>
                <w:spacing w:val="0"/>
                <w:position w:val="0"/>
                <w:sz w:val="24"/>
                <w:szCs w:val="24"/>
                <w:highlight w:val="none"/>
                <w:u w:val="none" w:color="auto"/>
              </w:rPr>
              <w:t>。</w:t>
            </w:r>
          </w:p>
          <w:p w14:paraId="181330F6">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然后按室外声源预测方法计算预测点处的A声级。</w:t>
            </w:r>
          </w:p>
          <w:p w14:paraId="10FC6483">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②室外的点声源在预测点产生的声级计算基本公式（5.2-6）：</w:t>
            </w:r>
          </w:p>
          <w:p w14:paraId="2D8E9840">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户外声传播衰减包括几何发散（A</w:t>
            </w:r>
            <w:r>
              <w:rPr>
                <w:rFonts w:hint="default" w:ascii="Times New Roman" w:hAnsi="Times New Roman" w:eastAsia="宋体" w:cs="Times New Roman"/>
                <w:color w:val="auto"/>
                <w:spacing w:val="0"/>
                <w:position w:val="0"/>
                <w:sz w:val="24"/>
                <w:szCs w:val="24"/>
                <w:highlight w:val="none"/>
                <w:u w:val="none" w:color="auto"/>
                <w:vertAlign w:val="subscript"/>
              </w:rPr>
              <w:t>dv</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、大气吸收（A</w:t>
            </w:r>
            <w:r>
              <w:rPr>
                <w:rFonts w:hint="default" w:ascii="Times New Roman" w:hAnsi="Times New Roman" w:eastAsia="宋体" w:cs="Times New Roman"/>
                <w:color w:val="auto"/>
                <w:spacing w:val="0"/>
                <w:position w:val="0"/>
                <w:sz w:val="24"/>
                <w:szCs w:val="24"/>
                <w:highlight w:val="none"/>
                <w:u w:val="none" w:color="auto"/>
                <w:vertAlign w:val="subscript"/>
              </w:rPr>
              <w:t>am</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、地面效应（A</w:t>
            </w:r>
            <w:r>
              <w:rPr>
                <w:rFonts w:hint="default" w:ascii="Times New Roman" w:hAnsi="Times New Roman" w:eastAsia="宋体" w:cs="Times New Roman"/>
                <w:color w:val="auto"/>
                <w:spacing w:val="0"/>
                <w:position w:val="0"/>
                <w:sz w:val="24"/>
                <w:szCs w:val="24"/>
                <w:highlight w:val="none"/>
                <w:u w:val="none" w:color="auto"/>
                <w:vertAlign w:val="subscript"/>
              </w:rPr>
              <w:t>g</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、障碍物屏蔽（A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、其他多方面效应（A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）引起的衰减。</w:t>
            </w:r>
          </w:p>
          <w:p w14:paraId="1B4AC602">
            <w:pPr>
              <w:pStyle w:val="48"/>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4556760" cy="541020"/>
                  <wp:effectExtent l="0" t="0" r="15240" b="1143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4"/>
                          <a:stretch>
                            <a:fillRect/>
                          </a:stretch>
                        </pic:blipFill>
                        <pic:spPr>
                          <a:xfrm>
                            <a:off x="0" y="0"/>
                            <a:ext cx="4556760" cy="541020"/>
                          </a:xfrm>
                          <a:prstGeom prst="rect">
                            <a:avLst/>
                          </a:prstGeom>
                          <a:noFill/>
                          <a:ln>
                            <a:noFill/>
                          </a:ln>
                        </pic:spPr>
                      </pic:pic>
                    </a:graphicData>
                  </a:graphic>
                </wp:inline>
              </w:drawing>
            </w:r>
          </w:p>
          <w:p w14:paraId="44681F9B">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2E804D8E">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w:t>
            </w:r>
            <w:r>
              <w:rPr>
                <w:rFonts w:hint="default" w:ascii="Times New Roman" w:hAnsi="Times New Roman" w:eastAsia="宋体" w:cs="Times New Roman"/>
                <w:color w:val="auto"/>
                <w:spacing w:val="0"/>
                <w:position w:val="0"/>
                <w:sz w:val="24"/>
                <w:szCs w:val="24"/>
                <w:highlight w:val="none"/>
                <w:u w:val="none" w:color="auto"/>
              </w:rPr>
              <w:t>（r）——预测点处声压级，dB；</w:t>
            </w:r>
          </w:p>
          <w:p w14:paraId="36C5693C">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——由点声源产生的声功率级（A计权或倍频带），dB；</w:t>
            </w:r>
          </w:p>
          <w:p w14:paraId="6B5B5715">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D</w:t>
            </w:r>
            <w:r>
              <w:rPr>
                <w:rFonts w:hint="default" w:ascii="Times New Roman" w:hAnsi="Times New Roman" w:eastAsia="宋体" w:cs="Times New Roman"/>
                <w:color w:val="auto"/>
                <w:spacing w:val="0"/>
                <w:position w:val="0"/>
                <w:sz w:val="24"/>
                <w:szCs w:val="24"/>
                <w:highlight w:val="none"/>
                <w:u w:val="none" w:color="auto"/>
                <w:vertAlign w:val="subscript"/>
              </w:rPr>
              <w:t>c</w:t>
            </w:r>
            <w:r>
              <w:rPr>
                <w:rFonts w:hint="default" w:ascii="Times New Roman" w:hAnsi="Times New Roman" w:eastAsia="宋体" w:cs="Times New Roman"/>
                <w:color w:val="auto"/>
                <w:spacing w:val="0"/>
                <w:position w:val="0"/>
                <w:sz w:val="24"/>
                <w:szCs w:val="24"/>
                <w:highlight w:val="none"/>
                <w:u w:val="none" w:color="auto"/>
              </w:rPr>
              <w:t>——指向性校正，它描述点声源的等效连续声压级与产生声功率级Lw的全向点声源在规定方向的声级的偏差程度，dB；</w:t>
            </w:r>
          </w:p>
          <w:p w14:paraId="00F6FA50">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div</w:t>
            </w:r>
            <w:r>
              <w:rPr>
                <w:rFonts w:hint="default" w:ascii="Times New Roman" w:hAnsi="Times New Roman" w:eastAsia="宋体" w:cs="Times New Roman"/>
                <w:color w:val="auto"/>
                <w:spacing w:val="0"/>
                <w:position w:val="0"/>
                <w:sz w:val="24"/>
                <w:szCs w:val="24"/>
                <w:highlight w:val="none"/>
                <w:u w:val="none" w:color="auto"/>
              </w:rPr>
              <w:t>——几何发散引起的衰减，dB；</w:t>
            </w:r>
          </w:p>
          <w:p w14:paraId="2891A130">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atm</w:t>
            </w:r>
            <w:r>
              <w:rPr>
                <w:rFonts w:hint="default" w:ascii="Times New Roman" w:hAnsi="Times New Roman" w:eastAsia="宋体" w:cs="Times New Roman"/>
                <w:color w:val="auto"/>
                <w:spacing w:val="0"/>
                <w:position w:val="0"/>
                <w:sz w:val="24"/>
                <w:szCs w:val="24"/>
                <w:highlight w:val="none"/>
                <w:u w:val="none" w:color="auto"/>
              </w:rPr>
              <w:t>——大气吸收引起的衰减，dB；</w:t>
            </w:r>
          </w:p>
          <w:p w14:paraId="308E1993">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gr</w:t>
            </w:r>
            <w:r>
              <w:rPr>
                <w:rFonts w:hint="default" w:ascii="Times New Roman" w:hAnsi="Times New Roman" w:eastAsia="宋体" w:cs="Times New Roman"/>
                <w:color w:val="auto"/>
                <w:spacing w:val="0"/>
                <w:position w:val="0"/>
                <w:sz w:val="24"/>
                <w:szCs w:val="24"/>
                <w:highlight w:val="none"/>
                <w:u w:val="none" w:color="auto"/>
              </w:rPr>
              <w:t>——地面效应引起的衰减，dB；</w:t>
            </w:r>
          </w:p>
          <w:p w14:paraId="4039CC8E">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eastAsia="宋体" w:cs="Times New Roman"/>
                <w:color w:val="auto"/>
                <w:spacing w:val="0"/>
                <w:position w:val="0"/>
                <w:sz w:val="24"/>
                <w:szCs w:val="24"/>
                <w:highlight w:val="none"/>
                <w:u w:val="none" w:color="auto"/>
              </w:rPr>
              <w:t>——障碍物屏蔽引起的衰减，dB；</w:t>
            </w:r>
          </w:p>
          <w:p w14:paraId="668AFC2C">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——其他多方面效应引起的衰减，dB。</w:t>
            </w:r>
          </w:p>
          <w:p w14:paraId="4C598F69">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根据上述公式，对主要生产设备噪声值进行叠加计算，预测项目实施后对项目厂房边界声环境的影响。</w:t>
            </w:r>
          </w:p>
          <w:p w14:paraId="2B1EF9E8">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预测参数确定：</w:t>
            </w:r>
          </w:p>
          <w:p w14:paraId="0AB43D5C">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①几何发散衰减量A</w:t>
            </w:r>
            <w:r>
              <w:rPr>
                <w:rFonts w:hint="default" w:ascii="Times New Roman" w:hAnsi="Times New Roman" w:eastAsia="宋体" w:cs="Times New Roman"/>
                <w:color w:val="auto"/>
                <w:spacing w:val="0"/>
                <w:position w:val="0"/>
                <w:sz w:val="24"/>
                <w:szCs w:val="24"/>
                <w:highlight w:val="none"/>
                <w:u w:val="none" w:color="auto"/>
                <w:vertAlign w:val="subscript"/>
              </w:rPr>
              <w:t>div</w:t>
            </w:r>
            <w:r>
              <w:rPr>
                <w:rFonts w:hint="default" w:ascii="Times New Roman" w:hAnsi="Times New Roman" w:eastAsia="宋体" w:cs="Times New Roman"/>
                <w:color w:val="auto"/>
                <w:spacing w:val="0"/>
                <w:position w:val="0"/>
                <w:sz w:val="24"/>
                <w:szCs w:val="24"/>
                <w:highlight w:val="none"/>
                <w:u w:val="none" w:color="auto"/>
              </w:rPr>
              <w:t>：</w:t>
            </w:r>
          </w:p>
          <w:p w14:paraId="0C108523">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选用半自由声场无指向性点声源几何发散衰减基本模式计算：</w:t>
            </w:r>
          </w:p>
          <w:p w14:paraId="362BE4C3">
            <w:pPr>
              <w:pStyle w:val="48"/>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834640" cy="457200"/>
                  <wp:effectExtent l="0" t="0" r="381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5"/>
                          <a:stretch>
                            <a:fillRect/>
                          </a:stretch>
                        </pic:blipFill>
                        <pic:spPr>
                          <a:xfrm>
                            <a:off x="0" y="0"/>
                            <a:ext cx="2834640" cy="457200"/>
                          </a:xfrm>
                          <a:prstGeom prst="rect">
                            <a:avLst/>
                          </a:prstGeom>
                          <a:noFill/>
                          <a:ln>
                            <a:noFill/>
                          </a:ln>
                        </pic:spPr>
                      </pic:pic>
                    </a:graphicData>
                  </a:graphic>
                </wp:inline>
              </w:drawing>
            </w:r>
          </w:p>
          <w:p w14:paraId="526FECF3">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②遮挡物衰减量A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eastAsia="宋体" w:cs="Times New Roman"/>
                <w:color w:val="auto"/>
                <w:spacing w:val="0"/>
                <w:position w:val="0"/>
                <w:sz w:val="24"/>
                <w:szCs w:val="24"/>
                <w:highlight w:val="none"/>
                <w:u w:val="none" w:color="auto"/>
              </w:rPr>
              <w:t>：</w:t>
            </w:r>
          </w:p>
          <w:p w14:paraId="25FE12DB">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噪声源辐射的噪声由室内传播至室外遇到围墙或建筑物等障碍物时引起的能量衰减。对于安装在厂房内的设备，预测时主要考虑厂房墙壁等围栏结构产生的衰减，其最大衰减量可达20dB。</w:t>
            </w:r>
          </w:p>
          <w:p w14:paraId="0EF6F781">
            <w:pPr>
              <w:pStyle w:val="48"/>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③空气吸收衰减量A</w:t>
            </w:r>
            <w:r>
              <w:rPr>
                <w:rFonts w:hint="default" w:ascii="Times New Roman" w:hAnsi="Times New Roman" w:eastAsia="宋体" w:cs="Times New Roman"/>
                <w:color w:val="auto"/>
                <w:spacing w:val="0"/>
                <w:position w:val="0"/>
                <w:sz w:val="24"/>
                <w:szCs w:val="24"/>
                <w:highlight w:val="none"/>
                <w:u w:val="none" w:color="auto"/>
                <w:vertAlign w:val="subscript"/>
              </w:rPr>
              <w:t>atm</w:t>
            </w:r>
            <w:r>
              <w:rPr>
                <w:rFonts w:hint="default" w:ascii="Times New Roman" w:hAnsi="Times New Roman" w:eastAsia="宋体" w:cs="Times New Roman"/>
                <w:color w:val="auto"/>
                <w:spacing w:val="0"/>
                <w:position w:val="0"/>
                <w:sz w:val="24"/>
                <w:szCs w:val="24"/>
                <w:highlight w:val="none"/>
                <w:u w:val="none" w:color="auto"/>
              </w:rPr>
              <w:t>：</w:t>
            </w:r>
          </w:p>
          <w:p w14:paraId="7096E4C6">
            <w:pPr>
              <w:pStyle w:val="48"/>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514600" cy="640080"/>
                  <wp:effectExtent l="0" t="0" r="0" b="762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6"/>
                          <a:stretch>
                            <a:fillRect/>
                          </a:stretch>
                        </pic:blipFill>
                        <pic:spPr>
                          <a:xfrm>
                            <a:off x="0" y="0"/>
                            <a:ext cx="2514600" cy="640080"/>
                          </a:xfrm>
                          <a:prstGeom prst="rect">
                            <a:avLst/>
                          </a:prstGeom>
                          <a:noFill/>
                          <a:ln>
                            <a:noFill/>
                          </a:ln>
                        </pic:spPr>
                      </pic:pic>
                    </a:graphicData>
                  </a:graphic>
                </wp:inline>
              </w:drawing>
            </w:r>
          </w:p>
          <w:p w14:paraId="5C7E59E1">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289E544B">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α——与温度、湿度和声波频率有关的大气吸收衰减系数，预测计算中一般根据建设项目所处区域常年平均气温和湿度</w:t>
            </w:r>
            <w:r>
              <w:rPr>
                <w:rFonts w:hint="default" w:ascii="Times New Roman" w:hAnsi="Times New Roman" w:cs="Times New Roman"/>
                <w:color w:val="auto"/>
                <w:spacing w:val="0"/>
                <w:position w:val="0"/>
                <w:sz w:val="24"/>
                <w:szCs w:val="24"/>
                <w:highlight w:val="none"/>
                <w:u w:val="none" w:color="auto"/>
                <w:lang w:eastAsia="zh-CN"/>
              </w:rPr>
              <w:t>选择</w:t>
            </w:r>
            <w:r>
              <w:rPr>
                <w:rFonts w:hint="default" w:ascii="Times New Roman" w:hAnsi="Times New Roman" w:eastAsia="宋体" w:cs="Times New Roman"/>
                <w:color w:val="auto"/>
                <w:spacing w:val="0"/>
                <w:position w:val="0"/>
                <w:sz w:val="24"/>
                <w:szCs w:val="24"/>
                <w:highlight w:val="none"/>
                <w:u w:val="none" w:color="auto"/>
              </w:rPr>
              <w:t>相应的大气吸收衰减系数。</w:t>
            </w:r>
          </w:p>
          <w:p w14:paraId="361E21DE">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空气吸收衰减量与几何发散衰减量相比很小，本次预测计算中忽略空气吸收衰减量。</w:t>
            </w:r>
          </w:p>
          <w:p w14:paraId="30D0056A">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④地面衰减量A</w:t>
            </w:r>
            <w:r>
              <w:rPr>
                <w:rFonts w:hint="default" w:ascii="Times New Roman" w:hAnsi="Times New Roman" w:eastAsia="宋体" w:cs="Times New Roman"/>
                <w:color w:val="auto"/>
                <w:spacing w:val="0"/>
                <w:position w:val="0"/>
                <w:sz w:val="24"/>
                <w:szCs w:val="24"/>
                <w:highlight w:val="none"/>
                <w:u w:val="none" w:color="auto"/>
                <w:vertAlign w:val="subscript"/>
              </w:rPr>
              <w:t>gr</w:t>
            </w:r>
            <w:r>
              <w:rPr>
                <w:rFonts w:hint="default" w:ascii="Times New Roman" w:hAnsi="Times New Roman" w:eastAsia="宋体" w:cs="Times New Roman"/>
                <w:color w:val="auto"/>
                <w:spacing w:val="0"/>
                <w:position w:val="0"/>
                <w:sz w:val="24"/>
                <w:szCs w:val="24"/>
                <w:highlight w:val="none"/>
                <w:u w:val="none" w:color="auto"/>
              </w:rPr>
              <w:t>：本次评价忽略。</w:t>
            </w:r>
          </w:p>
          <w:p w14:paraId="6AAAD6F1">
            <w:pPr>
              <w:pStyle w:val="48"/>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⑤</w:t>
            </w:r>
            <w:r>
              <w:rPr>
                <w:rFonts w:hint="eastAsia" w:ascii="Times New Roman" w:hAnsi="Times New Roman" w:cs="Times New Roman"/>
                <w:color w:val="auto"/>
                <w:spacing w:val="0"/>
                <w:position w:val="0"/>
                <w:sz w:val="24"/>
                <w:szCs w:val="24"/>
                <w:highlight w:val="none"/>
                <w:u w:val="none" w:color="auto"/>
                <w:lang w:eastAsia="zh-CN"/>
              </w:rPr>
              <w:t>其他</w:t>
            </w:r>
            <w:r>
              <w:rPr>
                <w:rFonts w:hint="default" w:ascii="Times New Roman" w:hAnsi="Times New Roman" w:eastAsia="宋体" w:cs="Times New Roman"/>
                <w:color w:val="auto"/>
                <w:spacing w:val="0"/>
                <w:position w:val="0"/>
                <w:sz w:val="24"/>
                <w:szCs w:val="24"/>
                <w:highlight w:val="none"/>
                <w:u w:val="none" w:color="auto"/>
              </w:rPr>
              <w:t>方面衰减量A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：本次评价忽略。</w:t>
            </w:r>
          </w:p>
          <w:p w14:paraId="5E73B07D">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zh-CN"/>
              </w:rPr>
            </w:pPr>
            <w:r>
              <w:rPr>
                <w:rFonts w:hint="default"/>
                <w:color w:val="auto"/>
                <w:highlight w:val="none"/>
                <w:u w:val="none" w:color="auto"/>
              </w:rPr>
              <w:t>噪声源强、位置一览表</w:t>
            </w:r>
            <w:r>
              <w:rPr>
                <w:rFonts w:hint="eastAsia"/>
                <w:color w:val="auto"/>
                <w:highlight w:val="none"/>
                <w:u w:val="none" w:color="auto"/>
                <w:lang w:val="en-US" w:eastAsia="zh-CN"/>
              </w:rPr>
              <w:t>和</w:t>
            </w:r>
            <w:r>
              <w:rPr>
                <w:rFonts w:hint="default"/>
                <w:color w:val="auto"/>
                <w:highlight w:val="none"/>
                <w:u w:val="none" w:color="auto"/>
              </w:rPr>
              <w:t>工程建成后的厂界噪声值预测</w:t>
            </w:r>
            <w:r>
              <w:rPr>
                <w:rFonts w:hint="default"/>
                <w:color w:val="auto"/>
                <w:highlight w:val="none"/>
                <w:u w:val="none" w:color="auto"/>
                <w:lang w:eastAsia="zh-CN"/>
              </w:rPr>
              <w:t>见下表</w:t>
            </w:r>
            <w:r>
              <w:rPr>
                <w:rFonts w:hint="default"/>
                <w:color w:val="auto"/>
                <w:highlight w:val="none"/>
                <w:u w:val="none" w:color="auto"/>
                <w:lang w:val="en-US" w:eastAsia="zh-CN"/>
              </w:rPr>
              <w:t>。</w:t>
            </w:r>
          </w:p>
          <w:p w14:paraId="60204020">
            <w:pPr>
              <w:keepNext w:val="0"/>
              <w:keepLines w:val="0"/>
              <w:pageBreakBefore w:val="0"/>
              <w:widowControl/>
              <w:kinsoku/>
              <w:wordWrap w:val="0"/>
              <w:overflowPunct/>
              <w:topLinePunct/>
              <w:autoSpaceDE/>
              <w:autoSpaceDN/>
              <w:bidi w:val="0"/>
              <w:adjustRightInd/>
              <w:snapToGrid/>
              <w:spacing w:line="240" w:lineRule="auto"/>
              <w:ind w:firstLine="0" w:firstLineChars="0"/>
              <w:jc w:val="center"/>
              <w:rPr>
                <w:rFonts w:ascii="Times New Roman" w:hAnsi="Times New Roman" w:eastAsia="宋体" w:cs="Times New Roman"/>
                <w:b/>
                <w:color w:val="auto"/>
                <w:kern w:val="2"/>
                <w:sz w:val="21"/>
                <w:szCs w:val="21"/>
                <w:highlight w:val="none"/>
                <w:u w:val="none" w:color="auto"/>
                <w:lang w:val="en-US" w:eastAsia="zh-CN" w:bidi="ar-SA"/>
              </w:rPr>
            </w:pPr>
            <w:r>
              <w:rPr>
                <w:rFonts w:ascii="Times New Roman" w:hAnsi="Times New Roman" w:eastAsia="宋体" w:cs="Times New Roman"/>
                <w:b/>
                <w:color w:val="auto"/>
                <w:kern w:val="2"/>
                <w:sz w:val="21"/>
                <w:szCs w:val="21"/>
                <w:highlight w:val="none"/>
                <w:u w:val="none" w:color="auto"/>
                <w:lang w:val="en-US" w:eastAsia="zh-CN" w:bidi="ar-SA"/>
              </w:rPr>
              <w:t>表4-</w:t>
            </w:r>
            <w:r>
              <w:rPr>
                <w:rFonts w:hint="eastAsia" w:cs="Times New Roman"/>
                <w:b/>
                <w:color w:val="auto"/>
                <w:kern w:val="2"/>
                <w:sz w:val="21"/>
                <w:szCs w:val="21"/>
                <w:highlight w:val="none"/>
                <w:u w:val="none" w:color="auto"/>
                <w:lang w:val="en-US" w:eastAsia="zh-CN" w:bidi="ar-SA"/>
              </w:rPr>
              <w:t xml:space="preserve">15   </w:t>
            </w:r>
            <w:r>
              <w:rPr>
                <w:rFonts w:ascii="Times New Roman" w:hAnsi="Times New Roman" w:eastAsia="宋体" w:cs="Times New Roman"/>
                <w:b/>
                <w:color w:val="auto"/>
                <w:kern w:val="2"/>
                <w:sz w:val="21"/>
                <w:szCs w:val="21"/>
                <w:highlight w:val="none"/>
                <w:u w:val="none" w:color="auto"/>
                <w:lang w:val="en-US" w:eastAsia="zh-CN" w:bidi="ar-SA"/>
              </w:rPr>
              <w:t>厂界噪声预测结果与达标分析表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106"/>
              <w:gridCol w:w="787"/>
              <w:gridCol w:w="548"/>
              <w:gridCol w:w="601"/>
              <w:gridCol w:w="572"/>
              <w:gridCol w:w="1622"/>
              <w:gridCol w:w="1622"/>
              <w:gridCol w:w="1107"/>
            </w:tblGrid>
            <w:tr w14:paraId="3F4433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vMerge w:val="restart"/>
                  <w:noWrap/>
                  <w:vAlign w:val="center"/>
                </w:tcPr>
                <w:p w14:paraId="03B8F2C3">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预测位置</w:t>
                  </w:r>
                </w:p>
              </w:tc>
              <w:tc>
                <w:tcPr>
                  <w:tcW w:w="1215" w:type="pct"/>
                  <w:gridSpan w:val="3"/>
                  <w:noWrap/>
                  <w:vAlign w:val="center"/>
                </w:tcPr>
                <w:p w14:paraId="4E17F762">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空间相对位置/m</w:t>
                  </w:r>
                </w:p>
              </w:tc>
              <w:tc>
                <w:tcPr>
                  <w:tcW w:w="359" w:type="pct"/>
                  <w:vMerge w:val="restart"/>
                  <w:noWrap/>
                  <w:vAlign w:val="center"/>
                </w:tcPr>
                <w:p w14:paraId="101EF7B4">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时段</w:t>
                  </w:r>
                </w:p>
              </w:tc>
              <w:tc>
                <w:tcPr>
                  <w:tcW w:w="1018" w:type="pct"/>
                  <w:vMerge w:val="restart"/>
                  <w:noWrap/>
                  <w:vAlign w:val="center"/>
                </w:tcPr>
                <w:p w14:paraId="216A3DA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贡献值</w:t>
                  </w:r>
                </w:p>
                <w:p w14:paraId="126E9D5F">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（dB（A））</w:t>
                  </w:r>
                </w:p>
              </w:tc>
              <w:tc>
                <w:tcPr>
                  <w:tcW w:w="1018" w:type="pct"/>
                  <w:vMerge w:val="restart"/>
                  <w:noWrap/>
                  <w:vAlign w:val="center"/>
                </w:tcPr>
                <w:p w14:paraId="0A1D11EF">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标准限值</w:t>
                  </w:r>
                </w:p>
                <w:p w14:paraId="6A702F1D">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（dB（A））</w:t>
                  </w:r>
                </w:p>
              </w:tc>
              <w:tc>
                <w:tcPr>
                  <w:tcW w:w="694" w:type="pct"/>
                  <w:vMerge w:val="restart"/>
                  <w:noWrap/>
                  <w:vAlign w:val="center"/>
                </w:tcPr>
                <w:p w14:paraId="712C0AA5">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达标情况</w:t>
                  </w:r>
                </w:p>
              </w:tc>
            </w:tr>
            <w:tr w14:paraId="7249F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vMerge w:val="continue"/>
                  <w:noWrap/>
                  <w:vAlign w:val="center"/>
                </w:tcPr>
                <w:p w14:paraId="590E71C5">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494" w:type="pct"/>
                  <w:noWrap/>
                  <w:vAlign w:val="center"/>
                </w:tcPr>
                <w:p w14:paraId="1D63DF69">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X</w:t>
                  </w:r>
                </w:p>
              </w:tc>
              <w:tc>
                <w:tcPr>
                  <w:tcW w:w="344" w:type="pct"/>
                  <w:noWrap/>
                  <w:vAlign w:val="center"/>
                </w:tcPr>
                <w:p w14:paraId="63C7E7F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Y</w:t>
                  </w:r>
                </w:p>
              </w:tc>
              <w:tc>
                <w:tcPr>
                  <w:tcW w:w="377" w:type="pct"/>
                  <w:noWrap/>
                  <w:vAlign w:val="center"/>
                </w:tcPr>
                <w:p w14:paraId="702EFEF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Z</w:t>
                  </w:r>
                </w:p>
              </w:tc>
              <w:tc>
                <w:tcPr>
                  <w:tcW w:w="359" w:type="pct"/>
                  <w:vMerge w:val="continue"/>
                  <w:noWrap/>
                  <w:vAlign w:val="center"/>
                </w:tcPr>
                <w:p w14:paraId="0E6AFDC9">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1018" w:type="pct"/>
                  <w:vMerge w:val="continue"/>
                  <w:noWrap/>
                  <w:vAlign w:val="center"/>
                </w:tcPr>
                <w:p w14:paraId="147A61BD">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1018" w:type="pct"/>
                  <w:vMerge w:val="continue"/>
                  <w:noWrap/>
                  <w:vAlign w:val="center"/>
                </w:tcPr>
                <w:p w14:paraId="1C4EBD6A">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vMerge w:val="continue"/>
                  <w:noWrap/>
                  <w:vAlign w:val="center"/>
                </w:tcPr>
                <w:p w14:paraId="210DB043">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r>
            <w:tr w14:paraId="38EC98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6" w:hRule="atLeast"/>
                <w:jc w:val="center"/>
              </w:trPr>
              <w:tc>
                <w:tcPr>
                  <w:tcW w:w="694" w:type="pct"/>
                  <w:noWrap/>
                  <w:vAlign w:val="center"/>
                </w:tcPr>
                <w:p w14:paraId="4F459C8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东厂界</w:t>
                  </w:r>
                </w:p>
              </w:tc>
              <w:tc>
                <w:tcPr>
                  <w:tcW w:w="494" w:type="pct"/>
                  <w:noWrap/>
                  <w:vAlign w:val="center"/>
                </w:tcPr>
                <w:p w14:paraId="304E5B8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30</w:t>
                  </w:r>
                </w:p>
              </w:tc>
              <w:tc>
                <w:tcPr>
                  <w:tcW w:w="344" w:type="pct"/>
                  <w:noWrap/>
                  <w:vAlign w:val="center"/>
                </w:tcPr>
                <w:p w14:paraId="290A4ED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20</w:t>
                  </w:r>
                </w:p>
              </w:tc>
              <w:tc>
                <w:tcPr>
                  <w:tcW w:w="377" w:type="pct"/>
                  <w:noWrap/>
                  <w:vAlign w:val="center"/>
                </w:tcPr>
                <w:p w14:paraId="7EB34C8C">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36F9A921">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w:t>
                  </w:r>
                </w:p>
              </w:tc>
              <w:tc>
                <w:tcPr>
                  <w:tcW w:w="1018" w:type="pct"/>
                  <w:noWrap/>
                  <w:vAlign w:val="center"/>
                </w:tcPr>
                <w:p w14:paraId="0123505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42.56</w:t>
                  </w:r>
                </w:p>
              </w:tc>
              <w:tc>
                <w:tcPr>
                  <w:tcW w:w="1018" w:type="pct"/>
                  <w:vMerge w:val="restart"/>
                  <w:noWrap/>
                  <w:vAlign w:val="center"/>
                </w:tcPr>
                <w:p w14:paraId="472E52F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昼6</w:t>
                  </w:r>
                  <w:r>
                    <w:rPr>
                      <w:rFonts w:hint="eastAsia" w:ascii="Times New Roman" w:hAnsi="Times New Roman" w:eastAsia="宋体" w:cs="Times New Roman"/>
                      <w:color w:val="auto"/>
                      <w:szCs w:val="21"/>
                      <w:highlight w:val="none"/>
                      <w:u w:val="none" w:color="auto"/>
                      <w:lang w:val="en-US" w:eastAsia="zh-CN"/>
                    </w:rPr>
                    <w:t>0</w:t>
                  </w:r>
                </w:p>
              </w:tc>
              <w:tc>
                <w:tcPr>
                  <w:tcW w:w="694" w:type="pct"/>
                  <w:noWrap/>
                  <w:vAlign w:val="center"/>
                </w:tcPr>
                <w:p w14:paraId="256DCBA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1F4C2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03D43611">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南厂界</w:t>
                  </w:r>
                </w:p>
              </w:tc>
              <w:tc>
                <w:tcPr>
                  <w:tcW w:w="494" w:type="pct"/>
                  <w:noWrap/>
                  <w:vAlign w:val="center"/>
                </w:tcPr>
                <w:p w14:paraId="00FDDDC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9</w:t>
                  </w:r>
                </w:p>
              </w:tc>
              <w:tc>
                <w:tcPr>
                  <w:tcW w:w="344" w:type="pct"/>
                  <w:noWrap/>
                  <w:vAlign w:val="center"/>
                </w:tcPr>
                <w:p w14:paraId="1901BFF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w:t>
                  </w:r>
                  <w:r>
                    <w:rPr>
                      <w:rFonts w:hint="eastAsia" w:cs="Times New Roman"/>
                      <w:color w:val="auto"/>
                      <w:szCs w:val="21"/>
                      <w:highlight w:val="none"/>
                      <w:u w:val="none" w:color="auto"/>
                      <w:lang w:val="en-US" w:eastAsia="zh-CN"/>
                    </w:rPr>
                    <w:t>20</w:t>
                  </w:r>
                </w:p>
              </w:tc>
              <w:tc>
                <w:tcPr>
                  <w:tcW w:w="377" w:type="pct"/>
                  <w:noWrap/>
                  <w:vAlign w:val="center"/>
                </w:tcPr>
                <w:p w14:paraId="1B6F496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1.2</w:t>
                  </w:r>
                </w:p>
              </w:tc>
              <w:tc>
                <w:tcPr>
                  <w:tcW w:w="359" w:type="pct"/>
                  <w:noWrap/>
                  <w:vAlign w:val="center"/>
                </w:tcPr>
                <w:p w14:paraId="6F52EEF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w:t>
                  </w:r>
                </w:p>
              </w:tc>
              <w:tc>
                <w:tcPr>
                  <w:tcW w:w="1018" w:type="pct"/>
                  <w:noWrap/>
                  <w:vAlign w:val="center"/>
                </w:tcPr>
                <w:p w14:paraId="39ECB25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41.35</w:t>
                  </w:r>
                </w:p>
              </w:tc>
              <w:tc>
                <w:tcPr>
                  <w:tcW w:w="1018" w:type="pct"/>
                  <w:vMerge w:val="continue"/>
                  <w:noWrap/>
                  <w:vAlign w:val="center"/>
                </w:tcPr>
                <w:p w14:paraId="7CC4216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6121A22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6226AF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672D048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西厂界</w:t>
                  </w:r>
                </w:p>
              </w:tc>
              <w:tc>
                <w:tcPr>
                  <w:tcW w:w="494" w:type="pct"/>
                  <w:noWrap/>
                  <w:vAlign w:val="center"/>
                </w:tcPr>
                <w:p w14:paraId="64290B4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0</w:t>
                  </w:r>
                </w:p>
              </w:tc>
              <w:tc>
                <w:tcPr>
                  <w:tcW w:w="344" w:type="pct"/>
                  <w:noWrap/>
                  <w:vAlign w:val="center"/>
                </w:tcPr>
                <w:p w14:paraId="6DA7CEF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-22</w:t>
                  </w:r>
                </w:p>
              </w:tc>
              <w:tc>
                <w:tcPr>
                  <w:tcW w:w="377" w:type="pct"/>
                  <w:noWrap/>
                  <w:vAlign w:val="center"/>
                </w:tcPr>
                <w:p w14:paraId="7DF53D18">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37054DB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昼</w:t>
                  </w:r>
                </w:p>
              </w:tc>
              <w:tc>
                <w:tcPr>
                  <w:tcW w:w="1018" w:type="pct"/>
                  <w:noWrap/>
                  <w:vAlign w:val="center"/>
                </w:tcPr>
                <w:p w14:paraId="2D2984B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40.24</w:t>
                  </w:r>
                </w:p>
              </w:tc>
              <w:tc>
                <w:tcPr>
                  <w:tcW w:w="1018" w:type="pct"/>
                  <w:vMerge w:val="continue"/>
                  <w:noWrap/>
                  <w:vAlign w:val="center"/>
                </w:tcPr>
                <w:p w14:paraId="24E6CFB8">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71D3E487">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6AA46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33651C7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北厂界</w:t>
                  </w:r>
                </w:p>
              </w:tc>
              <w:tc>
                <w:tcPr>
                  <w:tcW w:w="494" w:type="pct"/>
                  <w:noWrap/>
                  <w:vAlign w:val="center"/>
                </w:tcPr>
                <w:p w14:paraId="5460290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27</w:t>
                  </w:r>
                </w:p>
              </w:tc>
              <w:tc>
                <w:tcPr>
                  <w:tcW w:w="344" w:type="pct"/>
                  <w:noWrap/>
                  <w:vAlign w:val="center"/>
                </w:tcPr>
                <w:p w14:paraId="6452D47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30</w:t>
                  </w:r>
                </w:p>
              </w:tc>
              <w:tc>
                <w:tcPr>
                  <w:tcW w:w="377" w:type="pct"/>
                  <w:noWrap/>
                  <w:vAlign w:val="center"/>
                </w:tcPr>
                <w:p w14:paraId="72938FD4">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5BE70D5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昼</w:t>
                  </w:r>
                </w:p>
              </w:tc>
              <w:tc>
                <w:tcPr>
                  <w:tcW w:w="1018" w:type="pct"/>
                  <w:noWrap/>
                  <w:vAlign w:val="center"/>
                </w:tcPr>
                <w:p w14:paraId="29BD55B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rPr>
                    <w:t>43.41</w:t>
                  </w:r>
                </w:p>
              </w:tc>
              <w:tc>
                <w:tcPr>
                  <w:tcW w:w="1018" w:type="pct"/>
                  <w:vMerge w:val="continue"/>
                  <w:noWrap/>
                  <w:vAlign w:val="center"/>
                </w:tcPr>
                <w:p w14:paraId="3604275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34E7002D">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bl>
          <w:p w14:paraId="7F1D4E00">
            <w:pPr>
              <w:pStyle w:val="25"/>
              <w:bidi w:val="0"/>
              <w:rPr>
                <w:rFonts w:hint="default"/>
                <w:highlight w:val="none"/>
                <w:u w:val="none" w:color="auto"/>
              </w:rPr>
            </w:pPr>
            <w:r>
              <w:rPr>
                <w:rFonts w:hint="default"/>
                <w:highlight w:val="none"/>
                <w:u w:val="none" w:color="auto"/>
              </w:rPr>
              <w:t>根据上表，各声源在采取相应的隔声、减振等措施后，厂界噪声昼间</w:t>
            </w:r>
            <w:r>
              <w:rPr>
                <w:rFonts w:hint="default"/>
                <w:highlight w:val="none"/>
                <w:u w:val="none" w:color="auto"/>
                <w:lang w:eastAsia="zh-CN"/>
              </w:rPr>
              <w:t>、</w:t>
            </w:r>
            <w:r>
              <w:rPr>
                <w:rFonts w:hint="default"/>
                <w:highlight w:val="none"/>
                <w:u w:val="none" w:color="auto"/>
              </w:rPr>
              <w:t>夜间</w:t>
            </w:r>
            <w:r>
              <w:rPr>
                <w:rFonts w:hint="eastAsia"/>
                <w:highlight w:val="none"/>
                <w:u w:val="none" w:color="auto"/>
                <w:lang w:val="en-US" w:eastAsia="zh-CN"/>
              </w:rPr>
              <w:t>贡献值</w:t>
            </w:r>
            <w:r>
              <w:rPr>
                <w:rFonts w:hint="default"/>
                <w:highlight w:val="none"/>
                <w:u w:val="none" w:color="auto"/>
              </w:rPr>
              <w:t>满足《工业企业厂界环境噪声排放标准》（GB12348-2008）中的</w:t>
            </w:r>
            <w:r>
              <w:rPr>
                <w:rFonts w:hint="eastAsia"/>
                <w:highlight w:val="none"/>
                <w:u w:val="none" w:color="auto"/>
                <w:lang w:val="en-US" w:eastAsia="zh-CN"/>
              </w:rPr>
              <w:t>2</w:t>
            </w:r>
            <w:r>
              <w:rPr>
                <w:rFonts w:hint="default"/>
                <w:highlight w:val="none"/>
                <w:u w:val="none" w:color="auto"/>
              </w:rPr>
              <w:t>类功能区标准要求。</w:t>
            </w:r>
          </w:p>
          <w:p w14:paraId="3AC2DA3F">
            <w:pPr>
              <w:pStyle w:val="25"/>
              <w:keepNext w:val="0"/>
              <w:keepLines w:val="0"/>
              <w:pageBreakBefore w:val="0"/>
              <w:widowControl/>
              <w:kinsoku/>
              <w:wordWrap w:val="0"/>
              <w:overflowPunct/>
              <w:topLinePunct/>
              <w:autoSpaceDE/>
              <w:autoSpaceDN/>
              <w:bidi w:val="0"/>
              <w:adjustRightInd/>
              <w:snapToGrid/>
              <w:ind w:firstLine="480" w:firstLineChars="200"/>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根据建设单位平面布局，主要产噪设备采取设备基础减振等减振降噪措施</w:t>
            </w:r>
            <w:r>
              <w:rPr>
                <w:rStyle w:val="35"/>
                <w:rFonts w:hint="default"/>
                <w:kern w:val="2"/>
                <w:highlight w:val="none"/>
                <w:u w:val="none" w:color="auto"/>
              </w:rPr>
              <w:t>，</w:t>
            </w:r>
            <w:r>
              <w:rPr>
                <w:rStyle w:val="35"/>
                <w:kern w:val="2"/>
                <w:highlight w:val="none"/>
                <w:u w:val="none" w:color="auto"/>
              </w:rPr>
              <w:t>同步配套隔声罩、消声器及减振系统</w:t>
            </w:r>
            <w:r>
              <w:rPr>
                <w:rStyle w:val="35"/>
                <w:rFonts w:hint="eastAsia"/>
                <w:kern w:val="2"/>
                <w:highlight w:val="none"/>
                <w:u w:val="none" w:color="auto"/>
                <w:lang w:eastAsia="zh-CN"/>
              </w:rPr>
              <w:t>，</w:t>
            </w:r>
            <w:r>
              <w:rPr>
                <w:rFonts w:hint="default" w:ascii="Times New Roman" w:hAnsi="Times New Roman" w:cs="Times New Roman"/>
                <w:color w:val="auto"/>
                <w:highlight w:val="none"/>
                <w:u w:val="none" w:color="auto"/>
              </w:rPr>
              <w:t>同时结合墙体隔声、距离衰减等可最大程度降低对外环境影响，在日常</w:t>
            </w:r>
            <w:r>
              <w:rPr>
                <w:rFonts w:hint="eastAsia" w:ascii="Times New Roman" w:hAnsi="Times New Roman" w:cs="Times New Roman"/>
                <w:color w:val="auto"/>
                <w:highlight w:val="none"/>
                <w:u w:val="none" w:color="auto"/>
                <w:lang w:eastAsia="zh-CN"/>
              </w:rPr>
              <w:t>运营</w:t>
            </w:r>
            <w:r>
              <w:rPr>
                <w:rFonts w:hint="default" w:ascii="Times New Roman" w:hAnsi="Times New Roman" w:cs="Times New Roman"/>
                <w:color w:val="auto"/>
                <w:highlight w:val="none"/>
                <w:u w:val="none" w:color="auto"/>
              </w:rPr>
              <w:t>过程中安排专人负责设备的日常保养，可确保设备处于良好的运转状态，避免因不正常运转导致产生的高噪声现象，因此在运营期间对周边声环境影响较小，在可接纳范围之内。</w:t>
            </w:r>
          </w:p>
          <w:p w14:paraId="28901951">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监测要求</w:t>
            </w:r>
          </w:p>
          <w:p w14:paraId="0FFFB1A4">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参照《排污单位自行监测技术指南总则》（HJ819-2017）中的相关要求，</w:t>
            </w:r>
          </w:p>
          <w:p w14:paraId="1C66D6B3">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提出监测要求，详见下表。</w:t>
            </w:r>
          </w:p>
          <w:p w14:paraId="67714EB8">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 xml:space="preserve">16   </w:t>
            </w:r>
            <w:r>
              <w:rPr>
                <w:rFonts w:hint="default" w:ascii="Times New Roman" w:hAnsi="Times New Roman" w:cs="Times New Roman"/>
                <w:b/>
                <w:bCs/>
                <w:color w:val="auto"/>
                <w:highlight w:val="none"/>
                <w:u w:val="none" w:color="auto"/>
              </w:rPr>
              <w:t>声环境监测计划一览表</w:t>
            </w:r>
          </w:p>
          <w:tbl>
            <w:tblPr>
              <w:tblStyle w:val="4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65"/>
              <w:gridCol w:w="2397"/>
              <w:gridCol w:w="1806"/>
              <w:gridCol w:w="1997"/>
            </w:tblGrid>
            <w:tr w14:paraId="4518A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08" w:type="pct"/>
                  <w:tcBorders>
                    <w:tl2br w:val="nil"/>
                    <w:tr2bl w:val="nil"/>
                  </w:tcBorders>
                  <w:vAlign w:val="bottom"/>
                </w:tcPr>
                <w:p w14:paraId="620CFF02">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监测内容</w:t>
                  </w:r>
                </w:p>
              </w:tc>
              <w:tc>
                <w:tcPr>
                  <w:tcW w:w="1504" w:type="pct"/>
                  <w:tcBorders>
                    <w:tl2br w:val="nil"/>
                    <w:tr2bl w:val="nil"/>
                  </w:tcBorders>
                  <w:vAlign w:val="bottom"/>
                </w:tcPr>
                <w:p w14:paraId="1FA45206">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监测项目</w:t>
                  </w:r>
                </w:p>
              </w:tc>
              <w:tc>
                <w:tcPr>
                  <w:tcW w:w="1133" w:type="pct"/>
                  <w:tcBorders>
                    <w:tl2br w:val="nil"/>
                    <w:tr2bl w:val="nil"/>
                  </w:tcBorders>
                  <w:vAlign w:val="bottom"/>
                </w:tcPr>
                <w:p w14:paraId="6AAB2BE9">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监测点位</w:t>
                  </w:r>
                </w:p>
              </w:tc>
              <w:tc>
                <w:tcPr>
                  <w:tcW w:w="1253" w:type="pct"/>
                  <w:tcBorders>
                    <w:tl2br w:val="nil"/>
                    <w:tr2bl w:val="nil"/>
                  </w:tcBorders>
                  <w:vAlign w:val="bottom"/>
                </w:tcPr>
                <w:p w14:paraId="2D7B5F62">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监测频次</w:t>
                  </w:r>
                </w:p>
              </w:tc>
            </w:tr>
            <w:tr w14:paraId="034D8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108" w:type="pct"/>
                  <w:tcBorders>
                    <w:tl2br w:val="nil"/>
                    <w:tr2bl w:val="nil"/>
                  </w:tcBorders>
                  <w:vAlign w:val="center"/>
                </w:tcPr>
                <w:p w14:paraId="5BE3235D">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5"/>
                      <w:sz w:val="21"/>
                      <w:szCs w:val="21"/>
                      <w:highlight w:val="none"/>
                      <w:u w:val="none" w:color="auto"/>
                    </w:rPr>
                    <w:t>厂界噪声</w:t>
                  </w:r>
                </w:p>
              </w:tc>
              <w:tc>
                <w:tcPr>
                  <w:tcW w:w="1504" w:type="pct"/>
                  <w:tcBorders>
                    <w:tl2br w:val="nil"/>
                    <w:tr2bl w:val="nil"/>
                  </w:tcBorders>
                  <w:vAlign w:val="center"/>
                </w:tcPr>
                <w:p w14:paraId="170383E6">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昼间等效</w:t>
                  </w:r>
                  <w:r>
                    <w:rPr>
                      <w:rFonts w:hint="default" w:ascii="Times New Roman" w:hAnsi="Times New Roman" w:eastAsia="Times New Roman" w:cs="Times New Roman"/>
                      <w:color w:val="auto"/>
                      <w:spacing w:val="7"/>
                      <w:sz w:val="21"/>
                      <w:szCs w:val="21"/>
                      <w:highlight w:val="none"/>
                      <w:u w:val="none" w:color="auto"/>
                    </w:rPr>
                    <w:t>A</w:t>
                  </w:r>
                  <w:r>
                    <w:rPr>
                      <w:rFonts w:hint="default" w:ascii="Times New Roman" w:hAnsi="Times New Roman" w:cs="Times New Roman"/>
                      <w:color w:val="auto"/>
                      <w:spacing w:val="7"/>
                      <w:sz w:val="21"/>
                      <w:szCs w:val="21"/>
                      <w:highlight w:val="none"/>
                      <w:u w:val="none" w:color="auto"/>
                    </w:rPr>
                    <w:t>声</w:t>
                  </w:r>
                  <w:r>
                    <w:rPr>
                      <w:rFonts w:hint="default" w:ascii="Times New Roman" w:hAnsi="Times New Roman" w:cs="Times New Roman"/>
                      <w:color w:val="auto"/>
                      <w:sz w:val="21"/>
                      <w:szCs w:val="21"/>
                      <w:highlight w:val="none"/>
                      <w:u w:val="none" w:color="auto"/>
                    </w:rPr>
                    <w:t>级</w:t>
                  </w:r>
                </w:p>
              </w:tc>
              <w:tc>
                <w:tcPr>
                  <w:tcW w:w="1133" w:type="pct"/>
                  <w:tcBorders>
                    <w:tl2br w:val="nil"/>
                    <w:tr2bl w:val="nil"/>
                  </w:tcBorders>
                  <w:vAlign w:val="center"/>
                </w:tcPr>
                <w:p w14:paraId="799D69F8">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3"/>
                      <w:sz w:val="21"/>
                      <w:szCs w:val="21"/>
                      <w:highlight w:val="none"/>
                      <w:u w:val="none" w:color="auto"/>
                    </w:rPr>
                    <w:t>厂界</w:t>
                  </w:r>
                </w:p>
              </w:tc>
              <w:tc>
                <w:tcPr>
                  <w:tcW w:w="1253" w:type="pct"/>
                  <w:tcBorders>
                    <w:tl2br w:val="nil"/>
                    <w:tr2bl w:val="nil"/>
                  </w:tcBorders>
                  <w:vAlign w:val="center"/>
                </w:tcPr>
                <w:p w14:paraId="673F4562">
                  <w:pPr>
                    <w:pStyle w:val="42"/>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1</w:t>
                  </w:r>
                  <w:r>
                    <w:rPr>
                      <w:rFonts w:hint="default" w:ascii="Times New Roman" w:hAnsi="Times New Roman" w:cs="Times New Roman"/>
                      <w:color w:val="auto"/>
                      <w:spacing w:val="-3"/>
                      <w:sz w:val="21"/>
                      <w:szCs w:val="21"/>
                      <w:highlight w:val="none"/>
                      <w:u w:val="none" w:color="auto"/>
                    </w:rPr>
                    <w:t>次</w:t>
                  </w:r>
                  <w:r>
                    <w:rPr>
                      <w:rFonts w:hint="default" w:ascii="Times New Roman" w:hAnsi="Times New Roman" w:eastAsia="Times New Roman" w:cs="Times New Roman"/>
                      <w:color w:val="auto"/>
                      <w:spacing w:val="-3"/>
                      <w:sz w:val="21"/>
                      <w:szCs w:val="21"/>
                      <w:highlight w:val="none"/>
                      <w:u w:val="none" w:color="auto"/>
                    </w:rPr>
                    <w:t>/</w:t>
                  </w:r>
                  <w:r>
                    <w:rPr>
                      <w:rFonts w:hint="default" w:ascii="Times New Roman" w:hAnsi="Times New Roman" w:cs="Times New Roman"/>
                      <w:color w:val="auto"/>
                      <w:spacing w:val="-3"/>
                      <w:sz w:val="21"/>
                      <w:szCs w:val="21"/>
                      <w:highlight w:val="none"/>
                      <w:u w:val="none" w:color="auto"/>
                    </w:rPr>
                    <w:t>季</w:t>
                  </w:r>
                </w:p>
              </w:tc>
            </w:tr>
          </w:tbl>
          <w:p w14:paraId="4AB93629">
            <w:pPr>
              <w:pStyle w:val="25"/>
              <w:keepNext w:val="0"/>
              <w:keepLines w:val="0"/>
              <w:pageBreakBefore w:val="0"/>
              <w:widowControl/>
              <w:kinsoku/>
              <w:wordWrap w:val="0"/>
              <w:overflowPunct/>
              <w:topLinePunct/>
              <w:autoSpaceDE/>
              <w:autoSpaceDN/>
              <w:bidi w:val="0"/>
              <w:adjustRightInd/>
              <w:snapToGrid/>
              <w:ind w:left="0" w:leftChars="0" w:firstLine="0" w:firstLineChars="0"/>
              <w:rPr>
                <w:color w:val="auto"/>
                <w:highlight w:val="none"/>
                <w:u w:val="none" w:color="auto"/>
              </w:rPr>
            </w:pPr>
            <w:r>
              <w:rPr>
                <w:rFonts w:hint="default" w:ascii="Times New Roman" w:hAnsi="Times New Roman" w:cs="Times New Roman"/>
                <w:b/>
                <w:bCs/>
                <w:color w:val="auto"/>
                <w:highlight w:val="none"/>
                <w:u w:val="none" w:color="auto"/>
              </w:rPr>
              <w:t>四、固体废物</w:t>
            </w:r>
          </w:p>
          <w:p w14:paraId="6D74C1DB">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根据工程分析，本项目运营期固体废物主要</w:t>
            </w:r>
            <w:r>
              <w:rPr>
                <w:rFonts w:hint="eastAsia" w:cs="Times New Roman"/>
                <w:color w:val="auto"/>
                <w:highlight w:val="none"/>
                <w:u w:val="none" w:color="auto"/>
                <w:lang w:val="en-US" w:eastAsia="zh-CN"/>
              </w:rPr>
              <w:t>为</w:t>
            </w:r>
            <w:r>
              <w:rPr>
                <w:rFonts w:hint="default" w:ascii="Times New Roman" w:hAnsi="Times New Roman" w:cs="Times New Roman"/>
                <w:color w:val="auto"/>
                <w:highlight w:val="none"/>
                <w:u w:val="none" w:color="auto"/>
              </w:rPr>
              <w:t>办公生活垃圾</w:t>
            </w:r>
            <w:r>
              <w:rPr>
                <w:rFonts w:hint="eastAsia" w:cs="Times New Roman"/>
                <w:color w:val="auto"/>
                <w:highlight w:val="none"/>
                <w:u w:val="none" w:color="auto"/>
                <w:lang w:eastAsia="zh-CN"/>
              </w:rPr>
              <w:t>、</w:t>
            </w:r>
            <w:r>
              <w:rPr>
                <w:rFonts w:hint="eastAsia"/>
                <w:highlight w:val="none"/>
                <w:u w:val="none" w:color="auto"/>
                <w:lang w:val="en-US" w:eastAsia="zh-CN"/>
              </w:rPr>
              <w:t>废角阀、</w:t>
            </w:r>
            <w:r>
              <w:rPr>
                <w:highlight w:val="none"/>
                <w:u w:val="none" w:color="auto"/>
              </w:rPr>
              <w:t>水膜除尘湿渣</w:t>
            </w:r>
            <w:r>
              <w:rPr>
                <w:rFonts w:hint="eastAsia"/>
                <w:highlight w:val="none"/>
                <w:u w:val="none" w:color="auto"/>
                <w:lang w:eastAsia="zh-CN"/>
              </w:rPr>
              <w:t>、</w:t>
            </w:r>
            <w:r>
              <w:rPr>
                <w:rFonts w:hint="eastAsia"/>
                <w:highlight w:val="none"/>
                <w:u w:val="none" w:color="auto"/>
                <w:lang w:val="en-US" w:eastAsia="zh-CN"/>
              </w:rPr>
              <w:t>废机油和废机油桶</w:t>
            </w:r>
            <w:r>
              <w:rPr>
                <w:rFonts w:hint="default" w:ascii="Times New Roman" w:hAnsi="Times New Roman" w:cs="Times New Roman"/>
                <w:color w:val="auto"/>
                <w:highlight w:val="none"/>
                <w:u w:val="none" w:color="auto"/>
              </w:rPr>
              <w:t>。</w:t>
            </w:r>
          </w:p>
          <w:p w14:paraId="276C0DA5">
            <w:pPr>
              <w:pStyle w:val="25"/>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w:t>
            </w:r>
            <w:r>
              <w:rPr>
                <w:rFonts w:hint="eastAsia" w:cs="Times New Roman"/>
                <w:color w:val="auto"/>
                <w:kern w:val="0"/>
                <w:sz w:val="24"/>
                <w:szCs w:val="24"/>
                <w:highlight w:val="none"/>
                <w:u w:val="none" w:color="auto"/>
                <w:lang w:val="en-US" w:eastAsia="zh-CN" w:bidi="ar"/>
              </w:rPr>
              <w:t>1</w:t>
            </w:r>
            <w:r>
              <w:rPr>
                <w:rFonts w:hint="default" w:ascii="Times New Roman" w:hAnsi="Times New Roman" w:eastAsia="宋体" w:cs="Times New Roman"/>
                <w:color w:val="auto"/>
                <w:kern w:val="0"/>
                <w:sz w:val="24"/>
                <w:szCs w:val="24"/>
                <w:highlight w:val="none"/>
                <w:u w:val="none" w:color="auto"/>
                <w:lang w:val="en-US" w:eastAsia="zh-CN" w:bidi="ar"/>
              </w:rPr>
              <w:t>）生活垃圾</w:t>
            </w:r>
          </w:p>
          <w:p w14:paraId="7448EF2B">
            <w:pPr>
              <w:pStyle w:val="25"/>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本项目员工</w:t>
            </w:r>
            <w:r>
              <w:rPr>
                <w:rFonts w:hint="eastAsia" w:cs="Times New Roman"/>
                <w:color w:val="auto"/>
                <w:kern w:val="0"/>
                <w:sz w:val="24"/>
                <w:szCs w:val="24"/>
                <w:highlight w:val="none"/>
                <w:u w:val="none" w:color="auto"/>
                <w:lang w:val="en-US" w:eastAsia="zh-CN" w:bidi="ar"/>
              </w:rPr>
              <w:t>5</w:t>
            </w:r>
            <w:r>
              <w:rPr>
                <w:rFonts w:hint="default" w:ascii="Times New Roman" w:hAnsi="Times New Roman" w:eastAsia="宋体" w:cs="Times New Roman"/>
                <w:color w:val="auto"/>
                <w:kern w:val="0"/>
                <w:sz w:val="24"/>
                <w:szCs w:val="24"/>
                <w:highlight w:val="none"/>
                <w:u w:val="none" w:color="auto"/>
                <w:lang w:val="en-US" w:eastAsia="zh-CN" w:bidi="ar"/>
              </w:rPr>
              <w:t>人，生活垃圾按0.</w:t>
            </w:r>
            <w:r>
              <w:rPr>
                <w:rFonts w:hint="eastAsia" w:cs="Times New Roman"/>
                <w:color w:val="auto"/>
                <w:kern w:val="0"/>
                <w:sz w:val="24"/>
                <w:szCs w:val="24"/>
                <w:highlight w:val="none"/>
                <w:u w:val="none" w:color="auto"/>
                <w:lang w:val="en-US" w:eastAsia="zh-CN" w:bidi="ar"/>
              </w:rPr>
              <w:t>5</w:t>
            </w:r>
            <w:r>
              <w:rPr>
                <w:rFonts w:hint="default" w:ascii="Times New Roman" w:hAnsi="Times New Roman" w:eastAsia="宋体" w:cs="Times New Roman"/>
                <w:color w:val="auto"/>
                <w:kern w:val="0"/>
                <w:sz w:val="24"/>
                <w:szCs w:val="24"/>
                <w:highlight w:val="none"/>
                <w:u w:val="none" w:color="auto"/>
                <w:lang w:val="en-US" w:eastAsia="zh-CN" w:bidi="ar"/>
              </w:rPr>
              <w:t>kg/人</w:t>
            </w:r>
            <w:r>
              <w:rPr>
                <w:rFonts w:hint="eastAsia" w:cs="Times New Roman"/>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d计算，年工作3</w:t>
            </w:r>
            <w:r>
              <w:rPr>
                <w:rFonts w:hint="eastAsia" w:cs="Times New Roman"/>
                <w:color w:val="auto"/>
                <w:kern w:val="0"/>
                <w:sz w:val="24"/>
                <w:szCs w:val="24"/>
                <w:highlight w:val="none"/>
                <w:u w:val="none" w:color="auto"/>
                <w:lang w:val="en-US" w:eastAsia="zh-CN" w:bidi="ar"/>
              </w:rPr>
              <w:t>0</w:t>
            </w:r>
            <w:r>
              <w:rPr>
                <w:rFonts w:hint="default" w:ascii="Times New Roman" w:hAnsi="Times New Roman" w:eastAsia="宋体" w:cs="Times New Roman"/>
                <w:color w:val="auto"/>
                <w:kern w:val="0"/>
                <w:sz w:val="24"/>
                <w:szCs w:val="24"/>
                <w:highlight w:val="none"/>
                <w:u w:val="none" w:color="auto"/>
                <w:lang w:val="en-US" w:eastAsia="zh-CN" w:bidi="ar"/>
              </w:rPr>
              <w:t>0天，产生量为</w:t>
            </w:r>
            <w:r>
              <w:rPr>
                <w:rStyle w:val="35"/>
                <w:highlight w:val="none"/>
                <w:u w:val="none" w:color="auto"/>
              </w:rPr>
              <w:t>0.</w:t>
            </w:r>
            <w:r>
              <w:rPr>
                <w:rStyle w:val="35"/>
                <w:rFonts w:hint="eastAsia"/>
                <w:highlight w:val="none"/>
                <w:u w:val="none" w:color="auto"/>
                <w:lang w:val="en-US" w:eastAsia="zh-CN"/>
              </w:rPr>
              <w:t>75</w:t>
            </w:r>
            <w:r>
              <w:rPr>
                <w:rStyle w:val="35"/>
                <w:rFonts w:hint="default"/>
                <w:highlight w:val="none"/>
                <w:u w:val="none" w:color="auto"/>
                <w:lang w:val="en-US" w:eastAsia="zh-CN"/>
              </w:rPr>
              <w:t>t/a，</w:t>
            </w:r>
            <w:r>
              <w:rPr>
                <w:rFonts w:hint="default" w:ascii="Times New Roman" w:hAnsi="Times New Roman" w:eastAsia="宋体" w:cs="Times New Roman"/>
                <w:color w:val="auto"/>
                <w:kern w:val="0"/>
                <w:sz w:val="24"/>
                <w:szCs w:val="24"/>
                <w:highlight w:val="none"/>
                <w:u w:val="none" w:color="auto"/>
                <w:lang w:val="en-US" w:eastAsia="zh-CN" w:bidi="ar"/>
              </w:rPr>
              <w:t>收集后由环卫部门统一清运。</w:t>
            </w:r>
          </w:p>
          <w:p w14:paraId="3C7927F2">
            <w:pPr>
              <w:pStyle w:val="25"/>
              <w:bidi w:val="0"/>
              <w:rPr>
                <w:rFonts w:hint="default"/>
                <w:highlight w:val="none"/>
                <w:u w:val="none" w:color="auto"/>
                <w:lang w:val="en-US" w:eastAsia="zh-CN"/>
              </w:rPr>
            </w:pPr>
            <w:r>
              <w:rPr>
                <w:rFonts w:hint="eastAsia"/>
                <w:highlight w:val="none"/>
                <w:u w:val="none" w:color="auto"/>
                <w:lang w:val="en-US" w:eastAsia="zh-CN"/>
              </w:rPr>
              <w:t>（2）废角阀</w:t>
            </w:r>
          </w:p>
          <w:p w14:paraId="632FDB92">
            <w:pPr>
              <w:pStyle w:val="25"/>
              <w:bidi w:val="0"/>
              <w:rPr>
                <w:rFonts w:hint="eastAsia"/>
                <w:highlight w:val="none"/>
                <w:u w:val="none" w:color="auto"/>
                <w:lang w:val="en-US" w:eastAsia="zh-CN"/>
              </w:rPr>
            </w:pPr>
            <w:r>
              <w:rPr>
                <w:rFonts w:hint="eastAsia"/>
                <w:highlight w:val="none"/>
                <w:u w:val="none" w:color="auto"/>
                <w:lang w:val="en-US" w:eastAsia="zh-CN"/>
              </w:rPr>
              <w:t>根据业主提供资料，本项目废角阀产生约12万只/a，一般固体废物分类与代码为900-999-99。交由特定的回收厂家回收。</w:t>
            </w:r>
          </w:p>
          <w:p w14:paraId="4F55695E">
            <w:pPr>
              <w:pStyle w:val="25"/>
              <w:keepNext w:val="0"/>
              <w:keepLines w:val="0"/>
              <w:pageBreakBefore w:val="0"/>
              <w:widowControl/>
              <w:kinsoku/>
              <w:wordWrap w:val="0"/>
              <w:overflowPunct/>
              <w:topLinePunct/>
              <w:autoSpaceDE/>
              <w:autoSpaceDN/>
              <w:bidi w:val="0"/>
              <w:adjustRightInd/>
              <w:snapToGrid/>
              <w:textAlignment w:val="auto"/>
              <w:rPr>
                <w:rFonts w:hint="eastAsia" w:cs="Times New Roman"/>
                <w:color w:val="auto"/>
                <w:kern w:val="0"/>
                <w:sz w:val="24"/>
                <w:szCs w:val="24"/>
                <w:highlight w:val="none"/>
                <w:u w:val="none" w:color="auto"/>
                <w:lang w:val="en-US" w:eastAsia="zh-CN" w:bidi="ar"/>
              </w:rPr>
            </w:pPr>
            <w:r>
              <w:rPr>
                <w:rFonts w:hint="eastAsia" w:cs="Times New Roman"/>
                <w:color w:val="auto"/>
                <w:kern w:val="0"/>
                <w:sz w:val="24"/>
                <w:szCs w:val="24"/>
                <w:highlight w:val="none"/>
                <w:u w:val="none" w:color="auto"/>
                <w:lang w:val="en-US" w:eastAsia="zh-CN" w:bidi="ar"/>
              </w:rPr>
              <w:t>（3）废机油</w:t>
            </w:r>
          </w:p>
          <w:p w14:paraId="742C2E3F">
            <w:pPr>
              <w:pStyle w:val="25"/>
              <w:keepNext w:val="0"/>
              <w:keepLines w:val="0"/>
              <w:pageBreakBefore w:val="0"/>
              <w:widowControl/>
              <w:kinsoku/>
              <w:wordWrap w:val="0"/>
              <w:overflowPunct/>
              <w:topLinePunct/>
              <w:autoSpaceDE/>
              <w:autoSpaceDN/>
              <w:bidi w:val="0"/>
              <w:adjustRightInd/>
              <w:snapToGrid/>
              <w:rPr>
                <w:rFonts w:hint="eastAsia" w:eastAsia="宋体"/>
                <w:color w:val="auto"/>
                <w:sz w:val="24"/>
                <w:highlight w:val="none"/>
                <w:u w:val="none" w:color="auto"/>
                <w:lang w:eastAsia="zh-CN"/>
              </w:rPr>
            </w:pPr>
            <w:r>
              <w:rPr>
                <w:color w:val="auto"/>
                <w:sz w:val="24"/>
                <w:highlight w:val="none"/>
                <w:u w:val="none" w:color="auto"/>
              </w:rPr>
              <w:t>项目机械设备运行、维修将产生少量</w:t>
            </w:r>
            <w:r>
              <w:rPr>
                <w:rFonts w:hint="eastAsia"/>
                <w:color w:val="auto"/>
                <w:sz w:val="24"/>
                <w:highlight w:val="none"/>
                <w:u w:val="none" w:color="auto"/>
                <w:lang w:eastAsia="zh-CN"/>
              </w:rPr>
              <w:t>废机油</w:t>
            </w:r>
            <w:r>
              <w:rPr>
                <w:color w:val="auto"/>
                <w:sz w:val="24"/>
                <w:highlight w:val="none"/>
                <w:u w:val="none" w:color="auto"/>
              </w:rPr>
              <w:t>，</w:t>
            </w:r>
            <w:r>
              <w:rPr>
                <w:rFonts w:hint="eastAsia"/>
                <w:color w:val="auto"/>
                <w:sz w:val="24"/>
                <w:highlight w:val="none"/>
                <w:u w:val="none" w:color="auto"/>
                <w:lang w:eastAsia="zh-CN"/>
              </w:rPr>
              <w:t>废机油</w:t>
            </w:r>
            <w:r>
              <w:rPr>
                <w:color w:val="auto"/>
                <w:sz w:val="24"/>
                <w:highlight w:val="none"/>
                <w:u w:val="none" w:color="auto"/>
              </w:rPr>
              <w:t>属于危险废物，产生量约为0.2t/a</w:t>
            </w:r>
            <w:r>
              <w:rPr>
                <w:rFonts w:hint="eastAsia" w:eastAsia="宋体"/>
                <w:color w:val="auto"/>
                <w:sz w:val="24"/>
                <w:highlight w:val="none"/>
                <w:u w:val="none" w:color="auto"/>
                <w:lang w:val="en-US" w:eastAsia="zh-CN"/>
              </w:rPr>
              <w:t>，存放至危废暂存间，再交由有资质单位进行处理</w:t>
            </w:r>
            <w:r>
              <w:rPr>
                <w:rFonts w:hint="eastAsia" w:eastAsia="宋体"/>
                <w:color w:val="auto"/>
                <w:sz w:val="24"/>
                <w:highlight w:val="none"/>
                <w:u w:val="none" w:color="auto"/>
                <w:lang w:eastAsia="zh-CN"/>
              </w:rPr>
              <w:t>。</w:t>
            </w:r>
          </w:p>
          <w:p w14:paraId="54EBCFCC">
            <w:pPr>
              <w:pStyle w:val="25"/>
              <w:keepNext w:val="0"/>
              <w:keepLines w:val="0"/>
              <w:pageBreakBefore w:val="0"/>
              <w:widowControl/>
              <w:kinsoku/>
              <w:wordWrap w:val="0"/>
              <w:overflowPunct/>
              <w:topLinePunct/>
              <w:autoSpaceDE/>
              <w:autoSpaceDN/>
              <w:bidi w:val="0"/>
              <w:adjustRightInd/>
              <w:snapToGrid/>
              <w:rPr>
                <w:rFonts w:hint="eastAsia"/>
                <w:color w:val="auto"/>
                <w:highlight w:val="none"/>
                <w:u w:val="none" w:color="auto"/>
                <w:lang w:val="en-US" w:eastAsia="zh-CN"/>
              </w:rPr>
            </w:pPr>
            <w:r>
              <w:rPr>
                <w:rFonts w:hint="eastAsia" w:cs="Times New Roman"/>
                <w:color w:val="auto"/>
                <w:kern w:val="0"/>
                <w:sz w:val="24"/>
                <w:szCs w:val="24"/>
                <w:highlight w:val="none"/>
                <w:u w:val="none" w:color="auto"/>
                <w:lang w:val="en-US" w:eastAsia="zh-CN" w:bidi="ar"/>
              </w:rPr>
              <w:t>（4）</w:t>
            </w:r>
            <w:r>
              <w:rPr>
                <w:rFonts w:hint="eastAsia"/>
                <w:color w:val="auto"/>
                <w:highlight w:val="none"/>
                <w:u w:val="none" w:color="auto"/>
                <w:lang w:val="en-US" w:eastAsia="zh-CN"/>
              </w:rPr>
              <w:t>废机油桶</w:t>
            </w:r>
          </w:p>
          <w:p w14:paraId="52115311">
            <w:pPr>
              <w:pStyle w:val="25"/>
              <w:keepNext w:val="0"/>
              <w:keepLines w:val="0"/>
              <w:pageBreakBefore w:val="0"/>
              <w:widowControl/>
              <w:kinsoku/>
              <w:wordWrap w:val="0"/>
              <w:overflowPunct/>
              <w:topLinePunct/>
              <w:autoSpaceDE/>
              <w:autoSpaceDN/>
              <w:bidi w:val="0"/>
              <w:adjustRightInd/>
              <w:snapToGrid/>
              <w:rPr>
                <w:rFonts w:hint="eastAsia"/>
                <w:color w:val="auto"/>
                <w:highlight w:val="none"/>
                <w:u w:val="none" w:color="auto"/>
                <w:lang w:val="en-US" w:eastAsia="zh-CN"/>
              </w:rPr>
            </w:pPr>
            <w:r>
              <w:rPr>
                <w:rFonts w:hint="eastAsia"/>
                <w:color w:val="auto"/>
                <w:highlight w:val="none"/>
                <w:u w:val="none" w:color="auto"/>
                <w:lang w:val="en-US" w:eastAsia="zh-CN"/>
              </w:rPr>
              <w:t>项目</w:t>
            </w:r>
            <w:r>
              <w:rPr>
                <w:color w:val="auto"/>
                <w:sz w:val="24"/>
                <w:highlight w:val="none"/>
                <w:u w:val="none" w:color="auto"/>
              </w:rPr>
              <w:t>机械设备运行、维修将产生少量</w:t>
            </w:r>
            <w:r>
              <w:rPr>
                <w:rFonts w:hint="eastAsia"/>
                <w:color w:val="auto"/>
                <w:sz w:val="24"/>
                <w:highlight w:val="none"/>
                <w:u w:val="none" w:color="auto"/>
                <w:lang w:eastAsia="zh-CN"/>
              </w:rPr>
              <w:t>废机油</w:t>
            </w:r>
            <w:r>
              <w:rPr>
                <w:rFonts w:hint="eastAsia"/>
                <w:color w:val="auto"/>
                <w:sz w:val="24"/>
                <w:highlight w:val="none"/>
                <w:u w:val="none" w:color="auto"/>
                <w:lang w:val="en-US" w:eastAsia="zh-CN"/>
              </w:rPr>
              <w:t>桶</w:t>
            </w:r>
            <w:r>
              <w:rPr>
                <w:rFonts w:hint="eastAsia"/>
                <w:color w:val="auto"/>
                <w:highlight w:val="none"/>
                <w:u w:val="none" w:color="auto"/>
                <w:lang w:val="en-US" w:eastAsia="zh-CN"/>
              </w:rPr>
              <w:t>，产生量为0.05t/a，属于《国家危险废物名录》(2025版)</w:t>
            </w:r>
            <w:r>
              <w:rPr>
                <w:rFonts w:hint="eastAsia"/>
                <w:color w:val="auto"/>
                <w:sz w:val="24"/>
                <w:highlight w:val="none"/>
                <w:u w:val="none" w:color="auto"/>
                <w:lang w:val="en-US" w:eastAsia="zh-CN"/>
              </w:rPr>
              <w:t>HW08</w:t>
            </w:r>
            <w:r>
              <w:rPr>
                <w:rFonts w:hint="eastAsia"/>
                <w:color w:val="auto"/>
                <w:highlight w:val="none"/>
                <w:u w:val="none" w:color="auto"/>
                <w:lang w:val="en-US" w:eastAsia="zh-CN"/>
              </w:rPr>
              <w:t>其他废物类危险废物，废物代码为900-249-08，暂存至危废暂存间，定期交由有资质单位进行处理。</w:t>
            </w:r>
          </w:p>
          <w:p w14:paraId="02B386D5">
            <w:pPr>
              <w:pStyle w:val="25"/>
              <w:bidi w:val="0"/>
              <w:rPr>
                <w:highlight w:val="none"/>
                <w:u w:val="none" w:color="auto"/>
              </w:rPr>
            </w:pPr>
            <w:r>
              <w:rPr>
                <w:rFonts w:hint="eastAsia"/>
                <w:highlight w:val="none"/>
                <w:u w:val="none" w:color="auto"/>
                <w:lang w:val="en-US" w:eastAsia="zh-CN"/>
              </w:rPr>
              <w:t>（5）</w:t>
            </w:r>
            <w:r>
              <w:rPr>
                <w:highlight w:val="none"/>
                <w:u w:val="none" w:color="auto"/>
              </w:rPr>
              <w:t>水膜除尘湿渣</w:t>
            </w:r>
          </w:p>
          <w:p w14:paraId="031DA1FB">
            <w:pPr>
              <w:pStyle w:val="25"/>
              <w:bidi w:val="0"/>
              <w:rPr>
                <w:rStyle w:val="35"/>
                <w:rFonts w:hint="eastAsia" w:eastAsia="宋体"/>
                <w:highlight w:val="none"/>
                <w:u w:val="none" w:color="auto"/>
                <w:lang w:eastAsia="zh-CN"/>
              </w:rPr>
            </w:pPr>
            <w:r>
              <w:rPr>
                <w:rFonts w:hint="eastAsia"/>
                <w:highlight w:val="none"/>
                <w:u w:val="none" w:color="auto"/>
                <w:lang w:val="en-US" w:eastAsia="zh-CN"/>
              </w:rPr>
              <w:t>根据前文水平衡及源强计算，项目</w:t>
            </w:r>
            <w:r>
              <w:rPr>
                <w:highlight w:val="none"/>
                <w:u w:val="none" w:color="auto"/>
              </w:rPr>
              <w:t>水膜除尘湿渣约3.81t/a</w:t>
            </w:r>
            <w:r>
              <w:rPr>
                <w:rFonts w:hint="eastAsia"/>
                <w:highlight w:val="none"/>
                <w:u w:val="none" w:color="auto"/>
                <w:lang w:eastAsia="zh-CN"/>
              </w:rPr>
              <w:t>，</w:t>
            </w:r>
            <w:r>
              <w:rPr>
                <w:rStyle w:val="35"/>
                <w:rFonts w:hint="eastAsia"/>
                <w:lang w:val="en-US" w:eastAsia="zh-CN"/>
              </w:rPr>
              <w:t>代码为</w:t>
            </w:r>
            <w:r>
              <w:rPr>
                <w:rStyle w:val="35"/>
              </w:rPr>
              <w:t>432-001-02</w:t>
            </w:r>
            <w:r>
              <w:rPr>
                <w:rFonts w:hint="eastAsia"/>
                <w:highlight w:val="none"/>
                <w:u w:val="none" w:color="auto"/>
                <w:lang w:eastAsia="zh-CN"/>
              </w:rPr>
              <w:t>，</w:t>
            </w:r>
            <w:r>
              <w:rPr>
                <w:rStyle w:val="35"/>
                <w:highlight w:val="none"/>
                <w:u w:val="none" w:color="auto"/>
              </w:rPr>
              <w:t>作为建筑材料综合利用（如制砖）</w:t>
            </w:r>
            <w:r>
              <w:rPr>
                <w:rStyle w:val="35"/>
                <w:highlight w:val="none"/>
                <w:u w:val="none" w:color="auto"/>
                <w:lang w:eastAsia="zh-CN"/>
              </w:rPr>
              <w:t>。</w:t>
            </w:r>
          </w:p>
          <w:p w14:paraId="6C13D57F">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 xml:space="preserve">17   </w:t>
            </w:r>
            <w:r>
              <w:rPr>
                <w:rFonts w:hint="default" w:ascii="Times New Roman" w:hAnsi="Times New Roman" w:cs="Times New Roman"/>
                <w:b/>
                <w:bCs/>
                <w:color w:val="auto"/>
                <w:highlight w:val="none"/>
                <w:u w:val="none" w:color="auto"/>
              </w:rPr>
              <w:t>本项目固废产生情况表</w:t>
            </w:r>
          </w:p>
          <w:tbl>
            <w:tblPr>
              <w:tblStyle w:val="45"/>
              <w:tblW w:w="499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99"/>
              <w:gridCol w:w="523"/>
              <w:gridCol w:w="1319"/>
              <w:gridCol w:w="820"/>
              <w:gridCol w:w="669"/>
              <w:gridCol w:w="811"/>
              <w:gridCol w:w="959"/>
              <w:gridCol w:w="830"/>
              <w:gridCol w:w="1127"/>
            </w:tblGrid>
            <w:tr w14:paraId="6CBE84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565" w:type="pct"/>
                  <w:tcBorders>
                    <w:tl2br w:val="nil"/>
                    <w:tr2bl w:val="nil"/>
                  </w:tcBorders>
                  <w:vAlign w:val="center"/>
                </w:tcPr>
                <w:p w14:paraId="21405CE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产生环节</w:t>
                  </w:r>
                </w:p>
              </w:tc>
              <w:tc>
                <w:tcPr>
                  <w:tcW w:w="329" w:type="pct"/>
                  <w:tcBorders>
                    <w:tl2br w:val="nil"/>
                    <w:tr2bl w:val="nil"/>
                  </w:tcBorders>
                  <w:vAlign w:val="center"/>
                </w:tcPr>
                <w:p w14:paraId="75C00FD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4"/>
                      <w:sz w:val="21"/>
                      <w:szCs w:val="21"/>
                      <w:highlight w:val="none"/>
                      <w:u w:val="none" w:color="auto"/>
                    </w:rPr>
                    <w:t>名称</w:t>
                  </w:r>
                </w:p>
              </w:tc>
              <w:tc>
                <w:tcPr>
                  <w:tcW w:w="828" w:type="pct"/>
                  <w:tcBorders>
                    <w:tl2br w:val="nil"/>
                    <w:tr2bl w:val="nil"/>
                  </w:tcBorders>
                  <w:vAlign w:val="center"/>
                </w:tcPr>
                <w:p w14:paraId="2BD96C70">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pacing w:val="5"/>
                      <w:sz w:val="21"/>
                      <w:szCs w:val="21"/>
                      <w:highlight w:val="none"/>
                      <w:u w:val="none" w:color="auto"/>
                      <w:lang w:val="en-US" w:eastAsia="zh-CN"/>
                    </w:rPr>
                    <w:t>属性、代码</w:t>
                  </w:r>
                </w:p>
              </w:tc>
              <w:tc>
                <w:tcPr>
                  <w:tcW w:w="515" w:type="pct"/>
                  <w:tcBorders>
                    <w:tl2br w:val="nil"/>
                    <w:tr2bl w:val="nil"/>
                  </w:tcBorders>
                  <w:vAlign w:val="center"/>
                </w:tcPr>
                <w:p w14:paraId="44DB9C6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7"/>
                      <w:sz w:val="21"/>
                      <w:szCs w:val="21"/>
                      <w:highlight w:val="none"/>
                      <w:u w:val="none" w:color="auto"/>
                    </w:rPr>
                    <w:t>有毒有</w:t>
                  </w:r>
                </w:p>
                <w:p w14:paraId="33E4B97E">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害物质</w:t>
                  </w:r>
                </w:p>
                <w:p w14:paraId="44058D3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4"/>
                      <w:sz w:val="21"/>
                      <w:szCs w:val="21"/>
                      <w:highlight w:val="none"/>
                      <w:u w:val="none" w:color="auto"/>
                    </w:rPr>
                    <w:t>名称</w:t>
                  </w:r>
                </w:p>
              </w:tc>
              <w:tc>
                <w:tcPr>
                  <w:tcW w:w="420" w:type="pct"/>
                  <w:tcBorders>
                    <w:tl2br w:val="nil"/>
                    <w:tr2bl w:val="nil"/>
                  </w:tcBorders>
                  <w:vAlign w:val="center"/>
                </w:tcPr>
                <w:p w14:paraId="1906CB3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物理性状</w:t>
                  </w:r>
                </w:p>
              </w:tc>
              <w:tc>
                <w:tcPr>
                  <w:tcW w:w="509" w:type="pct"/>
                  <w:tcBorders>
                    <w:tl2br w:val="nil"/>
                    <w:tr2bl w:val="nil"/>
                  </w:tcBorders>
                  <w:vAlign w:val="center"/>
                </w:tcPr>
                <w:p w14:paraId="42740654">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position w:val="4"/>
                      <w:sz w:val="21"/>
                      <w:szCs w:val="21"/>
                      <w:highlight w:val="none"/>
                      <w:u w:val="none" w:color="auto"/>
                    </w:rPr>
                    <w:t>环境</w:t>
                  </w:r>
                </w:p>
                <w:p w14:paraId="315A737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4"/>
                      <w:sz w:val="21"/>
                      <w:szCs w:val="21"/>
                      <w:highlight w:val="none"/>
                      <w:u w:val="none" w:color="auto"/>
                    </w:rPr>
                    <w:t>危险</w:t>
                  </w:r>
                </w:p>
                <w:p w14:paraId="4188D7A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特性</w:t>
                  </w:r>
                </w:p>
              </w:tc>
              <w:tc>
                <w:tcPr>
                  <w:tcW w:w="602" w:type="pct"/>
                  <w:tcBorders>
                    <w:tl2br w:val="nil"/>
                    <w:tr2bl w:val="nil"/>
                  </w:tcBorders>
                  <w:vAlign w:val="center"/>
                </w:tcPr>
                <w:p w14:paraId="3CD6F7FB">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pacing w:val="7"/>
                      <w:sz w:val="21"/>
                      <w:szCs w:val="21"/>
                      <w:highlight w:val="none"/>
                      <w:u w:val="none" w:color="auto"/>
                    </w:rPr>
                    <w:t>年产生</w:t>
                  </w:r>
                  <w:r>
                    <w:rPr>
                      <w:rFonts w:hint="default" w:ascii="Times New Roman" w:hAnsi="Times New Roman" w:eastAsia="宋体" w:cs="Times New Roman"/>
                      <w:b/>
                      <w:bCs/>
                      <w:color w:val="auto"/>
                      <w:sz w:val="21"/>
                      <w:szCs w:val="21"/>
                      <w:highlight w:val="none"/>
                      <w:u w:val="none" w:color="auto"/>
                    </w:rPr>
                    <w:t>量</w:t>
                  </w:r>
                </w:p>
              </w:tc>
              <w:tc>
                <w:tcPr>
                  <w:tcW w:w="521" w:type="pct"/>
                  <w:tcBorders>
                    <w:tl2br w:val="nil"/>
                    <w:tr2bl w:val="nil"/>
                  </w:tcBorders>
                  <w:vAlign w:val="center"/>
                </w:tcPr>
                <w:p w14:paraId="3408D594">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7"/>
                      <w:sz w:val="21"/>
                      <w:szCs w:val="21"/>
                      <w:highlight w:val="none"/>
                      <w:u w:val="none" w:color="auto"/>
                    </w:rPr>
                    <w:t>贮存方</w:t>
                  </w:r>
                  <w:r>
                    <w:rPr>
                      <w:rFonts w:hint="default" w:ascii="Times New Roman" w:hAnsi="Times New Roman" w:eastAsia="宋体" w:cs="Times New Roman"/>
                      <w:b/>
                      <w:bCs/>
                      <w:color w:val="auto"/>
                      <w:sz w:val="21"/>
                      <w:szCs w:val="21"/>
                      <w:highlight w:val="none"/>
                      <w:u w:val="none" w:color="auto"/>
                    </w:rPr>
                    <w:t>式</w:t>
                  </w:r>
                </w:p>
              </w:tc>
              <w:tc>
                <w:tcPr>
                  <w:tcW w:w="708" w:type="pct"/>
                  <w:tcBorders>
                    <w:tl2br w:val="nil"/>
                    <w:tr2bl w:val="nil"/>
                  </w:tcBorders>
                  <w:vAlign w:val="center"/>
                </w:tcPr>
                <w:p w14:paraId="482249D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处置方</w:t>
                  </w:r>
                </w:p>
                <w:p w14:paraId="0CDD43F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式及去</w:t>
                  </w:r>
                </w:p>
                <w:p w14:paraId="0E741F2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向</w:t>
                  </w:r>
                </w:p>
              </w:tc>
            </w:tr>
            <w:tr w14:paraId="1548EF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565" w:type="pct"/>
                  <w:tcBorders>
                    <w:tl2br w:val="nil"/>
                    <w:tr2bl w:val="nil"/>
                  </w:tcBorders>
                  <w:vAlign w:val="center"/>
                </w:tcPr>
                <w:p w14:paraId="6D7F1E7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员工生活</w:t>
                  </w:r>
                </w:p>
              </w:tc>
              <w:tc>
                <w:tcPr>
                  <w:tcW w:w="329" w:type="pct"/>
                  <w:tcBorders>
                    <w:tl2br w:val="nil"/>
                    <w:tr2bl w:val="nil"/>
                  </w:tcBorders>
                  <w:vAlign w:val="center"/>
                </w:tcPr>
                <w:p w14:paraId="7894727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生活垃圾</w:t>
                  </w:r>
                </w:p>
              </w:tc>
              <w:tc>
                <w:tcPr>
                  <w:tcW w:w="828" w:type="pct"/>
                  <w:tcBorders>
                    <w:tl2br w:val="nil"/>
                    <w:tr2bl w:val="nil"/>
                  </w:tcBorders>
                  <w:vAlign w:val="center"/>
                </w:tcPr>
                <w:p w14:paraId="39166B44">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生活垃</w:t>
                  </w:r>
                  <w:r>
                    <w:rPr>
                      <w:rFonts w:hint="default" w:ascii="Times New Roman" w:hAnsi="Times New Roman" w:eastAsia="宋体" w:cs="Times New Roman"/>
                      <w:color w:val="auto"/>
                      <w:sz w:val="21"/>
                      <w:szCs w:val="21"/>
                      <w:highlight w:val="none"/>
                      <w:u w:val="none" w:color="auto"/>
                    </w:rPr>
                    <w:t>圾</w:t>
                  </w:r>
                </w:p>
              </w:tc>
              <w:tc>
                <w:tcPr>
                  <w:tcW w:w="515" w:type="pct"/>
                  <w:tcBorders>
                    <w:tl2br w:val="nil"/>
                    <w:tr2bl w:val="nil"/>
                  </w:tcBorders>
                  <w:vAlign w:val="center"/>
                </w:tcPr>
                <w:p w14:paraId="0CBCA493">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w:t>
                  </w:r>
                </w:p>
              </w:tc>
              <w:tc>
                <w:tcPr>
                  <w:tcW w:w="420" w:type="pct"/>
                  <w:tcBorders>
                    <w:tl2br w:val="nil"/>
                    <w:tr2bl w:val="nil"/>
                  </w:tcBorders>
                  <w:vAlign w:val="center"/>
                </w:tcPr>
                <w:p w14:paraId="68E3D70B">
                  <w:pPr>
                    <w:pStyle w:val="42"/>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18"/>
                      <w:sz w:val="21"/>
                      <w:szCs w:val="21"/>
                      <w:highlight w:val="none"/>
                      <w:u w:val="none" w:color="auto"/>
                    </w:rPr>
                    <w:t>固</w:t>
                  </w:r>
                  <w:r>
                    <w:rPr>
                      <w:rFonts w:hint="default" w:ascii="Times New Roman" w:hAnsi="Times New Roman" w:eastAsia="宋体" w:cs="Times New Roman"/>
                      <w:color w:val="auto"/>
                      <w:spacing w:val="-13"/>
                      <w:sz w:val="21"/>
                      <w:szCs w:val="21"/>
                      <w:highlight w:val="none"/>
                      <w:u w:val="none" w:color="auto"/>
                    </w:rPr>
                    <w:t>态</w:t>
                  </w:r>
                </w:p>
              </w:tc>
              <w:tc>
                <w:tcPr>
                  <w:tcW w:w="509" w:type="pct"/>
                  <w:tcBorders>
                    <w:tl2br w:val="nil"/>
                    <w:tr2bl w:val="nil"/>
                  </w:tcBorders>
                  <w:vAlign w:val="center"/>
                </w:tcPr>
                <w:p w14:paraId="2886FD68">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w:t>
                  </w:r>
                </w:p>
              </w:tc>
              <w:tc>
                <w:tcPr>
                  <w:tcW w:w="602" w:type="pct"/>
                  <w:tcBorders>
                    <w:tl2br w:val="nil"/>
                    <w:tr2bl w:val="nil"/>
                  </w:tcBorders>
                  <w:vAlign w:val="center"/>
                </w:tcPr>
                <w:p w14:paraId="1261645C">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0.75t</w:t>
                  </w:r>
                </w:p>
              </w:tc>
              <w:tc>
                <w:tcPr>
                  <w:tcW w:w="521" w:type="pct"/>
                  <w:tcBorders>
                    <w:tl2br w:val="nil"/>
                    <w:tr2bl w:val="nil"/>
                  </w:tcBorders>
                  <w:vAlign w:val="center"/>
                </w:tcPr>
                <w:p w14:paraId="20E57E76">
                  <w:pPr>
                    <w:pStyle w:val="42"/>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垃圾桶</w:t>
                  </w:r>
                </w:p>
              </w:tc>
              <w:tc>
                <w:tcPr>
                  <w:tcW w:w="708" w:type="pct"/>
                  <w:tcBorders>
                    <w:tl2br w:val="nil"/>
                    <w:tr2bl w:val="nil"/>
                  </w:tcBorders>
                  <w:vAlign w:val="center"/>
                </w:tcPr>
                <w:p w14:paraId="56E0890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交由环</w:t>
                  </w:r>
                  <w:r>
                    <w:rPr>
                      <w:rFonts w:hint="default" w:ascii="Times New Roman" w:hAnsi="Times New Roman" w:eastAsia="宋体" w:cs="Times New Roman"/>
                      <w:color w:val="auto"/>
                      <w:spacing w:val="6"/>
                      <w:sz w:val="21"/>
                      <w:szCs w:val="21"/>
                      <w:highlight w:val="none"/>
                      <w:u w:val="none" w:color="auto"/>
                    </w:rPr>
                    <w:t>卫部门</w:t>
                  </w:r>
                  <w:r>
                    <w:rPr>
                      <w:rFonts w:hint="default" w:ascii="Times New Roman" w:hAnsi="Times New Roman" w:eastAsia="宋体" w:cs="Times New Roman"/>
                      <w:color w:val="auto"/>
                      <w:spacing w:val="2"/>
                      <w:sz w:val="21"/>
                      <w:szCs w:val="21"/>
                      <w:highlight w:val="none"/>
                      <w:u w:val="none" w:color="auto"/>
                    </w:rPr>
                    <w:t>处理</w:t>
                  </w:r>
                </w:p>
              </w:tc>
            </w:tr>
            <w:tr w14:paraId="1F0E1C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565" w:type="pct"/>
                  <w:tcBorders>
                    <w:tl2br w:val="nil"/>
                    <w:tr2bl w:val="nil"/>
                  </w:tcBorders>
                  <w:vAlign w:val="center"/>
                </w:tcPr>
                <w:p w14:paraId="403EC9C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eastAsia" w:ascii="Times New Roman" w:hAnsi="Times New Roman" w:eastAsia="宋体" w:cs="Times New Roman"/>
                      <w:color w:val="auto"/>
                      <w:spacing w:val="2"/>
                      <w:kern w:val="2"/>
                      <w:sz w:val="21"/>
                      <w:szCs w:val="21"/>
                      <w:highlight w:val="none"/>
                      <w:u w:val="none" w:color="auto"/>
                      <w:lang w:val="en-US" w:eastAsia="zh-CN" w:bidi="ar-SA"/>
                    </w:rPr>
                    <w:t>拆卸瓶阀</w:t>
                  </w:r>
                </w:p>
              </w:tc>
              <w:tc>
                <w:tcPr>
                  <w:tcW w:w="329" w:type="pct"/>
                  <w:tcBorders>
                    <w:tl2br w:val="nil"/>
                    <w:tr2bl w:val="nil"/>
                  </w:tcBorders>
                  <w:vAlign w:val="center"/>
                </w:tcPr>
                <w:p w14:paraId="3308912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eastAsia" w:ascii="Times New Roman" w:hAnsi="Times New Roman" w:cs="Times New Roman"/>
                      <w:color w:val="auto"/>
                      <w:spacing w:val="2"/>
                      <w:kern w:val="2"/>
                      <w:sz w:val="21"/>
                      <w:szCs w:val="21"/>
                      <w:highlight w:val="none"/>
                      <w:u w:val="none" w:color="auto"/>
                      <w:lang w:val="en-US" w:eastAsia="zh-CN" w:bidi="ar-SA"/>
                    </w:rPr>
                    <w:t>废角阀</w:t>
                  </w:r>
                </w:p>
              </w:tc>
              <w:tc>
                <w:tcPr>
                  <w:tcW w:w="828" w:type="pct"/>
                  <w:tcBorders>
                    <w:tl2br w:val="nil"/>
                    <w:tr2bl w:val="nil"/>
                  </w:tcBorders>
                  <w:vAlign w:val="center"/>
                </w:tcPr>
                <w:p w14:paraId="1DF759C8">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eastAsia" w:ascii="Times New Roman" w:hAnsi="Times New Roman" w:eastAsia="宋体" w:cs="Times New Roman"/>
                      <w:color w:val="auto"/>
                      <w:spacing w:val="2"/>
                      <w:kern w:val="2"/>
                      <w:sz w:val="21"/>
                      <w:szCs w:val="21"/>
                      <w:highlight w:val="none"/>
                      <w:u w:val="none" w:color="auto"/>
                      <w:lang w:val="en-US" w:eastAsia="zh-CN" w:bidi="ar-SA"/>
                    </w:rPr>
                    <w:t>一般固废，900-999-99</w:t>
                  </w:r>
                </w:p>
              </w:tc>
              <w:tc>
                <w:tcPr>
                  <w:tcW w:w="515" w:type="pct"/>
                  <w:tcBorders>
                    <w:tl2br w:val="nil"/>
                    <w:tr2bl w:val="nil"/>
                  </w:tcBorders>
                  <w:vAlign w:val="center"/>
                </w:tcPr>
                <w:p w14:paraId="1E15D538">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default" w:ascii="Times New Roman" w:hAnsi="Times New Roman" w:eastAsia="宋体" w:cs="Times New Roman"/>
                      <w:color w:val="auto"/>
                      <w:spacing w:val="2"/>
                      <w:kern w:val="2"/>
                      <w:sz w:val="21"/>
                      <w:szCs w:val="21"/>
                      <w:highlight w:val="none"/>
                      <w:u w:val="none" w:color="auto"/>
                      <w:lang w:val="en-US" w:eastAsia="zh-CN" w:bidi="ar-SA"/>
                    </w:rPr>
                    <w:t>/</w:t>
                  </w:r>
                </w:p>
              </w:tc>
              <w:tc>
                <w:tcPr>
                  <w:tcW w:w="420" w:type="pct"/>
                  <w:tcBorders>
                    <w:tl2br w:val="nil"/>
                    <w:tr2bl w:val="nil"/>
                  </w:tcBorders>
                  <w:vAlign w:val="center"/>
                </w:tcPr>
                <w:p w14:paraId="3D6D093C">
                  <w:pPr>
                    <w:pStyle w:val="42"/>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default" w:ascii="Times New Roman" w:hAnsi="Times New Roman" w:eastAsia="宋体" w:cs="Times New Roman"/>
                      <w:color w:val="auto"/>
                      <w:spacing w:val="2"/>
                      <w:kern w:val="2"/>
                      <w:sz w:val="21"/>
                      <w:szCs w:val="21"/>
                      <w:highlight w:val="none"/>
                      <w:u w:val="none" w:color="auto"/>
                      <w:lang w:val="en-US" w:eastAsia="zh-CN" w:bidi="ar-SA"/>
                    </w:rPr>
                    <w:t>固态</w:t>
                  </w:r>
                </w:p>
              </w:tc>
              <w:tc>
                <w:tcPr>
                  <w:tcW w:w="509" w:type="pct"/>
                  <w:tcBorders>
                    <w:tl2br w:val="nil"/>
                    <w:tr2bl w:val="nil"/>
                  </w:tcBorders>
                  <w:vAlign w:val="center"/>
                </w:tcPr>
                <w:p w14:paraId="157F281B">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default" w:ascii="Times New Roman" w:hAnsi="Times New Roman" w:eastAsia="宋体" w:cs="Times New Roman"/>
                      <w:color w:val="auto"/>
                      <w:spacing w:val="2"/>
                      <w:kern w:val="2"/>
                      <w:sz w:val="21"/>
                      <w:szCs w:val="21"/>
                      <w:highlight w:val="none"/>
                      <w:u w:val="none" w:color="auto"/>
                      <w:lang w:val="en-US" w:eastAsia="zh-CN" w:bidi="ar-SA"/>
                    </w:rPr>
                    <w:t>/</w:t>
                  </w:r>
                </w:p>
              </w:tc>
              <w:tc>
                <w:tcPr>
                  <w:tcW w:w="602" w:type="pct"/>
                  <w:tcBorders>
                    <w:tl2br w:val="nil"/>
                    <w:tr2bl w:val="nil"/>
                  </w:tcBorders>
                  <w:vAlign w:val="center"/>
                </w:tcPr>
                <w:p w14:paraId="0CD77389">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kern w:val="2"/>
                      <w:sz w:val="21"/>
                      <w:szCs w:val="21"/>
                      <w:highlight w:val="none"/>
                      <w:u w:val="none" w:color="auto"/>
                      <w:lang w:val="en-US" w:eastAsia="zh-CN" w:bidi="ar-SA"/>
                    </w:rPr>
                  </w:pPr>
                  <w:r>
                    <w:rPr>
                      <w:rFonts w:hint="eastAsia" w:ascii="Times New Roman" w:hAnsi="Times New Roman" w:eastAsia="宋体" w:cs="Times New Roman"/>
                      <w:color w:val="auto"/>
                      <w:spacing w:val="2"/>
                      <w:kern w:val="2"/>
                      <w:sz w:val="21"/>
                      <w:szCs w:val="21"/>
                      <w:highlight w:val="none"/>
                      <w:u w:val="none" w:color="auto"/>
                      <w:lang w:val="en-US" w:eastAsia="zh-CN" w:bidi="ar-SA"/>
                    </w:rPr>
                    <w:t>12万只/a</w:t>
                  </w:r>
                </w:p>
              </w:tc>
              <w:tc>
                <w:tcPr>
                  <w:tcW w:w="1229" w:type="pct"/>
                  <w:gridSpan w:val="2"/>
                  <w:tcBorders>
                    <w:tl2br w:val="nil"/>
                    <w:tr2bl w:val="nil"/>
                  </w:tcBorders>
                  <w:vAlign w:val="center"/>
                </w:tcPr>
                <w:p w14:paraId="1E58391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2"/>
                      <w:kern w:val="2"/>
                      <w:sz w:val="21"/>
                      <w:szCs w:val="21"/>
                      <w:highlight w:val="none"/>
                      <w:u w:val="none" w:color="auto"/>
                      <w:lang w:val="en-US" w:eastAsia="zh-CN" w:bidi="ar-SA"/>
                    </w:rPr>
                  </w:pPr>
                  <w:r>
                    <w:rPr>
                      <w:rFonts w:hint="eastAsia" w:ascii="Times New Roman" w:hAnsi="Times New Roman" w:eastAsia="宋体" w:cs="Times New Roman"/>
                      <w:color w:val="auto"/>
                      <w:spacing w:val="2"/>
                      <w:kern w:val="2"/>
                      <w:sz w:val="21"/>
                      <w:szCs w:val="21"/>
                      <w:highlight w:val="none"/>
                      <w:u w:val="none" w:color="auto"/>
                      <w:lang w:val="en-US" w:eastAsia="zh-CN" w:bidi="ar-SA"/>
                    </w:rPr>
                    <w:t>交由特定的回收厂家回收</w:t>
                  </w:r>
                </w:p>
              </w:tc>
            </w:tr>
            <w:tr w14:paraId="6732B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565" w:type="pct"/>
                  <w:tcBorders>
                    <w:tl2br w:val="nil"/>
                    <w:tr2bl w:val="nil"/>
                  </w:tcBorders>
                  <w:vAlign w:val="center"/>
                </w:tcPr>
                <w:p w14:paraId="600F1FB4">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水膜除尘</w:t>
                  </w:r>
                </w:p>
              </w:tc>
              <w:tc>
                <w:tcPr>
                  <w:tcW w:w="329" w:type="pct"/>
                  <w:tcBorders>
                    <w:tl2br w:val="nil"/>
                    <w:tr2bl w:val="nil"/>
                  </w:tcBorders>
                  <w:vAlign w:val="center"/>
                </w:tcPr>
                <w:p w14:paraId="255BB806">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水膜除尘湿渣</w:t>
                  </w:r>
                </w:p>
              </w:tc>
              <w:tc>
                <w:tcPr>
                  <w:tcW w:w="828" w:type="pct"/>
                  <w:tcBorders>
                    <w:tl2br w:val="nil"/>
                    <w:tr2bl w:val="nil"/>
                  </w:tcBorders>
                  <w:vAlign w:val="center"/>
                </w:tcPr>
                <w:p w14:paraId="1EF18E0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一般固废，432-001-02</w:t>
                  </w:r>
                </w:p>
              </w:tc>
              <w:tc>
                <w:tcPr>
                  <w:tcW w:w="515" w:type="pct"/>
                  <w:tcBorders>
                    <w:tl2br w:val="nil"/>
                    <w:tr2bl w:val="nil"/>
                  </w:tcBorders>
                  <w:vAlign w:val="center"/>
                </w:tcPr>
                <w:p w14:paraId="0287F115">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w:t>
                  </w:r>
                </w:p>
              </w:tc>
              <w:tc>
                <w:tcPr>
                  <w:tcW w:w="420" w:type="pct"/>
                  <w:tcBorders>
                    <w:tl2br w:val="nil"/>
                    <w:tr2bl w:val="nil"/>
                  </w:tcBorders>
                  <w:vAlign w:val="center"/>
                </w:tcPr>
                <w:p w14:paraId="15B21022">
                  <w:pPr>
                    <w:pStyle w:val="42"/>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eastAsia="宋体" w:cs="Times New Roman"/>
                      <w:color w:val="auto"/>
                      <w:spacing w:val="-18"/>
                      <w:sz w:val="21"/>
                      <w:szCs w:val="21"/>
                      <w:highlight w:val="none"/>
                      <w:u w:val="none" w:color="auto"/>
                    </w:rPr>
                  </w:pPr>
                  <w:r>
                    <w:rPr>
                      <w:rFonts w:hint="default" w:ascii="Times New Roman" w:hAnsi="Times New Roman" w:eastAsia="宋体" w:cs="Times New Roman"/>
                      <w:color w:val="auto"/>
                      <w:spacing w:val="-18"/>
                      <w:sz w:val="21"/>
                      <w:szCs w:val="21"/>
                      <w:highlight w:val="none"/>
                      <w:u w:val="none" w:color="auto"/>
                    </w:rPr>
                    <w:t>固</w:t>
                  </w:r>
                  <w:r>
                    <w:rPr>
                      <w:rFonts w:hint="default" w:ascii="Times New Roman" w:hAnsi="Times New Roman" w:eastAsia="宋体" w:cs="Times New Roman"/>
                      <w:color w:val="auto"/>
                      <w:spacing w:val="-13"/>
                      <w:sz w:val="21"/>
                      <w:szCs w:val="21"/>
                      <w:highlight w:val="none"/>
                      <w:u w:val="none" w:color="auto"/>
                    </w:rPr>
                    <w:t>态</w:t>
                  </w:r>
                </w:p>
              </w:tc>
              <w:tc>
                <w:tcPr>
                  <w:tcW w:w="509" w:type="pct"/>
                  <w:tcBorders>
                    <w:tl2br w:val="nil"/>
                    <w:tr2bl w:val="nil"/>
                  </w:tcBorders>
                  <w:vAlign w:val="center"/>
                </w:tcPr>
                <w:p w14:paraId="6AA4B34D">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2"/>
                      <w:sz w:val="21"/>
                      <w:szCs w:val="21"/>
                      <w:highlight w:val="none"/>
                      <w:u w:val="none" w:color="auto"/>
                    </w:rPr>
                    <w:t>/</w:t>
                  </w:r>
                </w:p>
              </w:tc>
              <w:tc>
                <w:tcPr>
                  <w:tcW w:w="602" w:type="pct"/>
                  <w:tcBorders>
                    <w:tl2br w:val="nil"/>
                    <w:tr2bl w:val="nil"/>
                  </w:tcBorders>
                  <w:vAlign w:val="center"/>
                </w:tcPr>
                <w:p w14:paraId="27D985C9">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eastAsia"/>
                      <w:highlight w:val="none"/>
                      <w:u w:val="none" w:color="auto"/>
                      <w:lang w:val="en-US" w:eastAsia="zh-CN"/>
                    </w:rPr>
                  </w:pPr>
                  <w:r>
                    <w:rPr>
                      <w:highlight w:val="none"/>
                      <w:u w:val="none" w:color="auto"/>
                    </w:rPr>
                    <w:t>3.81</w:t>
                  </w:r>
                </w:p>
              </w:tc>
              <w:tc>
                <w:tcPr>
                  <w:tcW w:w="1229" w:type="pct"/>
                  <w:gridSpan w:val="2"/>
                  <w:tcBorders>
                    <w:tl2br w:val="nil"/>
                    <w:tr2bl w:val="nil"/>
                  </w:tcBorders>
                  <w:vAlign w:val="center"/>
                </w:tcPr>
                <w:p w14:paraId="1354E053">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eastAsia" w:ascii="Times New Roman" w:hAnsi="Times New Roman" w:cs="Times New Roman"/>
                      <w:color w:val="auto"/>
                      <w:spacing w:val="5"/>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作为建筑材料综合利用（如制砖）</w:t>
                  </w:r>
                </w:p>
              </w:tc>
            </w:tr>
            <w:tr w14:paraId="6714F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65" w:type="pct"/>
                  <w:vMerge w:val="restart"/>
                  <w:tcBorders>
                    <w:tl2br w:val="nil"/>
                    <w:tr2bl w:val="nil"/>
                  </w:tcBorders>
                  <w:vAlign w:val="center"/>
                </w:tcPr>
                <w:p w14:paraId="69CAA0E3">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拆卸；维修</w:t>
                  </w:r>
                </w:p>
              </w:tc>
              <w:tc>
                <w:tcPr>
                  <w:tcW w:w="329" w:type="pct"/>
                  <w:tcBorders>
                    <w:tl2br w:val="nil"/>
                    <w:tr2bl w:val="nil"/>
                  </w:tcBorders>
                  <w:vAlign w:val="center"/>
                </w:tcPr>
                <w:p w14:paraId="2B82E86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废机油</w:t>
                  </w:r>
                </w:p>
              </w:tc>
              <w:tc>
                <w:tcPr>
                  <w:tcW w:w="828" w:type="pct"/>
                  <w:tcBorders>
                    <w:tl2br w:val="nil"/>
                    <w:tr2bl w:val="nil"/>
                  </w:tcBorders>
                  <w:vAlign w:val="center"/>
                </w:tcPr>
                <w:p w14:paraId="1855012B">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危险废物，HW08，900-214-08</w:t>
                  </w:r>
                </w:p>
              </w:tc>
              <w:tc>
                <w:tcPr>
                  <w:tcW w:w="515" w:type="pct"/>
                  <w:tcBorders>
                    <w:tl2br w:val="nil"/>
                    <w:tr2bl w:val="nil"/>
                  </w:tcBorders>
                  <w:vAlign w:val="center"/>
                </w:tcPr>
                <w:p w14:paraId="364EAB6C">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废矿</w:t>
                  </w:r>
                </w:p>
                <w:p w14:paraId="36224112">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物</w:t>
                  </w:r>
                  <w:r>
                    <w:rPr>
                      <w:rFonts w:hint="default" w:ascii="Times New Roman" w:hAnsi="Times New Roman" w:eastAsia="宋体" w:cs="Times New Roman"/>
                      <w:color w:val="auto"/>
                      <w:sz w:val="21"/>
                      <w:szCs w:val="21"/>
                      <w:highlight w:val="none"/>
                      <w:u w:val="none" w:color="auto"/>
                    </w:rPr>
                    <w:t>油</w:t>
                  </w:r>
                </w:p>
              </w:tc>
              <w:tc>
                <w:tcPr>
                  <w:tcW w:w="420" w:type="pct"/>
                  <w:tcBorders>
                    <w:tl2br w:val="nil"/>
                    <w:tr2bl w:val="nil"/>
                  </w:tcBorders>
                  <w:vAlign w:val="center"/>
                </w:tcPr>
                <w:p w14:paraId="0D2C2802">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液态</w:t>
                  </w:r>
                </w:p>
              </w:tc>
              <w:tc>
                <w:tcPr>
                  <w:tcW w:w="509" w:type="pct"/>
                  <w:tcBorders>
                    <w:tl2br w:val="nil"/>
                    <w:tr2bl w:val="nil"/>
                  </w:tcBorders>
                  <w:vAlign w:val="center"/>
                </w:tcPr>
                <w:p w14:paraId="58BBF688">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1"/>
                      <w:sz w:val="21"/>
                      <w:szCs w:val="21"/>
                      <w:highlight w:val="none"/>
                      <w:u w:val="none" w:color="auto"/>
                    </w:rPr>
                    <w:t>T</w:t>
                  </w:r>
                  <w:r>
                    <w:rPr>
                      <w:rFonts w:hint="eastAsia" w:cs="Times New Roman"/>
                      <w:color w:val="auto"/>
                      <w:spacing w:val="1"/>
                      <w:sz w:val="21"/>
                      <w:szCs w:val="21"/>
                      <w:highlight w:val="none"/>
                      <w:u w:val="none" w:color="auto"/>
                      <w:lang w:eastAsia="zh-CN"/>
                    </w:rPr>
                    <w:t>，</w:t>
                  </w:r>
                  <w:r>
                    <w:rPr>
                      <w:rFonts w:hint="default" w:ascii="Times New Roman" w:hAnsi="Times New Roman" w:eastAsia="宋体" w:cs="Times New Roman"/>
                      <w:color w:val="auto"/>
                      <w:spacing w:val="1"/>
                      <w:sz w:val="21"/>
                      <w:szCs w:val="21"/>
                      <w:highlight w:val="none"/>
                      <w:u w:val="none" w:color="auto"/>
                    </w:rPr>
                    <w:t>I</w:t>
                  </w:r>
                </w:p>
              </w:tc>
              <w:tc>
                <w:tcPr>
                  <w:tcW w:w="602" w:type="pct"/>
                  <w:tcBorders>
                    <w:tl2br w:val="nil"/>
                    <w:tr2bl w:val="nil"/>
                  </w:tcBorders>
                  <w:vAlign w:val="center"/>
                </w:tcPr>
                <w:p w14:paraId="11B5BD39">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default" w:ascii="Times New Roman" w:hAnsi="Times New Roman" w:eastAsia="宋体" w:cs="Times New Roman"/>
                      <w:color w:val="auto"/>
                      <w:spacing w:val="1"/>
                      <w:sz w:val="21"/>
                      <w:szCs w:val="21"/>
                      <w:highlight w:val="none"/>
                      <w:u w:val="none" w:color="auto"/>
                    </w:rPr>
                    <w:t>0.</w:t>
                  </w:r>
                  <w:r>
                    <w:rPr>
                      <w:rFonts w:hint="default" w:ascii="Times New Roman" w:hAnsi="Times New Roman" w:eastAsia="宋体" w:cs="Times New Roman"/>
                      <w:color w:val="auto"/>
                      <w:spacing w:val="1"/>
                      <w:sz w:val="21"/>
                      <w:szCs w:val="21"/>
                      <w:highlight w:val="none"/>
                      <w:u w:val="none" w:color="auto"/>
                      <w:lang w:val="en-US" w:eastAsia="zh-CN"/>
                    </w:rPr>
                    <w:t>2</w:t>
                  </w:r>
                  <w:r>
                    <w:rPr>
                      <w:rFonts w:hint="eastAsia" w:cs="Times New Roman"/>
                      <w:color w:val="auto"/>
                      <w:spacing w:val="1"/>
                      <w:sz w:val="21"/>
                      <w:szCs w:val="21"/>
                      <w:highlight w:val="none"/>
                      <w:u w:val="none" w:color="auto"/>
                      <w:lang w:val="en-US" w:eastAsia="zh-CN"/>
                    </w:rPr>
                    <w:t>t</w:t>
                  </w:r>
                </w:p>
              </w:tc>
              <w:tc>
                <w:tcPr>
                  <w:tcW w:w="1229" w:type="pct"/>
                  <w:gridSpan w:val="2"/>
                  <w:vMerge w:val="restart"/>
                  <w:tcBorders>
                    <w:tl2br w:val="nil"/>
                    <w:tr2bl w:val="nil"/>
                  </w:tcBorders>
                  <w:vAlign w:val="center"/>
                </w:tcPr>
                <w:p w14:paraId="246471EB">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危废间暂存，交由有资质单位处理</w:t>
                  </w:r>
                </w:p>
              </w:tc>
            </w:tr>
            <w:tr w14:paraId="5F40B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65" w:type="pct"/>
                  <w:vMerge w:val="continue"/>
                  <w:tcBorders>
                    <w:tl2br w:val="nil"/>
                    <w:tr2bl w:val="nil"/>
                  </w:tcBorders>
                  <w:vAlign w:val="center"/>
                </w:tcPr>
                <w:p w14:paraId="61B3861A">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z w:val="21"/>
                      <w:szCs w:val="21"/>
                      <w:highlight w:val="none"/>
                      <w:u w:val="none" w:color="auto"/>
                      <w:lang w:val="en-US" w:eastAsia="zh-CN"/>
                    </w:rPr>
                  </w:pPr>
                </w:p>
              </w:tc>
              <w:tc>
                <w:tcPr>
                  <w:tcW w:w="329" w:type="pct"/>
                  <w:tcBorders>
                    <w:tl2br w:val="nil"/>
                    <w:tr2bl w:val="nil"/>
                  </w:tcBorders>
                  <w:vAlign w:val="center"/>
                </w:tcPr>
                <w:p w14:paraId="2CE0D78B">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废机油桶</w:t>
                  </w:r>
                </w:p>
              </w:tc>
              <w:tc>
                <w:tcPr>
                  <w:tcW w:w="828" w:type="pct"/>
                  <w:tcBorders>
                    <w:tl2br w:val="nil"/>
                    <w:tr2bl w:val="nil"/>
                  </w:tcBorders>
                  <w:vAlign w:val="center"/>
                </w:tcPr>
                <w:p w14:paraId="77631A77">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危险废物，HW</w:t>
                  </w:r>
                  <w:r>
                    <w:rPr>
                      <w:rFonts w:hint="eastAsia" w:ascii="Times New Roman" w:hAnsi="Times New Roman" w:eastAsia="宋体" w:cs="Times New Roman"/>
                      <w:color w:val="auto"/>
                      <w:sz w:val="21"/>
                      <w:szCs w:val="21"/>
                      <w:highlight w:val="none"/>
                      <w:u w:val="none" w:color="auto"/>
                      <w:lang w:val="en-US" w:eastAsia="zh-CN"/>
                    </w:rPr>
                    <w:t>49</w:t>
                  </w: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900-249-08</w:t>
                  </w:r>
                </w:p>
              </w:tc>
              <w:tc>
                <w:tcPr>
                  <w:tcW w:w="515" w:type="pct"/>
                  <w:tcBorders>
                    <w:tl2br w:val="nil"/>
                    <w:tr2bl w:val="nil"/>
                  </w:tcBorders>
                  <w:vAlign w:val="center"/>
                </w:tcPr>
                <w:p w14:paraId="5B3F7D22">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废机油桶</w:t>
                  </w:r>
                </w:p>
              </w:tc>
              <w:tc>
                <w:tcPr>
                  <w:tcW w:w="420" w:type="pct"/>
                  <w:tcBorders>
                    <w:tl2br w:val="nil"/>
                    <w:tr2bl w:val="nil"/>
                  </w:tcBorders>
                  <w:vAlign w:val="center"/>
                </w:tcPr>
                <w:p w14:paraId="0BE1BAE4">
                  <w:pPr>
                    <w:pStyle w:val="42"/>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8"/>
                      <w:sz w:val="21"/>
                      <w:szCs w:val="21"/>
                      <w:highlight w:val="none"/>
                      <w:u w:val="none" w:color="auto"/>
                    </w:rPr>
                  </w:pPr>
                  <w:r>
                    <w:rPr>
                      <w:rFonts w:hint="eastAsia" w:ascii="Times New Roman" w:hAnsi="Times New Roman" w:cs="Times New Roman"/>
                      <w:color w:val="auto"/>
                      <w:spacing w:val="8"/>
                      <w:sz w:val="21"/>
                      <w:szCs w:val="21"/>
                      <w:highlight w:val="none"/>
                      <w:u w:val="none" w:color="auto"/>
                      <w:lang w:val="en-US" w:eastAsia="zh-CN"/>
                    </w:rPr>
                    <w:t>固态</w:t>
                  </w:r>
                </w:p>
              </w:tc>
              <w:tc>
                <w:tcPr>
                  <w:tcW w:w="509" w:type="pct"/>
                  <w:tcBorders>
                    <w:tl2br w:val="nil"/>
                    <w:tr2bl w:val="nil"/>
                  </w:tcBorders>
                  <w:vAlign w:val="center"/>
                </w:tcPr>
                <w:p w14:paraId="76521E48">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u w:val="none" w:color="auto"/>
                    </w:rPr>
                  </w:pPr>
                  <w:r>
                    <w:rPr>
                      <w:rFonts w:hint="eastAsia" w:cs="Times New Roman"/>
                      <w:color w:val="auto"/>
                      <w:spacing w:val="1"/>
                      <w:sz w:val="21"/>
                      <w:szCs w:val="21"/>
                      <w:highlight w:val="none"/>
                      <w:u w:val="none" w:color="auto"/>
                      <w:lang w:val="en-US" w:eastAsia="zh-CN"/>
                    </w:rPr>
                    <w:t>T/In</w:t>
                  </w:r>
                </w:p>
              </w:tc>
              <w:tc>
                <w:tcPr>
                  <w:tcW w:w="602" w:type="pct"/>
                  <w:tcBorders>
                    <w:tl2br w:val="nil"/>
                    <w:tr2bl w:val="nil"/>
                  </w:tcBorders>
                  <w:vAlign w:val="center"/>
                </w:tcPr>
                <w:p w14:paraId="0B1C6B3D">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pacing w:val="1"/>
                      <w:sz w:val="21"/>
                      <w:szCs w:val="21"/>
                      <w:highlight w:val="none"/>
                      <w:u w:val="none" w:color="auto"/>
                      <w:lang w:val="en-US" w:eastAsia="zh-CN"/>
                    </w:rPr>
                    <w:t>0.05t</w:t>
                  </w:r>
                </w:p>
              </w:tc>
              <w:tc>
                <w:tcPr>
                  <w:tcW w:w="1229" w:type="pct"/>
                  <w:gridSpan w:val="2"/>
                  <w:vMerge w:val="continue"/>
                  <w:tcBorders>
                    <w:tl2br w:val="nil"/>
                    <w:tr2bl w:val="nil"/>
                  </w:tcBorders>
                  <w:vAlign w:val="center"/>
                </w:tcPr>
                <w:p w14:paraId="32630EE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5"/>
                      <w:sz w:val="21"/>
                      <w:szCs w:val="21"/>
                      <w:highlight w:val="none"/>
                      <w:u w:val="none" w:color="auto"/>
                    </w:rPr>
                  </w:pPr>
                </w:p>
              </w:tc>
            </w:tr>
          </w:tbl>
          <w:p w14:paraId="11C2AB8C">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rPr>
            </w:pPr>
            <w:r>
              <w:rPr>
                <w:rFonts w:hint="default"/>
                <w:color w:val="auto"/>
                <w:highlight w:val="none"/>
                <w:u w:val="none" w:color="auto"/>
              </w:rPr>
              <w:t>经过上述措施治理后，项目产生的固体废物对周边环境影响较小。</w:t>
            </w:r>
          </w:p>
          <w:p w14:paraId="069E67D8">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szCs w:val="24"/>
                <w:highlight w:val="none"/>
                <w:u w:val="none" w:color="auto"/>
              </w:rPr>
            </w:pPr>
            <w:r>
              <w:rPr>
                <w:rFonts w:hint="default" w:ascii="Times New Roman" w:hAnsi="Times New Roman" w:cs="Times New Roman"/>
                <w:b/>
                <w:bCs/>
                <w:color w:val="auto"/>
                <w:highlight w:val="none"/>
                <w:u w:val="none" w:color="auto"/>
                <w:lang w:val="en-US" w:eastAsia="zh-CN"/>
              </w:rPr>
              <w:t>危废暂存间：</w:t>
            </w:r>
          </w:p>
          <w:p w14:paraId="347FA4FB">
            <w:pPr>
              <w:keepNext w:val="0"/>
              <w:keepLines w:val="0"/>
              <w:pageBreakBefore w:val="0"/>
              <w:widowControl/>
              <w:kinsoku/>
              <w:wordWrap w:val="0"/>
              <w:overflowPunct/>
              <w:topLinePunct/>
              <w:autoSpaceDE/>
              <w:autoSpaceDN/>
              <w:bidi w:val="0"/>
              <w:adjustRightInd/>
              <w:snapToGrid/>
              <w:spacing w:line="360" w:lineRule="auto"/>
              <w:ind w:firstLine="480" w:firstLineChars="200"/>
              <w:rPr>
                <w:color w:val="auto"/>
                <w:highlight w:val="none"/>
                <w:u w:val="none" w:color="auto"/>
              </w:rPr>
            </w:pPr>
            <w:r>
              <w:rPr>
                <w:rFonts w:hint="default" w:ascii="Times New Roman" w:hAnsi="Times New Roman" w:cs="Times New Roman"/>
                <w:color w:val="auto"/>
                <w:sz w:val="24"/>
                <w:highlight w:val="none"/>
                <w:u w:val="none" w:color="auto"/>
                <w:lang w:val="en-US" w:eastAsia="zh-CN"/>
              </w:rPr>
              <w:t>本项目拟</w:t>
            </w:r>
            <w:r>
              <w:rPr>
                <w:rFonts w:hint="eastAsia" w:ascii="Times New Roman" w:hAnsi="Times New Roman" w:cs="Times New Roman"/>
                <w:color w:val="auto"/>
                <w:sz w:val="24"/>
                <w:highlight w:val="none"/>
                <w:u w:val="none" w:color="auto"/>
                <w:lang w:val="en-US" w:eastAsia="zh-CN"/>
              </w:rPr>
              <w:t>设置</w:t>
            </w:r>
            <w:r>
              <w:rPr>
                <w:rFonts w:hint="default" w:ascii="Times New Roman" w:hAnsi="Times New Roman" w:cs="Times New Roman"/>
                <w:color w:val="auto"/>
                <w:sz w:val="24"/>
                <w:highlight w:val="none"/>
                <w:u w:val="none" w:color="auto"/>
              </w:rPr>
              <w:t>一</w:t>
            </w:r>
            <w:r>
              <w:rPr>
                <w:rFonts w:hint="eastAsia" w:cs="Times New Roman"/>
                <w:color w:val="auto"/>
                <w:sz w:val="24"/>
                <w:highlight w:val="none"/>
                <w:u w:val="none" w:color="auto"/>
                <w:lang w:val="en-US" w:eastAsia="zh-CN"/>
              </w:rPr>
              <w:t>间</w:t>
            </w:r>
            <w:r>
              <w:rPr>
                <w:rFonts w:hint="default" w:ascii="Times New Roman" w:hAnsi="Times New Roman" w:cs="Times New Roman"/>
                <w:color w:val="auto"/>
                <w:sz w:val="24"/>
                <w:highlight w:val="none"/>
                <w:u w:val="none" w:color="auto"/>
              </w:rPr>
              <w:t>占地面积</w:t>
            </w:r>
            <w:r>
              <w:rPr>
                <w:rFonts w:hint="eastAsia" w:cs="Times New Roman"/>
                <w:color w:val="auto"/>
                <w:sz w:val="24"/>
                <w:highlight w:val="none"/>
                <w:u w:val="none" w:color="auto"/>
                <w:lang w:val="en-US" w:eastAsia="zh-CN"/>
              </w:rPr>
              <w:t>5</w:t>
            </w:r>
            <w:r>
              <w:rPr>
                <w:rFonts w:hint="default" w:ascii="Times New Roman" w:hAnsi="Times New Roman" w:cs="Times New Roman"/>
                <w:color w:val="auto"/>
                <w:sz w:val="24"/>
                <w:highlight w:val="none"/>
                <w:u w:val="none" w:color="auto"/>
                <w:lang w:val="en-US" w:eastAsia="zh-CN"/>
              </w:rPr>
              <w:t>m</w:t>
            </w:r>
            <w:r>
              <w:rPr>
                <w:rFonts w:hint="default" w:ascii="Times New Roman" w:hAnsi="Times New Roman" w:cs="Times New Roman"/>
                <w:color w:val="auto"/>
                <w:sz w:val="24"/>
                <w:highlight w:val="none"/>
                <w:u w:val="none" w:color="auto"/>
                <w:vertAlign w:val="superscript"/>
                <w:lang w:val="en-US" w:eastAsia="zh-CN"/>
              </w:rPr>
              <w:t>2</w:t>
            </w:r>
            <w:r>
              <w:rPr>
                <w:rFonts w:hint="default" w:ascii="Times New Roman" w:hAnsi="Times New Roman" w:cs="Times New Roman"/>
                <w:color w:val="auto"/>
                <w:sz w:val="24"/>
                <w:highlight w:val="none"/>
                <w:u w:val="none" w:color="auto"/>
              </w:rPr>
              <w:t>的危险废物暂存</w:t>
            </w:r>
            <w:r>
              <w:rPr>
                <w:rFonts w:hint="default" w:ascii="Times New Roman" w:hAnsi="Times New Roman" w:cs="Times New Roman"/>
                <w:color w:val="auto"/>
                <w:sz w:val="24"/>
                <w:highlight w:val="none"/>
                <w:u w:val="none" w:color="auto"/>
                <w:lang w:val="en-US" w:eastAsia="zh-CN"/>
              </w:rPr>
              <w:t>间</w:t>
            </w:r>
            <w:r>
              <w:rPr>
                <w:rFonts w:hint="default" w:ascii="Times New Roman" w:hAnsi="Times New Roman" w:cs="Times New Roman"/>
                <w:color w:val="auto"/>
                <w:sz w:val="24"/>
                <w:highlight w:val="none"/>
                <w:u w:val="none" w:color="auto"/>
              </w:rPr>
              <w:t>，</w:t>
            </w:r>
            <w:r>
              <w:rPr>
                <w:rFonts w:hint="default" w:ascii="Times New Roman" w:hAnsi="Times New Roman" w:cs="Times New Roman"/>
                <w:color w:val="auto"/>
                <w:sz w:val="24"/>
                <w:highlight w:val="none"/>
                <w:u w:val="none" w:color="auto"/>
                <w:lang w:val="en-US" w:eastAsia="zh-CN"/>
              </w:rPr>
              <w:t>位于</w:t>
            </w:r>
            <w:r>
              <w:rPr>
                <w:rFonts w:hint="eastAsia" w:ascii="Times New Roman" w:hAnsi="Times New Roman" w:cs="Times New Roman"/>
                <w:color w:val="auto"/>
                <w:sz w:val="24"/>
                <w:highlight w:val="none"/>
                <w:u w:val="none" w:color="auto"/>
                <w:lang w:val="en-US" w:eastAsia="zh-CN"/>
              </w:rPr>
              <w:t>厂区</w:t>
            </w:r>
            <w:r>
              <w:rPr>
                <w:rFonts w:hint="eastAsia" w:cs="Times New Roman"/>
                <w:color w:val="auto"/>
                <w:sz w:val="24"/>
                <w:highlight w:val="none"/>
                <w:u w:val="none" w:color="auto"/>
                <w:lang w:val="en-US" w:eastAsia="zh-CN"/>
              </w:rPr>
              <w:t>北侧</w:t>
            </w:r>
            <w:r>
              <w:rPr>
                <w:rFonts w:hint="default" w:ascii="Times New Roman" w:hAnsi="Times New Roman" w:cs="Times New Roman"/>
                <w:color w:val="auto"/>
                <w:sz w:val="24"/>
                <w:highlight w:val="none"/>
                <w:u w:val="none" w:color="auto"/>
                <w:lang w:val="en-US" w:eastAsia="zh-CN"/>
              </w:rPr>
              <w:t>，</w:t>
            </w:r>
            <w:r>
              <w:rPr>
                <w:rFonts w:hint="eastAsia" w:ascii="Times New Roman" w:hAnsi="Times New Roman" w:cs="Times New Roman"/>
                <w:color w:val="auto"/>
                <w:sz w:val="24"/>
                <w:highlight w:val="none"/>
                <w:u w:val="none" w:color="auto"/>
                <w:lang w:val="en-US" w:eastAsia="zh-CN"/>
              </w:rPr>
              <w:t>根据国家危险废物的法规要求，危险废物暂存点均采取防渗措施，危险废物其贮存设施和管理应满足《危险废物贮存污染控制标准》（</w:t>
            </w:r>
            <w:r>
              <w:rPr>
                <w:rFonts w:hint="default" w:ascii="Times New Roman" w:hAnsi="Times New Roman" w:cs="Times New Roman"/>
                <w:color w:val="auto"/>
                <w:sz w:val="24"/>
                <w:highlight w:val="none"/>
                <w:u w:val="none" w:color="auto"/>
                <w:lang w:val="en-US" w:eastAsia="zh-CN"/>
              </w:rPr>
              <w:t>GB18597-2023</w:t>
            </w:r>
            <w:r>
              <w:rPr>
                <w:rFonts w:hint="eastAsia" w:ascii="Times New Roman" w:hAnsi="Times New Roman" w:cs="Times New Roman"/>
                <w:color w:val="auto"/>
                <w:sz w:val="24"/>
                <w:highlight w:val="none"/>
                <w:u w:val="none" w:color="auto"/>
                <w:lang w:val="en-US" w:eastAsia="zh-CN"/>
              </w:rPr>
              <w:t>）的要求，具体如下：</w:t>
            </w:r>
          </w:p>
          <w:p w14:paraId="27959857">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宋体" w:hAnsi="宋体" w:eastAsia="宋体" w:cs="宋体"/>
                <w:color w:val="auto"/>
                <w:kern w:val="0"/>
                <w:sz w:val="24"/>
                <w:szCs w:val="24"/>
                <w:highlight w:val="none"/>
                <w:u w:val="none" w:color="auto"/>
                <w:lang w:val="en-US" w:eastAsia="zh-CN" w:bidi="ar"/>
              </w:rPr>
              <w:t>（</w:t>
            </w:r>
            <w:r>
              <w:rPr>
                <w:rFonts w:hint="eastAsia" w:ascii="Times New Roman" w:hAnsi="Times New Roman" w:cs="Times New Roman"/>
                <w:color w:val="auto"/>
                <w:kern w:val="2"/>
                <w:sz w:val="24"/>
                <w:szCs w:val="24"/>
                <w:highlight w:val="none"/>
                <w:u w:val="none" w:color="auto"/>
                <w:shd w:val="clear" w:color="auto" w:fill="auto"/>
                <w:lang w:val="en-US" w:eastAsia="zh-CN" w:bidi="en-US"/>
              </w:rPr>
              <w:t>1</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）贮存设施</w:t>
            </w:r>
          </w:p>
          <w:p w14:paraId="48A8E708">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①贮存设施应根据危险废物的形态、物理化学性质、包装形式和污染物迁移途径，采取必要的防风、防晒、防雨、防漏、防渗、防腐以及其他环境污染防治措施，不应露天堆放危险废物。</w:t>
            </w:r>
          </w:p>
          <w:p w14:paraId="2910CDE3">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②贮存设施应根据危险废物的类别、数量、形态、物理化学性质和污染防治等要求设置必要的贮存分区，避免不相容的危险废物接触、混合。</w:t>
            </w:r>
          </w:p>
          <w:p w14:paraId="0DF5A2BE">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③贮存设施或贮存分区内地面、墙面裙脚、堵截泄漏的围堰、接触危险废物的隔板和墙体等应采用坚固的材料建造，表面无裂缝。</w:t>
            </w:r>
          </w:p>
          <w:p w14:paraId="4D9E5FCF">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1m</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厚黏土层（渗透系数不大于</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10</w:t>
            </w:r>
            <w:r>
              <w:rPr>
                <w:rFonts w:hint="default" w:ascii="Times New Roman" w:hAnsi="Times New Roman" w:eastAsia="宋体" w:cs="Times New Roman"/>
                <w:color w:val="auto"/>
                <w:kern w:val="2"/>
                <w:sz w:val="24"/>
                <w:szCs w:val="24"/>
                <w:highlight w:val="none"/>
                <w:u w:val="none" w:color="auto"/>
                <w:shd w:val="clear" w:color="auto" w:fill="auto"/>
                <w:vertAlign w:val="superscript"/>
                <w:lang w:val="en-US" w:eastAsia="zh-CN" w:bidi="en-US"/>
              </w:rPr>
              <w:t>-7</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cm/s</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），或至少</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2mm</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厚高密度聚乙烯膜等人工防渗材料（渗透系数不大于</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10</w:t>
            </w:r>
            <w:r>
              <w:rPr>
                <w:rFonts w:hint="default" w:ascii="Times New Roman" w:hAnsi="Times New Roman" w:eastAsia="宋体" w:cs="Times New Roman"/>
                <w:color w:val="auto"/>
                <w:kern w:val="2"/>
                <w:sz w:val="24"/>
                <w:szCs w:val="24"/>
                <w:highlight w:val="none"/>
                <w:u w:val="none" w:color="auto"/>
                <w:shd w:val="clear" w:color="auto" w:fill="auto"/>
                <w:vertAlign w:val="superscript"/>
                <w:lang w:val="en-US" w:eastAsia="zh-CN" w:bidi="en-US"/>
              </w:rPr>
              <w:t>-10</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cm/s</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），或其他防渗性能等效的材料。</w:t>
            </w:r>
          </w:p>
          <w:p w14:paraId="179E40C5">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⑤同一贮存设施宜采用相同的防渗、防腐工艺（包括防渗、防腐结构或材料），防渗、防腐材料应覆盖所有可能与废物及其渗滤液、渗漏液等接触的构筑物表面；采用不同防渗、防腐工艺应分别建设贮存分区。</w:t>
            </w:r>
          </w:p>
          <w:p w14:paraId="78CF52C1">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val="en-US" w:eastAsia="zh-CN"/>
              </w:rPr>
              <w:t>（2）贮存库</w:t>
            </w:r>
          </w:p>
          <w:p w14:paraId="36C61C15">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①贮存库内不同贮存分区之间应采取隔离措施。隔离措施可根据危险废物特性采用过道、隔板或隔墙等方式。</w:t>
            </w:r>
          </w:p>
          <w:p w14:paraId="1F92767C">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②在贮存库内或通过贮存分区方式贮存液态危险废物的，应具有液体泄漏堵截设施，堵截设施最小容积不应低于对应贮存区域最大液态废物容器容积或液态废物总储量</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1/10</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（二者取较大者）；用于贮存可能产生渗滤液的危险废物的贮存库或贮存分区应设计渗滤液收集设施，收集设施容积应满足渗滤液的收集要求。</w:t>
            </w:r>
          </w:p>
          <w:p w14:paraId="584C5471">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③</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贮存易产生粉尘、</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VOCs</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有害大气污染物和刺激性气味气体的危险废物贮存库，应设置气体收集装置和气体净化设施；气体净化设施的排气筒高度应符合</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GB16297</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要求。</w:t>
            </w:r>
          </w:p>
          <w:p w14:paraId="45FA0FF7">
            <w:pPr>
              <w:pStyle w:val="25"/>
              <w:keepNext w:val="0"/>
              <w:keepLines w:val="0"/>
              <w:pageBreakBefore w:val="0"/>
              <w:widowControl/>
              <w:kinsoku/>
              <w:wordWrap w:val="0"/>
              <w:overflowPunct/>
              <w:topLinePunct/>
              <w:autoSpaceDE/>
              <w:autoSpaceDN/>
              <w:bidi w:val="0"/>
              <w:adjustRightInd/>
              <w:snapToGrid/>
              <w:rPr>
                <w:rFonts w:hint="eastAsia" w:ascii="Times New Roman" w:hAnsi="Times New Roman"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（3）贮存设施运行环境管理要求</w:t>
            </w:r>
          </w:p>
          <w:p w14:paraId="3D075BAA">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①危险废物存入贮存设施前应对危险废物类别和特性与危险废物标签等危险废物识别标志的一致性进行核验，不一致的或类别、特性不明的不应存入。</w:t>
            </w:r>
          </w:p>
          <w:p w14:paraId="11F45CA6">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②应定期检查危险废物的贮存状况，及时清理贮存设施地面，更换破损泄漏的危险废物贮存容器和包装物，保证堆存危险废物的防雨、防风、防扬尘等设施功能完好。</w:t>
            </w:r>
          </w:p>
          <w:p w14:paraId="27F0F253">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③作业设备及车辆等结束作业离开贮存设施时，应对其残留的危险废物进行清理，清理的废物或清洗废水应收集处理。</w:t>
            </w:r>
          </w:p>
          <w:p w14:paraId="2BFAAC2C">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④贮存设施运行期间，应按国家有关标准和规定建立危险废物管理台账并保存。</w:t>
            </w:r>
          </w:p>
          <w:p w14:paraId="1C760800">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⑤贮存设施所有者或运营者应建立贮存设施环境管理制度、管理人员岗位职责制度、设施运行操作制度、人员岗位培训制度等。</w:t>
            </w:r>
          </w:p>
          <w:p w14:paraId="5FDCAECD">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54A1AB8F">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both"/>
              <w:textAlignment w:val="auto"/>
              <w:rPr>
                <w:color w:val="auto"/>
                <w:highlight w:val="none"/>
                <w:u w:val="none" w:color="auto"/>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⑦贮存设施所有者或运营者应建立贮存设施全部档案，包括设计、施工、验收、运行、监测和环境应急等，应按国家有关档案管理的法律法规进行整理和归档。</w:t>
            </w:r>
          </w:p>
          <w:p w14:paraId="7F6DE440">
            <w:pPr>
              <w:pStyle w:val="25"/>
              <w:keepNext w:val="0"/>
              <w:keepLines w:val="0"/>
              <w:pageBreakBefore w:val="0"/>
              <w:widowControl/>
              <w:kinsoku/>
              <w:wordWrap w:val="0"/>
              <w:overflowPunct/>
              <w:topLinePunct/>
              <w:autoSpaceDE/>
              <w:autoSpaceDN/>
              <w:bidi w:val="0"/>
              <w:adjustRightInd/>
              <w:snapToGrid/>
              <w:ind w:firstLine="480" w:firstLineChars="200"/>
              <w:textAlignment w:val="auto"/>
              <w:rPr>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4</w:t>
            </w:r>
            <w:r>
              <w:rPr>
                <w:rFonts w:hint="eastAsia"/>
                <w:color w:val="auto"/>
                <w:highlight w:val="none"/>
                <w:u w:val="none" w:color="auto"/>
                <w:lang w:eastAsia="zh-CN"/>
              </w:rPr>
              <w:t>）</w:t>
            </w:r>
            <w:r>
              <w:rPr>
                <w:color w:val="auto"/>
                <w:highlight w:val="none"/>
                <w:u w:val="none" w:color="auto"/>
              </w:rPr>
              <w:t>企业须健全危险废物相关管理制度，并严格落实。</w:t>
            </w:r>
          </w:p>
          <w:p w14:paraId="6ADB1D10">
            <w:pPr>
              <w:pStyle w:val="25"/>
              <w:keepNext w:val="0"/>
              <w:keepLines w:val="0"/>
              <w:pageBreakBefore w:val="0"/>
              <w:widowControl/>
              <w:kinsoku/>
              <w:wordWrap w:val="0"/>
              <w:overflowPunct/>
              <w:topLinePunct/>
              <w:autoSpaceDE/>
              <w:autoSpaceDN/>
              <w:bidi w:val="0"/>
              <w:adjustRightInd/>
              <w:snapToGrid/>
              <w:ind w:firstLine="480" w:firstLineChars="200"/>
              <w:textAlignment w:val="auto"/>
              <w:rPr>
                <w:color w:val="auto"/>
                <w:highlight w:val="none"/>
                <w:u w:val="none" w:color="auto"/>
              </w:rPr>
            </w:pPr>
            <w:r>
              <w:rPr>
                <w:color w:val="auto"/>
                <w:highlight w:val="none"/>
                <w:u w:val="none" w:color="auto"/>
              </w:rPr>
              <w:t>①企业须配备专业技术人员和管理人员专门负责企业危险废物统计、收集、暂存、转运和管理工作，并对有关危废产生部门员工进行定期教育和培训，强化危险废物管理；</w:t>
            </w:r>
          </w:p>
          <w:p w14:paraId="2AE202C7">
            <w:pPr>
              <w:pStyle w:val="25"/>
              <w:keepNext w:val="0"/>
              <w:keepLines w:val="0"/>
              <w:pageBreakBefore w:val="0"/>
              <w:widowControl/>
              <w:kinsoku/>
              <w:wordWrap w:val="0"/>
              <w:overflowPunct/>
              <w:topLinePunct/>
              <w:autoSpaceDE/>
              <w:autoSpaceDN/>
              <w:bidi w:val="0"/>
              <w:adjustRightInd/>
              <w:snapToGrid/>
              <w:ind w:firstLine="480" w:firstLineChars="200"/>
              <w:textAlignment w:val="auto"/>
              <w:rPr>
                <w:color w:val="auto"/>
                <w:highlight w:val="none"/>
                <w:u w:val="none" w:color="auto"/>
              </w:rPr>
            </w:pPr>
            <w:r>
              <w:rPr>
                <w:color w:val="auto"/>
                <w:highlight w:val="none"/>
                <w:u w:val="none" w:color="auto"/>
              </w:rPr>
              <w:t>②企业须建立危险废物收集操作规程、危险废物转运操作规程、危险废物暂存管理规程等相关制度，并认真落实；</w:t>
            </w:r>
          </w:p>
          <w:p w14:paraId="5E0A11AA">
            <w:pPr>
              <w:pStyle w:val="25"/>
              <w:keepNext w:val="0"/>
              <w:keepLines w:val="0"/>
              <w:pageBreakBefore w:val="0"/>
              <w:widowControl/>
              <w:kinsoku/>
              <w:wordWrap w:val="0"/>
              <w:overflowPunct/>
              <w:topLinePunct/>
              <w:autoSpaceDE/>
              <w:autoSpaceDN/>
              <w:bidi w:val="0"/>
              <w:adjustRightInd/>
              <w:snapToGrid/>
              <w:ind w:firstLine="480" w:firstLineChars="200"/>
              <w:textAlignment w:val="auto"/>
              <w:rPr>
                <w:color w:val="auto"/>
                <w:highlight w:val="none"/>
                <w:u w:val="none" w:color="auto"/>
              </w:rPr>
            </w:pPr>
            <w:r>
              <w:rPr>
                <w:color w:val="auto"/>
                <w:highlight w:val="none"/>
                <w:u w:val="none" w:color="auto"/>
              </w:rPr>
              <w:t>③企业须对危险废物储运场所张贴</w:t>
            </w:r>
            <w:r>
              <w:rPr>
                <w:rFonts w:hint="eastAsia"/>
                <w:color w:val="auto"/>
                <w:highlight w:val="none"/>
                <w:u w:val="none" w:color="auto"/>
                <w:lang w:eastAsia="zh-CN"/>
              </w:rPr>
              <w:t>警示标志</w:t>
            </w:r>
            <w:r>
              <w:rPr>
                <w:color w:val="auto"/>
                <w:highlight w:val="none"/>
                <w:u w:val="none" w:color="auto"/>
              </w:rPr>
              <w:t>，危险废物包装物张贴警示标签；</w:t>
            </w:r>
          </w:p>
          <w:p w14:paraId="101C4A04">
            <w:pPr>
              <w:pStyle w:val="25"/>
              <w:keepNext w:val="0"/>
              <w:keepLines w:val="0"/>
              <w:pageBreakBefore w:val="0"/>
              <w:widowControl/>
              <w:kinsoku/>
              <w:wordWrap w:val="0"/>
              <w:overflowPunct/>
              <w:topLinePunct/>
              <w:autoSpaceDE/>
              <w:autoSpaceDN/>
              <w:bidi w:val="0"/>
              <w:adjustRightInd/>
              <w:snapToGrid/>
              <w:ind w:firstLine="480" w:firstLineChars="200"/>
              <w:textAlignment w:val="auto"/>
              <w:rPr>
                <w:color w:val="auto"/>
                <w:highlight w:val="none"/>
                <w:u w:val="none" w:color="auto"/>
              </w:rPr>
            </w:pPr>
            <w:r>
              <w:rPr>
                <w:color w:val="auto"/>
                <w:highlight w:val="none"/>
                <w:u w:val="none" w:color="auto"/>
              </w:rPr>
              <w:t>④规范危险废物统计、建立危险废物收集及储运有关档案，认真填写《危险废物项目区内转运记录表》，做好危险废物情况的记录，记录上须注明危险废物的名称、来源、数量、特性和包装容器的类别、入库日期、存放库位、废物出库日期及接收单位名称等，并即时存档以备查阅。</w:t>
            </w:r>
          </w:p>
          <w:p w14:paraId="1720774A">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5</w:t>
            </w:r>
            <w:r>
              <w:rPr>
                <w:rFonts w:hint="eastAsia"/>
                <w:color w:val="auto"/>
                <w:highlight w:val="none"/>
                <w:u w:val="none" w:color="auto"/>
                <w:lang w:eastAsia="zh-CN"/>
              </w:rPr>
              <w:t>）</w:t>
            </w:r>
            <w:r>
              <w:rPr>
                <w:color w:val="auto"/>
                <w:highlight w:val="none"/>
                <w:u w:val="none" w:color="auto"/>
              </w:rPr>
              <w:t>危险废物在危废暂存间内暂存期间应严格按照《危险废物贮存污染控制标准》（</w:t>
            </w:r>
            <w:r>
              <w:rPr>
                <w:rFonts w:hint="eastAsia"/>
                <w:color w:val="auto"/>
                <w:highlight w:val="none"/>
                <w:u w:val="none" w:color="auto"/>
                <w:lang w:eastAsia="zh-CN"/>
              </w:rPr>
              <w:t>GB18597—2023</w:t>
            </w:r>
            <w:r>
              <w:rPr>
                <w:color w:val="auto"/>
                <w:highlight w:val="none"/>
                <w:u w:val="none" w:color="auto"/>
              </w:rPr>
              <w:t>）和《危险废物收集贮存运输技术规范》（HJ2025-2012</w:t>
            </w:r>
            <w:r>
              <w:rPr>
                <w:rFonts w:hint="eastAsia"/>
                <w:color w:val="auto"/>
                <w:highlight w:val="none"/>
                <w:u w:val="none" w:color="auto"/>
                <w:lang w:eastAsia="zh-CN"/>
              </w:rPr>
              <w:t>）</w:t>
            </w:r>
            <w:r>
              <w:rPr>
                <w:color w:val="auto"/>
                <w:highlight w:val="none"/>
                <w:u w:val="none" w:color="auto"/>
              </w:rPr>
              <w:t>的相关要求进行存储和管理。</w:t>
            </w:r>
          </w:p>
          <w:p w14:paraId="11879109">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五、土壤与地下水</w:t>
            </w:r>
          </w:p>
          <w:p w14:paraId="7F19C3B2">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1）源头控制措施</w:t>
            </w:r>
          </w:p>
          <w:p w14:paraId="609E5154">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rPr>
              <w:t>通过加强日常管理、对防渗工程的检查，若发现防渗密封材料老化或损坏应及时维修更换</w:t>
            </w:r>
            <w:r>
              <w:rPr>
                <w:rFonts w:hint="eastAsia"/>
                <w:color w:val="auto"/>
                <w:highlight w:val="none"/>
                <w:u w:val="none" w:color="auto"/>
                <w:lang w:eastAsia="zh-CN"/>
              </w:rPr>
              <w:t>；</w:t>
            </w:r>
            <w:r>
              <w:rPr>
                <w:rFonts w:hint="eastAsia"/>
                <w:color w:val="auto"/>
                <w:highlight w:val="none"/>
                <w:u w:val="none" w:color="auto"/>
              </w:rPr>
              <w:t>设置好引流的沟渠和事故下截流措施，避免应急情况下消防水外流。</w:t>
            </w:r>
          </w:p>
          <w:p w14:paraId="2704A613">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2）</w:t>
            </w:r>
            <w:r>
              <w:rPr>
                <w:color w:val="auto"/>
                <w:highlight w:val="none"/>
                <w:u w:val="none" w:color="auto"/>
              </w:rPr>
              <w:t>分区防控措施</w:t>
            </w:r>
          </w:p>
          <w:p w14:paraId="49BA1D80">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根据项目各区域功能，将厂区划分为重点污染防治区</w:t>
            </w:r>
            <w:r>
              <w:rPr>
                <w:rFonts w:hint="eastAsia"/>
                <w:color w:val="auto"/>
                <w:highlight w:val="none"/>
                <w:u w:val="none" w:color="auto"/>
                <w:lang w:val="en-US" w:eastAsia="zh-CN"/>
              </w:rPr>
              <w:t>和</w:t>
            </w:r>
            <w:r>
              <w:rPr>
                <w:color w:val="auto"/>
                <w:highlight w:val="none"/>
                <w:u w:val="none" w:color="auto"/>
              </w:rPr>
              <w:t>一般污染防治区，针对不同的区域提出相应的防控措施。</w:t>
            </w:r>
          </w:p>
          <w:p w14:paraId="4769F490">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val="en-US" w:eastAsia="zh-CN"/>
              </w:rPr>
              <w:t>a.</w:t>
            </w:r>
            <w:r>
              <w:rPr>
                <w:color w:val="auto"/>
                <w:highlight w:val="none"/>
                <w:u w:val="none" w:color="auto"/>
              </w:rPr>
              <w:t>重点污染区</w:t>
            </w:r>
          </w:p>
          <w:p w14:paraId="3A350580">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项目重点污染区为</w:t>
            </w:r>
            <w:r>
              <w:rPr>
                <w:rFonts w:hint="eastAsia"/>
                <w:color w:val="auto"/>
                <w:highlight w:val="none"/>
                <w:u w:val="none" w:color="auto"/>
                <w:lang w:val="en-US" w:eastAsia="zh-CN"/>
              </w:rPr>
              <w:t>危险废物暂存间</w:t>
            </w:r>
            <w:r>
              <w:rPr>
                <w:color w:val="auto"/>
                <w:highlight w:val="none"/>
                <w:u w:val="none" w:color="auto"/>
              </w:rPr>
              <w:t>，其地面防渗措施参照《危险废物贮存污染控制标准》（GB18597-20</w:t>
            </w:r>
            <w:r>
              <w:rPr>
                <w:rFonts w:hint="eastAsia"/>
                <w:color w:val="auto"/>
                <w:highlight w:val="none"/>
                <w:u w:val="none" w:color="auto"/>
                <w:lang w:val="en-US" w:eastAsia="zh-CN"/>
              </w:rPr>
              <w:t>23</w:t>
            </w:r>
            <w:r>
              <w:rPr>
                <w:color w:val="auto"/>
                <w:highlight w:val="none"/>
                <w:u w:val="none" w:color="auto"/>
              </w:rPr>
              <w:t>）中的相关要求设置，采取“粘土+混凝土防渗+人工材料”措施，防渗性能达到“至少1m厚粘土层（渗透系数≤10</w:t>
            </w:r>
            <w:r>
              <w:rPr>
                <w:color w:val="auto"/>
                <w:highlight w:val="none"/>
                <w:u w:val="none" w:color="auto"/>
                <w:vertAlign w:val="superscript"/>
              </w:rPr>
              <w:t>-7</w:t>
            </w:r>
            <w:r>
              <w:rPr>
                <w:color w:val="auto"/>
                <w:highlight w:val="none"/>
                <w:u w:val="none" w:color="auto"/>
              </w:rPr>
              <w:t>cm/s）ℽ</w:t>
            </w:r>
            <w:r>
              <w:rPr>
                <w:rFonts w:hint="eastAsia"/>
                <w:color w:val="auto"/>
                <w:highlight w:val="none"/>
                <w:u w:val="none" w:color="auto"/>
                <w:lang w:eastAsia="zh-CN"/>
              </w:rPr>
              <w:t>，</w:t>
            </w:r>
            <w:r>
              <w:rPr>
                <w:color w:val="auto"/>
                <w:highlight w:val="none"/>
                <w:u w:val="none" w:color="auto"/>
              </w:rPr>
              <w:t>或2mm厚高密度聚乙烯，或至少2mm厚的其他人工材料，渗透系数≤10</w:t>
            </w:r>
            <w:r>
              <w:rPr>
                <w:color w:val="auto"/>
                <w:highlight w:val="none"/>
                <w:u w:val="none" w:color="auto"/>
                <w:vertAlign w:val="superscript"/>
              </w:rPr>
              <w:t>-10</w:t>
            </w:r>
            <w:r>
              <w:rPr>
                <w:color w:val="auto"/>
                <w:highlight w:val="none"/>
                <w:u w:val="none" w:color="auto"/>
              </w:rPr>
              <w:t>cm/s要求，并设置围堰，做到防风、防雨、防漏、防渗漏。</w:t>
            </w:r>
          </w:p>
          <w:p w14:paraId="43ACC287">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val="en-US" w:eastAsia="zh-CN"/>
              </w:rPr>
              <w:t>b.</w:t>
            </w:r>
            <w:r>
              <w:rPr>
                <w:color w:val="auto"/>
                <w:highlight w:val="none"/>
                <w:u w:val="none" w:color="auto"/>
              </w:rPr>
              <w:t>一般污染防治区</w:t>
            </w:r>
          </w:p>
          <w:p w14:paraId="63A8DE72">
            <w:pPr>
              <w:pStyle w:val="25"/>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项目一般污染防治区为</w:t>
            </w:r>
            <w:r>
              <w:rPr>
                <w:rFonts w:hint="eastAsia"/>
                <w:color w:val="auto"/>
                <w:highlight w:val="none"/>
                <w:u w:val="none" w:color="auto"/>
                <w:lang w:val="en-US" w:eastAsia="zh-CN"/>
              </w:rPr>
              <w:t>生产区</w:t>
            </w:r>
            <w:r>
              <w:rPr>
                <w:color w:val="auto"/>
                <w:highlight w:val="none"/>
                <w:u w:val="none" w:color="auto"/>
              </w:rPr>
              <w:t>，其地面防渗采取“粘土+混凝土”防渗措施，达到渗透系数1.0×10</w:t>
            </w:r>
            <w:r>
              <w:rPr>
                <w:color w:val="auto"/>
                <w:highlight w:val="none"/>
                <w:u w:val="none" w:color="auto"/>
                <w:vertAlign w:val="superscript"/>
              </w:rPr>
              <w:t>-7</w:t>
            </w:r>
            <w:r>
              <w:rPr>
                <w:color w:val="auto"/>
                <w:highlight w:val="none"/>
                <w:u w:val="none" w:color="auto"/>
              </w:rPr>
              <w:t>cm/s和厚度1.5m的粘土层的防渗性能要求。</w:t>
            </w:r>
          </w:p>
          <w:p w14:paraId="02CC7FEF">
            <w:pPr>
              <w:pStyle w:val="7"/>
              <w:keepNext w:val="0"/>
              <w:keepLines w:val="0"/>
              <w:pageBreakBefore w:val="0"/>
              <w:widowControl/>
              <w:kinsoku/>
              <w:wordWrap w:val="0"/>
              <w:overflowPunct/>
              <w:topLinePunct/>
              <w:autoSpaceDE/>
              <w:autoSpaceDN/>
              <w:bidi w:val="0"/>
              <w:adjustRightInd/>
              <w:snapToGrid/>
              <w:spacing w:before="0" w:after="0" w:line="360" w:lineRule="auto"/>
              <w:ind w:right="0" w:firstLine="480" w:firstLineChars="200"/>
              <w:rPr>
                <w:rFonts w:hint="eastAsia"/>
                <w:color w:val="auto"/>
                <w:highlight w:val="none"/>
                <w:u w:val="none" w:color="auto"/>
                <w:lang w:val="en-US" w:eastAsia="zh-CN"/>
              </w:rPr>
            </w:pPr>
            <w:r>
              <w:rPr>
                <w:rFonts w:hint="default" w:ascii="Times New Roman" w:hAnsi="Times New Roman" w:cs="Times New Roman"/>
                <w:color w:val="auto"/>
                <w:sz w:val="24"/>
                <w:highlight w:val="none"/>
                <w:u w:val="none" w:color="auto"/>
              </w:rPr>
              <w:t>本项目运营期无土壤、地下水污染途径，在采取以上措施后，对周围土壤、地下水环境影响较小。</w:t>
            </w:r>
          </w:p>
          <w:p w14:paraId="035F918D">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rPr>
              <w:t>六、环境风险</w:t>
            </w:r>
            <w:r>
              <w:rPr>
                <w:rFonts w:hint="default" w:ascii="Times New Roman" w:hAnsi="Times New Roman" w:cs="Times New Roman"/>
                <w:b/>
                <w:bCs/>
                <w:color w:val="auto"/>
                <w:highlight w:val="none"/>
                <w:u w:val="none" w:color="auto"/>
                <w:lang w:val="en-US" w:eastAsia="zh-CN"/>
              </w:rPr>
              <w:t>分析</w:t>
            </w:r>
          </w:p>
          <w:p w14:paraId="3D04B001">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1、</w:t>
            </w:r>
            <w:r>
              <w:rPr>
                <w:rFonts w:hint="default" w:ascii="Times New Roman" w:hAnsi="Times New Roman" w:cs="Times New Roman"/>
                <w:b/>
                <w:bCs/>
                <w:color w:val="auto"/>
                <w:highlight w:val="none"/>
                <w:u w:val="none" w:color="auto"/>
              </w:rPr>
              <w:t>风险识别</w:t>
            </w:r>
          </w:p>
          <w:p w14:paraId="3BE725AC">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风险潜势判定</w:t>
            </w:r>
          </w:p>
          <w:p w14:paraId="4F557250">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根据《建设项目环境风险评价技术导则》（HJ169-2018），建设项目环境风险潜势划分为I、II、III、IV/IV+级。</w:t>
            </w:r>
          </w:p>
          <w:p w14:paraId="334A1A24">
            <w:pPr>
              <w:keepNext w:val="0"/>
              <w:keepLines w:val="0"/>
              <w:pageBreakBefore w:val="0"/>
              <w:widowControl/>
              <w:kinsoku/>
              <w:wordWrap w:val="0"/>
              <w:overflowPunct/>
              <w:topLinePunct/>
              <w:autoSpaceDE/>
              <w:autoSpaceDN/>
              <w:bidi w:val="0"/>
              <w:adjustRightInd/>
              <w:snapToGrid/>
              <w:spacing w:line="360" w:lineRule="auto"/>
              <w:ind w:firstLine="480" w:firstLineChars="200"/>
              <w:jc w:val="both"/>
              <w:rPr>
                <w:rFonts w:ascii="Times New Roman" w:hAnsi="Times New Roman" w:eastAsia="宋体" w:cs="Times New Roman"/>
                <w:b w:val="0"/>
                <w:bCs/>
                <w:i w:val="0"/>
                <w:iCs/>
                <w:color w:val="auto"/>
                <w:kern w:val="2"/>
                <w:sz w:val="24"/>
                <w:szCs w:val="24"/>
                <w:highlight w:val="none"/>
                <w:u w:val="none" w:color="auto"/>
                <w:lang w:val="en-US" w:eastAsia="zh-CN" w:bidi="ar-SA"/>
              </w:rPr>
            </w:pPr>
            <w:r>
              <w:rPr>
                <w:rFonts w:ascii="Times New Roman" w:hAnsi="Times New Roman" w:eastAsia="宋体" w:cs="Times New Roman"/>
                <w:b w:val="0"/>
                <w:bCs/>
                <w:i w:val="0"/>
                <w:iCs/>
                <w:color w:val="auto"/>
                <w:kern w:val="2"/>
                <w:sz w:val="24"/>
                <w:szCs w:val="24"/>
                <w:highlight w:val="none"/>
                <w:u w:val="none" w:color="auto"/>
                <w:lang w:val="en-US" w:eastAsia="zh-CN" w:bidi="ar-SA"/>
              </w:rPr>
              <w:t>根据项目风险潜势初判，项目环境风险潜势为Ⅰ。根据《建设项目环境风险评价技术导则》（HJ/T169-2018）项目环境风险潜势为Ⅰ，评价工作等级划分见表</w:t>
            </w:r>
            <w:r>
              <w:rPr>
                <w:rFonts w:hint="eastAsia" w:ascii="Times New Roman" w:hAnsi="Times New Roman" w:eastAsia="宋体" w:cs="Times New Roman"/>
                <w:b w:val="0"/>
                <w:bCs/>
                <w:i w:val="0"/>
                <w:iCs/>
                <w:color w:val="auto"/>
                <w:kern w:val="2"/>
                <w:sz w:val="24"/>
                <w:szCs w:val="24"/>
                <w:highlight w:val="none"/>
                <w:u w:val="none" w:color="auto"/>
                <w:lang w:val="en-US" w:eastAsia="zh-CN" w:bidi="ar-SA"/>
              </w:rPr>
              <w:t>4-1</w:t>
            </w:r>
            <w:r>
              <w:rPr>
                <w:rFonts w:hint="eastAsia" w:cs="Times New Roman"/>
                <w:b w:val="0"/>
                <w:bCs/>
                <w:i w:val="0"/>
                <w:iCs/>
                <w:color w:val="auto"/>
                <w:kern w:val="2"/>
                <w:sz w:val="24"/>
                <w:szCs w:val="24"/>
                <w:highlight w:val="none"/>
                <w:u w:val="none" w:color="auto"/>
                <w:lang w:val="en-US" w:eastAsia="zh-CN" w:bidi="ar-SA"/>
              </w:rPr>
              <w:t>3</w:t>
            </w:r>
            <w:r>
              <w:rPr>
                <w:rFonts w:ascii="Times New Roman" w:hAnsi="Times New Roman" w:eastAsia="宋体" w:cs="Times New Roman"/>
                <w:b w:val="0"/>
                <w:bCs/>
                <w:i w:val="0"/>
                <w:iCs/>
                <w:color w:val="auto"/>
                <w:kern w:val="2"/>
                <w:sz w:val="24"/>
                <w:szCs w:val="24"/>
                <w:highlight w:val="none"/>
                <w:u w:val="none" w:color="auto"/>
                <w:lang w:val="en-US" w:eastAsia="zh-CN" w:bidi="ar-SA"/>
              </w:rPr>
              <w:t>，环境风险按评价等级仅需简单分析。</w:t>
            </w:r>
          </w:p>
          <w:p w14:paraId="6798DA55">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color w:val="auto"/>
                <w:szCs w:val="21"/>
                <w:highlight w:val="none"/>
                <w:u w:val="none" w:color="auto"/>
              </w:rPr>
            </w:pPr>
            <w:r>
              <w:rPr>
                <w:rFonts w:ascii="Times New Roman" w:hAnsi="Times New Roman" w:eastAsia="宋体" w:cs="Times New Roman"/>
                <w:b/>
                <w:color w:val="auto"/>
                <w:szCs w:val="21"/>
                <w:highlight w:val="none"/>
                <w:u w:val="none" w:color="auto"/>
              </w:rPr>
              <w:t>表</w:t>
            </w:r>
            <w:r>
              <w:rPr>
                <w:rFonts w:hint="eastAsia" w:ascii="Times New Roman" w:hAnsi="Times New Roman" w:eastAsia="宋体" w:cs="Times New Roman"/>
                <w:b/>
                <w:color w:val="auto"/>
                <w:szCs w:val="21"/>
                <w:highlight w:val="none"/>
                <w:u w:val="none" w:color="auto"/>
                <w:lang w:val="en-US" w:eastAsia="zh-CN"/>
              </w:rPr>
              <w:t>4-1</w:t>
            </w:r>
            <w:r>
              <w:rPr>
                <w:rFonts w:hint="eastAsia" w:cs="Times New Roman"/>
                <w:b/>
                <w:color w:val="auto"/>
                <w:szCs w:val="21"/>
                <w:highlight w:val="none"/>
                <w:u w:val="none" w:color="auto"/>
                <w:lang w:val="en-US" w:eastAsia="zh-CN"/>
              </w:rPr>
              <w:t xml:space="preserve">8   </w:t>
            </w:r>
            <w:r>
              <w:rPr>
                <w:rFonts w:ascii="Times New Roman" w:hAnsi="Times New Roman" w:eastAsia="宋体" w:cs="Times New Roman"/>
                <w:b/>
                <w:color w:val="auto"/>
                <w:szCs w:val="21"/>
                <w:highlight w:val="none"/>
                <w:u w:val="none" w:color="auto"/>
              </w:rPr>
              <w:t>评价工作等级划分</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595"/>
              <w:gridCol w:w="1595"/>
              <w:gridCol w:w="1595"/>
              <w:gridCol w:w="1596"/>
            </w:tblGrid>
            <w:tr w14:paraId="56AEA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5B4E08F4">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环境风险潜势</w:t>
                  </w:r>
                </w:p>
              </w:tc>
              <w:tc>
                <w:tcPr>
                  <w:tcW w:w="1001" w:type="pct"/>
                  <w:noWrap w:val="0"/>
                  <w:vAlign w:val="center"/>
                </w:tcPr>
                <w:p w14:paraId="65D4D905">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=4\*ROMAN\*MERGEFORMAT</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IV</w:t>
                  </w:r>
                  <w:r>
                    <w:rPr>
                      <w:rFonts w:ascii="Times New Roman" w:hAnsi="Times New Roman" w:eastAsia="宋体" w:cs="Times New Roman"/>
                      <w:b/>
                      <w:bCs/>
                      <w:color w:val="auto"/>
                      <w:szCs w:val="21"/>
                      <w:highlight w:val="none"/>
                      <w:u w:val="none" w:color="auto"/>
                    </w:rPr>
                    <w:fldChar w:fldCharType="end"/>
                  </w: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=4\*ROMAN\*MERGEFORMAT</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IV</w:t>
                  </w:r>
                  <w:r>
                    <w:rPr>
                      <w:rFonts w:ascii="Times New Roman" w:hAnsi="Times New Roman" w:eastAsia="宋体" w:cs="Times New Roman"/>
                      <w:b/>
                      <w:bCs/>
                      <w:color w:val="auto"/>
                      <w:szCs w:val="21"/>
                      <w:highlight w:val="none"/>
                      <w:u w:val="none" w:color="auto"/>
                    </w:rPr>
                    <w:fldChar w:fldCharType="end"/>
                  </w:r>
                  <w:r>
                    <w:rPr>
                      <w:rFonts w:ascii="Times New Roman" w:hAnsi="Times New Roman" w:eastAsia="宋体" w:cs="Times New Roman"/>
                      <w:b/>
                      <w:bCs/>
                      <w:color w:val="auto"/>
                      <w:szCs w:val="21"/>
                      <w:highlight w:val="none"/>
                      <w:u w:val="none" w:color="auto"/>
                      <w:vertAlign w:val="superscript"/>
                    </w:rPr>
                    <w:t>+</w:t>
                  </w:r>
                </w:p>
              </w:tc>
              <w:tc>
                <w:tcPr>
                  <w:tcW w:w="1001" w:type="pct"/>
                  <w:noWrap w:val="0"/>
                  <w:vAlign w:val="center"/>
                </w:tcPr>
                <w:p w14:paraId="22C6AAB3">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=3\*ROMAN\*MERGEFORMAT</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III</w:t>
                  </w:r>
                  <w:r>
                    <w:rPr>
                      <w:rFonts w:ascii="Times New Roman" w:hAnsi="Times New Roman" w:eastAsia="宋体" w:cs="Times New Roman"/>
                      <w:b/>
                      <w:bCs/>
                      <w:color w:val="auto"/>
                      <w:szCs w:val="21"/>
                      <w:highlight w:val="none"/>
                      <w:u w:val="none" w:color="auto"/>
                    </w:rPr>
                    <w:fldChar w:fldCharType="end"/>
                  </w:r>
                </w:p>
              </w:tc>
              <w:tc>
                <w:tcPr>
                  <w:tcW w:w="1001" w:type="pct"/>
                  <w:noWrap w:val="0"/>
                  <w:vAlign w:val="center"/>
                </w:tcPr>
                <w:p w14:paraId="15D04703">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=2\*ROMAN\*MERGEFORMAT</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II</w:t>
                  </w:r>
                  <w:r>
                    <w:rPr>
                      <w:rFonts w:ascii="Times New Roman" w:hAnsi="Times New Roman" w:eastAsia="宋体" w:cs="Times New Roman"/>
                      <w:b/>
                      <w:bCs/>
                      <w:color w:val="auto"/>
                      <w:szCs w:val="21"/>
                      <w:highlight w:val="none"/>
                      <w:u w:val="none" w:color="auto"/>
                    </w:rPr>
                    <w:fldChar w:fldCharType="end"/>
                  </w:r>
                </w:p>
              </w:tc>
              <w:tc>
                <w:tcPr>
                  <w:tcW w:w="1001" w:type="pct"/>
                  <w:noWrap w:val="0"/>
                  <w:vAlign w:val="center"/>
                </w:tcPr>
                <w:p w14:paraId="1B75BABE">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=1\*ROMAN\*MERGEFORMAT</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w:t>
                  </w:r>
                  <w:r>
                    <w:rPr>
                      <w:rFonts w:ascii="Times New Roman" w:hAnsi="Times New Roman" w:eastAsia="宋体" w:cs="Times New Roman"/>
                      <w:b/>
                      <w:bCs/>
                      <w:color w:val="auto"/>
                      <w:szCs w:val="21"/>
                      <w:highlight w:val="none"/>
                      <w:u w:val="none" w:color="auto"/>
                    </w:rPr>
                    <w:fldChar w:fldCharType="end"/>
                  </w:r>
                </w:p>
              </w:tc>
            </w:tr>
            <w:tr w14:paraId="38F30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62BD8203">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评价工作等级</w:t>
                  </w:r>
                </w:p>
              </w:tc>
              <w:tc>
                <w:tcPr>
                  <w:tcW w:w="1001" w:type="pct"/>
                  <w:noWrap w:val="0"/>
                  <w:vAlign w:val="center"/>
                </w:tcPr>
                <w:p w14:paraId="0D09C55A">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一</w:t>
                  </w:r>
                </w:p>
              </w:tc>
              <w:tc>
                <w:tcPr>
                  <w:tcW w:w="1001" w:type="pct"/>
                  <w:noWrap w:val="0"/>
                  <w:vAlign w:val="center"/>
                </w:tcPr>
                <w:p w14:paraId="595FD840">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二</w:t>
                  </w:r>
                </w:p>
              </w:tc>
              <w:tc>
                <w:tcPr>
                  <w:tcW w:w="1001" w:type="pct"/>
                  <w:noWrap w:val="0"/>
                  <w:vAlign w:val="center"/>
                </w:tcPr>
                <w:p w14:paraId="22032038">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三</w:t>
                  </w:r>
                </w:p>
              </w:tc>
              <w:tc>
                <w:tcPr>
                  <w:tcW w:w="1001" w:type="pct"/>
                  <w:noWrap w:val="0"/>
                  <w:vAlign w:val="center"/>
                </w:tcPr>
                <w:p w14:paraId="032F1CFC">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简单分析a</w:t>
                  </w:r>
                </w:p>
              </w:tc>
            </w:tr>
            <w:tr w14:paraId="542B3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000" w:type="pct"/>
                  <w:gridSpan w:val="5"/>
                  <w:noWrap w:val="0"/>
                  <w:vAlign w:val="center"/>
                </w:tcPr>
                <w:p w14:paraId="57D90C80">
                  <w:pPr>
                    <w:keepNext w:val="0"/>
                    <w:keepLines w:val="0"/>
                    <w:pageBreakBefore w:val="0"/>
                    <w:widowControl/>
                    <w:kinsoku/>
                    <w:wordWrap w:val="0"/>
                    <w:overflowPunct/>
                    <w:topLinePunct/>
                    <w:autoSpaceDE/>
                    <w:autoSpaceDN/>
                    <w:bidi w:val="0"/>
                    <w:adjustRightInd/>
                    <w:snapToGrid/>
                    <w:ind w:firstLine="420" w:firstLineChars="200"/>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a是相对于详细评价工作内容而言，在描述危险物质、环境影响途径、环境危害后果、风险防范措施等方面给出定性的说明。见附录A。</w:t>
                  </w:r>
                </w:p>
              </w:tc>
            </w:tr>
          </w:tbl>
          <w:p w14:paraId="60BE7B2D">
            <w:pPr>
              <w:pStyle w:val="25"/>
              <w:bidi w:val="0"/>
              <w:rPr>
                <w:rFonts w:hint="default"/>
                <w:highlight w:val="none"/>
                <w:u w:val="none" w:color="auto"/>
              </w:rPr>
            </w:pPr>
            <w:r>
              <w:rPr>
                <w:rFonts w:hint="default"/>
                <w:highlight w:val="none"/>
                <w:u w:val="none" w:color="auto"/>
              </w:rPr>
              <w:t>根据《建设项目环境风险评价技术导则》附录</w:t>
            </w:r>
            <w:r>
              <w:rPr>
                <w:rFonts w:hint="default"/>
                <w:highlight w:val="none"/>
                <w:u w:val="none" w:color="auto"/>
                <w:lang w:val="en-US" w:eastAsia="zh-CN"/>
              </w:rPr>
              <w:t>B</w:t>
            </w:r>
            <w:r>
              <w:rPr>
                <w:rFonts w:hint="default"/>
                <w:highlight w:val="none"/>
                <w:u w:val="none" w:color="auto"/>
              </w:rPr>
              <w:t>及《危险化学品重大危险源辨识》，本项目生产过程中使用及产生的</w:t>
            </w:r>
            <w:r>
              <w:rPr>
                <w:rFonts w:hint="eastAsia"/>
                <w:highlight w:val="none"/>
                <w:u w:val="none" w:color="auto"/>
                <w:lang w:eastAsia="zh-CN"/>
              </w:rPr>
              <w:t>废机油</w:t>
            </w:r>
            <w:r>
              <w:rPr>
                <w:rFonts w:hint="default"/>
                <w:highlight w:val="none"/>
                <w:u w:val="none" w:color="auto"/>
              </w:rPr>
              <w:t>属于环境风险物质。</w:t>
            </w:r>
          </w:p>
          <w:p w14:paraId="72025CC3">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rPr>
            </w:pPr>
            <w:r>
              <w:rPr>
                <w:rFonts w:hint="default"/>
                <w:color w:val="auto"/>
                <w:highlight w:val="none"/>
                <w:u w:val="none" w:color="auto"/>
              </w:rPr>
              <w:t>本工程危险物质数量与临界量比值（Q）的确定情况见下表：</w:t>
            </w:r>
          </w:p>
          <w:p w14:paraId="29D32BD3">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color w:val="auto"/>
                <w:highlight w:val="none"/>
                <w:u w:val="none" w:color="auto"/>
              </w:rPr>
            </w:pPr>
            <w:r>
              <w:rPr>
                <w:rFonts w:hint="default"/>
                <w:b/>
                <w:bCs/>
                <w:color w:val="auto"/>
                <w:highlight w:val="none"/>
                <w:u w:val="none" w:color="auto"/>
              </w:rPr>
              <w:t>表4-</w:t>
            </w:r>
            <w:r>
              <w:rPr>
                <w:rFonts w:hint="eastAsia"/>
                <w:b/>
                <w:bCs/>
                <w:color w:val="auto"/>
                <w:highlight w:val="none"/>
                <w:u w:val="none" w:color="auto"/>
                <w:lang w:val="en-US" w:eastAsia="zh-CN"/>
              </w:rPr>
              <w:t xml:space="preserve">19   </w:t>
            </w:r>
            <w:r>
              <w:rPr>
                <w:rFonts w:hint="default"/>
                <w:b/>
                <w:bCs/>
                <w:color w:val="auto"/>
                <w:highlight w:val="none"/>
                <w:u w:val="none" w:color="auto"/>
              </w:rPr>
              <w:t>涉及的风险物质及Q值计算一览表</w:t>
            </w:r>
          </w:p>
          <w:tbl>
            <w:tblPr>
              <w:tblStyle w:val="4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34"/>
              <w:gridCol w:w="1464"/>
              <w:gridCol w:w="1464"/>
              <w:gridCol w:w="1464"/>
              <w:gridCol w:w="1532"/>
              <w:gridCol w:w="1507"/>
            </w:tblGrid>
            <w:tr w14:paraId="58393E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35" w:type="pct"/>
                  <w:tcBorders>
                    <w:tl2br w:val="nil"/>
                    <w:tr2bl w:val="nil"/>
                  </w:tcBorders>
                  <w:vAlign w:val="center"/>
                </w:tcPr>
                <w:p w14:paraId="5F2560A0">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序号</w:t>
                  </w:r>
                </w:p>
              </w:tc>
              <w:tc>
                <w:tcPr>
                  <w:tcW w:w="919" w:type="pct"/>
                  <w:tcBorders>
                    <w:tl2br w:val="nil"/>
                    <w:tr2bl w:val="nil"/>
                  </w:tcBorders>
                  <w:vAlign w:val="center"/>
                </w:tcPr>
                <w:p w14:paraId="5F957D8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4"/>
                      <w:sz w:val="21"/>
                      <w:szCs w:val="21"/>
                      <w:highlight w:val="none"/>
                      <w:u w:val="none" w:color="auto"/>
                    </w:rPr>
                    <w:t>名称</w:t>
                  </w:r>
                </w:p>
              </w:tc>
              <w:tc>
                <w:tcPr>
                  <w:tcW w:w="919" w:type="pct"/>
                  <w:tcBorders>
                    <w:tl2br w:val="nil"/>
                    <w:tr2bl w:val="nil"/>
                  </w:tcBorders>
                  <w:vAlign w:val="center"/>
                </w:tcPr>
                <w:p w14:paraId="7F807544">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贮存位置</w:t>
                  </w:r>
                </w:p>
              </w:tc>
              <w:tc>
                <w:tcPr>
                  <w:tcW w:w="919" w:type="pct"/>
                  <w:tcBorders>
                    <w:tl2br w:val="nil"/>
                    <w:tr2bl w:val="nil"/>
                  </w:tcBorders>
                  <w:vAlign w:val="center"/>
                </w:tcPr>
                <w:p w14:paraId="2001F90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7"/>
                      <w:sz w:val="21"/>
                      <w:szCs w:val="21"/>
                      <w:highlight w:val="none"/>
                      <w:u w:val="none" w:color="auto"/>
                    </w:rPr>
                    <w:t>最大贮存量</w:t>
                  </w:r>
                  <w:r>
                    <w:rPr>
                      <w:rFonts w:hint="default" w:ascii="Times New Roman" w:hAnsi="Times New Roman" w:eastAsia="宋体" w:cs="Times New Roman"/>
                      <w:b/>
                      <w:bCs/>
                      <w:color w:val="auto"/>
                      <w:sz w:val="21"/>
                      <w:szCs w:val="21"/>
                      <w:highlight w:val="none"/>
                      <w:u w:val="none" w:color="auto"/>
                    </w:rPr>
                    <w:t>qi</w:t>
                  </w:r>
                </w:p>
                <w:p w14:paraId="225A8D6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3"/>
                      <w:sz w:val="21"/>
                      <w:szCs w:val="21"/>
                      <w:highlight w:val="none"/>
                      <w:u w:val="none" w:color="auto"/>
                    </w:rPr>
                    <w:t>（t）</w:t>
                  </w:r>
                </w:p>
              </w:tc>
              <w:tc>
                <w:tcPr>
                  <w:tcW w:w="959" w:type="pct"/>
                  <w:tcBorders>
                    <w:tl2br w:val="nil"/>
                    <w:tr2bl w:val="nil"/>
                  </w:tcBorders>
                  <w:vAlign w:val="center"/>
                </w:tcPr>
                <w:p w14:paraId="1A4A490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4"/>
                      <w:sz w:val="21"/>
                      <w:szCs w:val="21"/>
                      <w:highlight w:val="none"/>
                      <w:u w:val="none" w:color="auto"/>
                    </w:rPr>
                    <w:t>临界量Qi</w:t>
                  </w:r>
                  <w:r>
                    <w:rPr>
                      <w:rFonts w:hint="default" w:ascii="Times New Roman" w:hAnsi="Times New Roman" w:eastAsia="宋体" w:cs="Times New Roman"/>
                      <w:b/>
                      <w:bCs/>
                      <w:color w:val="auto"/>
                      <w:spacing w:val="-4"/>
                      <w:position w:val="5"/>
                      <w:sz w:val="21"/>
                      <w:szCs w:val="21"/>
                      <w:highlight w:val="none"/>
                      <w:u w:val="none" w:color="auto"/>
                    </w:rPr>
                    <w:t>[1]</w:t>
                  </w:r>
                  <w:r>
                    <w:rPr>
                      <w:rFonts w:hint="default" w:ascii="Times New Roman" w:hAnsi="Times New Roman" w:eastAsia="宋体" w:cs="Times New Roman"/>
                      <w:b/>
                      <w:bCs/>
                      <w:color w:val="auto"/>
                      <w:spacing w:val="-4"/>
                      <w:sz w:val="21"/>
                      <w:szCs w:val="21"/>
                      <w:highlight w:val="none"/>
                      <w:u w:val="none" w:color="auto"/>
                    </w:rPr>
                    <w:t>（t）</w:t>
                  </w:r>
                </w:p>
              </w:tc>
              <w:tc>
                <w:tcPr>
                  <w:tcW w:w="945" w:type="pct"/>
                  <w:tcBorders>
                    <w:tl2br w:val="nil"/>
                    <w:tr2bl w:val="nil"/>
                  </w:tcBorders>
                  <w:vAlign w:val="center"/>
                </w:tcPr>
                <w:p w14:paraId="6CEB389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qi</w:t>
                  </w:r>
                  <w:r>
                    <w:rPr>
                      <w:rFonts w:hint="default" w:ascii="Times New Roman" w:hAnsi="Times New Roman" w:eastAsia="宋体" w:cs="Times New Roman"/>
                      <w:b/>
                      <w:bCs/>
                      <w:color w:val="auto"/>
                      <w:spacing w:val="12"/>
                      <w:sz w:val="21"/>
                      <w:szCs w:val="21"/>
                      <w:highlight w:val="none"/>
                      <w:u w:val="none" w:color="auto"/>
                    </w:rPr>
                    <w:t>/</w:t>
                  </w:r>
                  <w:r>
                    <w:rPr>
                      <w:rFonts w:hint="default" w:ascii="Times New Roman" w:hAnsi="Times New Roman" w:eastAsia="宋体" w:cs="Times New Roman"/>
                      <w:b/>
                      <w:bCs/>
                      <w:color w:val="auto"/>
                      <w:sz w:val="21"/>
                      <w:szCs w:val="21"/>
                      <w:highlight w:val="none"/>
                      <w:u w:val="none" w:color="auto"/>
                    </w:rPr>
                    <w:t>Qi</w:t>
                  </w:r>
                </w:p>
              </w:tc>
            </w:tr>
            <w:tr w14:paraId="74675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5" w:type="pct"/>
                  <w:tcBorders>
                    <w:tl2br w:val="nil"/>
                    <w:tr2bl w:val="nil"/>
                  </w:tcBorders>
                  <w:vAlign w:val="center"/>
                </w:tcPr>
                <w:p w14:paraId="1391C5E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cs="Times New Roman"/>
                      <w:b w:val="0"/>
                      <w:bCs w:val="0"/>
                      <w:color w:val="auto"/>
                      <w:spacing w:val="6"/>
                      <w:sz w:val="21"/>
                      <w:szCs w:val="21"/>
                      <w:highlight w:val="none"/>
                      <w:u w:val="none" w:color="auto"/>
                      <w:lang w:val="en-US" w:eastAsia="zh-CN"/>
                    </w:rPr>
                    <w:t>1</w:t>
                  </w:r>
                </w:p>
              </w:tc>
              <w:tc>
                <w:tcPr>
                  <w:tcW w:w="919" w:type="pct"/>
                  <w:tcBorders>
                    <w:tl2br w:val="nil"/>
                    <w:tr2bl w:val="nil"/>
                  </w:tcBorders>
                  <w:vAlign w:val="center"/>
                </w:tcPr>
                <w:p w14:paraId="39CBA9BB">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危废（废机油、废机油桶）</w:t>
                  </w:r>
                </w:p>
              </w:tc>
              <w:tc>
                <w:tcPr>
                  <w:tcW w:w="919" w:type="pct"/>
                  <w:tcBorders>
                    <w:tl2br w:val="nil"/>
                    <w:tr2bl w:val="nil"/>
                  </w:tcBorders>
                  <w:vAlign w:val="center"/>
                </w:tcPr>
                <w:p w14:paraId="6FC0B7A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pacing w:val="8"/>
                      <w:sz w:val="21"/>
                      <w:szCs w:val="21"/>
                      <w:highlight w:val="none"/>
                      <w:u w:val="none" w:color="auto"/>
                    </w:rPr>
                    <w:t>危废暂存间</w:t>
                  </w:r>
                </w:p>
              </w:tc>
              <w:tc>
                <w:tcPr>
                  <w:tcW w:w="919" w:type="pct"/>
                  <w:tcBorders>
                    <w:tl2br w:val="nil"/>
                    <w:tr2bl w:val="nil"/>
                  </w:tcBorders>
                  <w:vAlign w:val="center"/>
                </w:tcPr>
                <w:p w14:paraId="437C558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0.5</w:t>
                  </w:r>
                </w:p>
              </w:tc>
              <w:tc>
                <w:tcPr>
                  <w:tcW w:w="959" w:type="pct"/>
                  <w:tcBorders>
                    <w:tl2br w:val="nil"/>
                    <w:tr2bl w:val="nil"/>
                  </w:tcBorders>
                  <w:vAlign w:val="center"/>
                </w:tcPr>
                <w:p w14:paraId="74F47C1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cs="Times New Roman"/>
                      <w:b w:val="0"/>
                      <w:bCs w:val="0"/>
                      <w:color w:val="auto"/>
                      <w:spacing w:val="-4"/>
                      <w:sz w:val="21"/>
                      <w:szCs w:val="21"/>
                      <w:highlight w:val="none"/>
                      <w:u w:val="none" w:color="auto"/>
                      <w:lang w:val="en-US" w:eastAsia="zh-CN"/>
                    </w:rPr>
                    <w:t>50</w:t>
                  </w:r>
                </w:p>
              </w:tc>
              <w:tc>
                <w:tcPr>
                  <w:tcW w:w="945" w:type="pct"/>
                  <w:tcBorders>
                    <w:tl2br w:val="nil"/>
                    <w:tr2bl w:val="nil"/>
                  </w:tcBorders>
                  <w:vAlign w:val="center"/>
                </w:tcPr>
                <w:p w14:paraId="64CD9A9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0.01</w:t>
                  </w:r>
                </w:p>
              </w:tc>
            </w:tr>
            <w:tr w14:paraId="5451A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5" w:type="pct"/>
                  <w:tcBorders>
                    <w:tl2br w:val="nil"/>
                    <w:tr2bl w:val="nil"/>
                  </w:tcBorders>
                  <w:vAlign w:val="center"/>
                </w:tcPr>
                <w:p w14:paraId="7C4149B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 w:val="0"/>
                      <w:bCs w:val="0"/>
                      <w:color w:val="auto"/>
                      <w:spacing w:val="6"/>
                      <w:sz w:val="21"/>
                      <w:szCs w:val="21"/>
                      <w:highlight w:val="none"/>
                      <w:u w:val="none" w:color="auto"/>
                      <w:lang w:val="en-US" w:eastAsia="zh-CN"/>
                    </w:rPr>
                  </w:pPr>
                  <w:r>
                    <w:rPr>
                      <w:rFonts w:hint="eastAsia" w:ascii="Times New Roman" w:hAnsi="Times New Roman" w:cs="Times New Roman"/>
                      <w:b w:val="0"/>
                      <w:bCs w:val="0"/>
                      <w:color w:val="auto"/>
                      <w:spacing w:val="6"/>
                      <w:sz w:val="21"/>
                      <w:szCs w:val="21"/>
                      <w:highlight w:val="none"/>
                      <w:u w:val="none" w:color="auto"/>
                      <w:lang w:val="en-US" w:eastAsia="zh-CN"/>
                    </w:rPr>
                    <w:t>2</w:t>
                  </w:r>
                </w:p>
              </w:tc>
              <w:tc>
                <w:tcPr>
                  <w:tcW w:w="919" w:type="pct"/>
                  <w:tcBorders>
                    <w:tl2br w:val="nil"/>
                    <w:tr2bl w:val="nil"/>
                  </w:tcBorders>
                  <w:vAlign w:val="center"/>
                </w:tcPr>
                <w:p w14:paraId="4A993B3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2"/>
                      <w:sz w:val="21"/>
                      <w:szCs w:val="21"/>
                      <w:highlight w:val="none"/>
                      <w:u w:val="none" w:color="auto"/>
                      <w:lang w:val="en-US" w:eastAsia="zh-CN"/>
                    </w:rPr>
                  </w:pPr>
                  <w:r>
                    <w:rPr>
                      <w:rFonts w:hint="eastAsia" w:ascii="Times New Roman" w:hAnsi="Times New Roman" w:cs="Times New Roman"/>
                      <w:color w:val="auto"/>
                      <w:spacing w:val="-2"/>
                      <w:sz w:val="21"/>
                      <w:szCs w:val="21"/>
                      <w:highlight w:val="none"/>
                      <w:u w:val="none" w:color="auto"/>
                      <w:lang w:val="en-US" w:eastAsia="zh-CN"/>
                    </w:rPr>
                    <w:t>液化石油气</w:t>
                  </w:r>
                </w:p>
              </w:tc>
              <w:tc>
                <w:tcPr>
                  <w:tcW w:w="919" w:type="pct"/>
                  <w:tcBorders>
                    <w:tl2br w:val="nil"/>
                    <w:tr2bl w:val="nil"/>
                  </w:tcBorders>
                  <w:vAlign w:val="center"/>
                </w:tcPr>
                <w:p w14:paraId="1919BA3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8"/>
                      <w:sz w:val="21"/>
                      <w:szCs w:val="21"/>
                      <w:highlight w:val="none"/>
                      <w:u w:val="none" w:color="auto"/>
                      <w:lang w:val="en-US" w:eastAsia="zh-CN"/>
                    </w:rPr>
                  </w:pPr>
                  <w:r>
                    <w:rPr>
                      <w:rFonts w:hint="eastAsia" w:ascii="Times New Roman" w:hAnsi="Times New Roman" w:cs="Times New Roman"/>
                      <w:b w:val="0"/>
                      <w:bCs w:val="0"/>
                      <w:color w:val="auto"/>
                      <w:spacing w:val="8"/>
                      <w:sz w:val="21"/>
                      <w:szCs w:val="21"/>
                      <w:highlight w:val="none"/>
                      <w:u w:val="none" w:color="auto"/>
                      <w:lang w:val="en-US" w:eastAsia="zh-CN"/>
                    </w:rPr>
                    <w:t>抽残液区</w:t>
                  </w:r>
                </w:p>
              </w:tc>
              <w:tc>
                <w:tcPr>
                  <w:tcW w:w="919" w:type="pct"/>
                  <w:tcBorders>
                    <w:tl2br w:val="nil"/>
                    <w:tr2bl w:val="nil"/>
                  </w:tcBorders>
                  <w:vAlign w:val="center"/>
                </w:tcPr>
                <w:p w14:paraId="65EBD19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0.1</w:t>
                  </w:r>
                </w:p>
              </w:tc>
              <w:tc>
                <w:tcPr>
                  <w:tcW w:w="959" w:type="pct"/>
                  <w:tcBorders>
                    <w:tl2br w:val="nil"/>
                    <w:tr2bl w:val="nil"/>
                  </w:tcBorders>
                  <w:vAlign w:val="center"/>
                </w:tcPr>
                <w:p w14:paraId="06E2678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b w:val="0"/>
                      <w:bCs w:val="0"/>
                      <w:color w:val="auto"/>
                      <w:spacing w:val="-4"/>
                      <w:sz w:val="21"/>
                      <w:szCs w:val="21"/>
                      <w:highlight w:val="none"/>
                      <w:u w:val="none" w:color="auto"/>
                      <w:lang w:val="en-US" w:eastAsia="zh-CN"/>
                    </w:rPr>
                  </w:pPr>
                  <w:r>
                    <w:rPr>
                      <w:rFonts w:hint="eastAsia" w:ascii="Times New Roman" w:hAnsi="Times New Roman" w:cs="Times New Roman"/>
                      <w:b w:val="0"/>
                      <w:bCs w:val="0"/>
                      <w:color w:val="auto"/>
                      <w:spacing w:val="-4"/>
                      <w:sz w:val="21"/>
                      <w:szCs w:val="21"/>
                      <w:highlight w:val="none"/>
                      <w:u w:val="none" w:color="auto"/>
                      <w:lang w:val="en-US" w:eastAsia="zh-CN"/>
                    </w:rPr>
                    <w:t>50</w:t>
                  </w:r>
                </w:p>
              </w:tc>
              <w:tc>
                <w:tcPr>
                  <w:tcW w:w="945" w:type="pct"/>
                  <w:tcBorders>
                    <w:tl2br w:val="nil"/>
                    <w:tr2bl w:val="nil"/>
                  </w:tcBorders>
                  <w:vAlign w:val="center"/>
                </w:tcPr>
                <w:p w14:paraId="30D222B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0.002</w:t>
                  </w:r>
                </w:p>
              </w:tc>
            </w:tr>
            <w:tr w14:paraId="557980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9" w:hRule="atLeast"/>
              </w:trPr>
              <w:tc>
                <w:tcPr>
                  <w:tcW w:w="4054" w:type="pct"/>
                  <w:gridSpan w:val="5"/>
                  <w:tcBorders>
                    <w:tl2br w:val="nil"/>
                    <w:tr2bl w:val="nil"/>
                  </w:tcBorders>
                  <w:vAlign w:val="center"/>
                </w:tcPr>
                <w:p w14:paraId="2582AAAF">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合计</w:t>
                  </w:r>
                </w:p>
              </w:tc>
              <w:tc>
                <w:tcPr>
                  <w:tcW w:w="945" w:type="pct"/>
                  <w:tcBorders>
                    <w:tl2br w:val="nil"/>
                    <w:tr2bl w:val="nil"/>
                  </w:tcBorders>
                  <w:vAlign w:val="center"/>
                </w:tcPr>
                <w:p w14:paraId="2339DEA9">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0.012</w:t>
                  </w:r>
                </w:p>
              </w:tc>
            </w:tr>
            <w:tr w14:paraId="4D386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000" w:type="pct"/>
                  <w:gridSpan w:val="6"/>
                  <w:tcBorders>
                    <w:tl2br w:val="nil"/>
                    <w:tr2bl w:val="nil"/>
                  </w:tcBorders>
                  <w:vAlign w:val="center"/>
                </w:tcPr>
                <w:p w14:paraId="367A0A9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注[1]：临界量</w:t>
                  </w:r>
                  <w:r>
                    <w:rPr>
                      <w:rFonts w:hint="default" w:ascii="Times New Roman" w:hAnsi="Times New Roman" w:eastAsia="宋体" w:cs="Times New Roman"/>
                      <w:color w:val="auto"/>
                      <w:sz w:val="21"/>
                      <w:szCs w:val="21"/>
                      <w:highlight w:val="none"/>
                      <w:u w:val="none" w:color="auto"/>
                    </w:rPr>
                    <w:t>Qi</w:t>
                  </w:r>
                  <w:r>
                    <w:rPr>
                      <w:rFonts w:hint="default" w:ascii="Times New Roman" w:hAnsi="Times New Roman" w:eastAsia="宋体" w:cs="Times New Roman"/>
                      <w:color w:val="auto"/>
                      <w:spacing w:val="8"/>
                      <w:sz w:val="21"/>
                      <w:szCs w:val="21"/>
                      <w:highlight w:val="none"/>
                      <w:u w:val="none" w:color="auto"/>
                    </w:rPr>
                    <w:t>参照《建设项目环境风险评价技术导则》（</w:t>
                  </w:r>
                  <w:r>
                    <w:rPr>
                      <w:rFonts w:hint="default" w:ascii="Times New Roman" w:hAnsi="Times New Roman" w:eastAsia="宋体" w:cs="Times New Roman"/>
                      <w:color w:val="auto"/>
                      <w:sz w:val="21"/>
                      <w:szCs w:val="21"/>
                      <w:highlight w:val="none"/>
                      <w:u w:val="none" w:color="auto"/>
                    </w:rPr>
                    <w:t>HJ</w:t>
                  </w:r>
                  <w:r>
                    <w:rPr>
                      <w:rFonts w:hint="default" w:ascii="Times New Roman" w:hAnsi="Times New Roman" w:eastAsia="宋体" w:cs="Times New Roman"/>
                      <w:color w:val="auto"/>
                      <w:spacing w:val="8"/>
                      <w:sz w:val="21"/>
                      <w:szCs w:val="21"/>
                      <w:highlight w:val="none"/>
                      <w:u w:val="none" w:color="auto"/>
                    </w:rPr>
                    <w:t>169-2018</w:t>
                  </w:r>
                  <w:r>
                    <w:rPr>
                      <w:rFonts w:hint="default" w:ascii="Times New Roman" w:hAnsi="Times New Roman" w:eastAsia="宋体" w:cs="Times New Roman"/>
                      <w:color w:val="auto"/>
                      <w:spacing w:val="2"/>
                      <w:sz w:val="21"/>
                      <w:szCs w:val="21"/>
                      <w:highlight w:val="none"/>
                      <w:u w:val="none" w:color="auto"/>
                    </w:rPr>
                    <w:t>）；</w:t>
                  </w:r>
                </w:p>
              </w:tc>
            </w:tr>
          </w:tbl>
          <w:p w14:paraId="1AA76917">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en-US"/>
              </w:rPr>
            </w:pPr>
            <w:r>
              <w:rPr>
                <w:rFonts w:hint="default"/>
                <w:color w:val="auto"/>
                <w:highlight w:val="none"/>
                <w:u w:val="none" w:color="auto"/>
                <w:lang w:val="en-US" w:eastAsia="en-US"/>
              </w:rPr>
              <w:t>本项目危险物质的数量与临界量比值</w:t>
            </w:r>
            <w:r>
              <w:rPr>
                <w:rStyle w:val="35"/>
                <w:rFonts w:hint="default"/>
                <w:highlight w:val="none"/>
                <w:u w:val="none" w:color="auto"/>
                <w:lang w:val="en-US" w:eastAsia="en-US"/>
              </w:rPr>
              <w:t>Q=</w:t>
            </w:r>
            <w:r>
              <w:rPr>
                <w:rStyle w:val="35"/>
                <w:rFonts w:hint="eastAsia"/>
                <w:highlight w:val="none"/>
                <w:u w:val="none" w:color="auto"/>
                <w:lang w:val="en-US" w:eastAsia="zh-CN"/>
              </w:rPr>
              <w:t>0.012</w:t>
            </w:r>
            <w:r>
              <w:rPr>
                <w:rStyle w:val="35"/>
                <w:rFonts w:hint="default"/>
                <w:highlight w:val="none"/>
                <w:u w:val="none" w:color="auto"/>
                <w:lang w:val="en-US" w:eastAsia="en-US"/>
              </w:rPr>
              <w:t>，</w:t>
            </w:r>
            <w:r>
              <w:rPr>
                <w:rFonts w:hint="default"/>
                <w:color w:val="auto"/>
                <w:highlight w:val="none"/>
                <w:u w:val="none" w:color="auto"/>
                <w:lang w:val="en-US" w:eastAsia="en-US"/>
              </w:rPr>
              <w:t>本项目危险物质数量与临界量比值Q=</w:t>
            </w:r>
            <w:r>
              <w:rPr>
                <w:rFonts w:hint="eastAsia"/>
                <w:color w:val="auto"/>
                <w:highlight w:val="none"/>
                <w:u w:val="none" w:color="auto"/>
                <w:lang w:val="en-US" w:eastAsia="zh-CN"/>
              </w:rPr>
              <w:t>0.012</w:t>
            </w:r>
            <w:r>
              <w:rPr>
                <w:rFonts w:hint="default"/>
                <w:color w:val="auto"/>
                <w:highlight w:val="none"/>
                <w:u w:val="none" w:color="auto"/>
                <w:lang w:val="en-US" w:eastAsia="en-US"/>
              </w:rPr>
              <w:t>＜1，风险潜势为I。</w:t>
            </w:r>
          </w:p>
          <w:p w14:paraId="0512DA7D">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环境风险识别</w:t>
            </w:r>
          </w:p>
          <w:p w14:paraId="79ED7D2B">
            <w:pPr>
              <w:pStyle w:val="49"/>
              <w:keepNext w:val="0"/>
              <w:keepLines w:val="0"/>
              <w:pageBreakBefore w:val="0"/>
              <w:widowControl/>
              <w:kinsoku/>
              <w:wordWrap w:val="0"/>
              <w:overflowPunct/>
              <w:topLinePunct/>
              <w:autoSpaceDE/>
              <w:autoSpaceDN/>
              <w:bidi w:val="0"/>
              <w:adjustRightInd/>
              <w:snapToGrid/>
              <w:ind w:firstLine="480"/>
              <w:rPr>
                <w:rFonts w:hint="default" w:ascii="Times New Roman" w:hAnsi="Times New Roman" w:cs="Times New Roman"/>
                <w:b/>
                <w:color w:val="auto"/>
                <w:kern w:val="0"/>
                <w:szCs w:val="21"/>
                <w:highlight w:val="none"/>
                <w:u w:val="none" w:color="auto"/>
              </w:rPr>
            </w:pPr>
            <w:r>
              <w:rPr>
                <w:rFonts w:hint="default" w:ascii="Times New Roman" w:hAnsi="Times New Roman" w:cs="Times New Roman"/>
                <w:color w:val="auto"/>
                <w:highlight w:val="none"/>
                <w:u w:val="none" w:color="auto"/>
              </w:rPr>
              <w:t>本项目生产系统可能产生的环境风险识别如下表所示：</w:t>
            </w:r>
          </w:p>
          <w:p w14:paraId="1D72135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color w:val="auto"/>
                <w:kern w:val="0"/>
                <w:szCs w:val="21"/>
                <w:highlight w:val="none"/>
                <w:u w:val="none" w:color="auto"/>
              </w:rPr>
            </w:pPr>
            <w:r>
              <w:rPr>
                <w:rFonts w:hint="default" w:ascii="Times New Roman" w:hAnsi="Times New Roman" w:cs="Times New Roman"/>
                <w:b/>
                <w:color w:val="auto"/>
                <w:kern w:val="0"/>
                <w:szCs w:val="21"/>
                <w:highlight w:val="none"/>
                <w:u w:val="none" w:color="auto"/>
              </w:rPr>
              <w:t>表4-</w:t>
            </w:r>
            <w:r>
              <w:rPr>
                <w:rFonts w:hint="eastAsia" w:cs="Times New Roman"/>
                <w:b/>
                <w:color w:val="auto"/>
                <w:kern w:val="0"/>
                <w:szCs w:val="21"/>
                <w:highlight w:val="none"/>
                <w:u w:val="none" w:color="auto"/>
                <w:lang w:val="en-US" w:eastAsia="zh-CN"/>
              </w:rPr>
              <w:t xml:space="preserve">20   </w:t>
            </w:r>
            <w:r>
              <w:rPr>
                <w:rFonts w:hint="default" w:ascii="Times New Roman" w:hAnsi="Times New Roman" w:cs="Times New Roman"/>
                <w:b/>
                <w:color w:val="auto"/>
                <w:kern w:val="0"/>
                <w:szCs w:val="21"/>
                <w:highlight w:val="none"/>
                <w:u w:val="none" w:color="auto"/>
              </w:rPr>
              <w:t>生产系统危险性识别</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274"/>
              <w:gridCol w:w="1440"/>
              <w:gridCol w:w="4510"/>
            </w:tblGrid>
            <w:tr w14:paraId="1F49A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Align w:val="center"/>
                </w:tcPr>
                <w:p w14:paraId="39314246">
                  <w:pPr>
                    <w:pStyle w:val="30"/>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序号</w:t>
                  </w:r>
                </w:p>
              </w:tc>
              <w:tc>
                <w:tcPr>
                  <w:tcW w:w="799" w:type="pct"/>
                  <w:vAlign w:val="center"/>
                </w:tcPr>
                <w:p w14:paraId="75A75200">
                  <w:pPr>
                    <w:pStyle w:val="30"/>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风险源</w:t>
                  </w:r>
                </w:p>
              </w:tc>
              <w:tc>
                <w:tcPr>
                  <w:tcW w:w="903" w:type="pct"/>
                  <w:vAlign w:val="center"/>
                </w:tcPr>
                <w:p w14:paraId="2BFD678D">
                  <w:pPr>
                    <w:pStyle w:val="30"/>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风险物质</w:t>
                  </w:r>
                </w:p>
              </w:tc>
              <w:tc>
                <w:tcPr>
                  <w:tcW w:w="2829" w:type="pct"/>
                  <w:vAlign w:val="center"/>
                </w:tcPr>
                <w:p w14:paraId="78CF5509">
                  <w:pPr>
                    <w:pStyle w:val="30"/>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危害后果</w:t>
                  </w:r>
                </w:p>
              </w:tc>
            </w:tr>
            <w:tr w14:paraId="246F9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Align w:val="center"/>
                </w:tcPr>
                <w:p w14:paraId="69801BDB">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rPr>
                  </w:pPr>
                  <w:r>
                    <w:rPr>
                      <w:rFonts w:hint="default"/>
                      <w:color w:val="auto"/>
                      <w:highlight w:val="none"/>
                      <w:u w:val="none" w:color="auto"/>
                    </w:rPr>
                    <w:t>1</w:t>
                  </w:r>
                </w:p>
              </w:tc>
              <w:tc>
                <w:tcPr>
                  <w:tcW w:w="799" w:type="pct"/>
                  <w:vAlign w:val="center"/>
                </w:tcPr>
                <w:p w14:paraId="6ED34AF7">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rPr>
                  </w:pPr>
                  <w:r>
                    <w:rPr>
                      <w:rFonts w:hint="default"/>
                      <w:color w:val="auto"/>
                      <w:highlight w:val="none"/>
                      <w:u w:val="none" w:color="auto"/>
                    </w:rPr>
                    <w:t>危废暂存间</w:t>
                  </w:r>
                </w:p>
              </w:tc>
              <w:tc>
                <w:tcPr>
                  <w:tcW w:w="903" w:type="pct"/>
                  <w:vAlign w:val="center"/>
                </w:tcPr>
                <w:p w14:paraId="6DCA54AE">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eastAsia="zh-CN"/>
                    </w:rPr>
                    <w:t>废机油</w:t>
                  </w:r>
                </w:p>
              </w:tc>
              <w:tc>
                <w:tcPr>
                  <w:tcW w:w="2829" w:type="pct"/>
                  <w:vAlign w:val="center"/>
                </w:tcPr>
                <w:p w14:paraId="237AFA37">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rPr>
                  </w:pPr>
                  <w:r>
                    <w:rPr>
                      <w:rFonts w:hint="default"/>
                      <w:color w:val="auto"/>
                      <w:highlight w:val="none"/>
                      <w:u w:val="none" w:color="auto"/>
                    </w:rPr>
                    <w:t>泄漏污染土壤、地下水，衍生火灾</w:t>
                  </w:r>
                </w:p>
              </w:tc>
            </w:tr>
            <w:tr w14:paraId="644EB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14:paraId="18CC7035">
                  <w:pPr>
                    <w:pStyle w:val="30"/>
                    <w:keepNext w:val="0"/>
                    <w:keepLines w:val="0"/>
                    <w:pageBreakBefore w:val="0"/>
                    <w:widowControl/>
                    <w:kinsoku/>
                    <w:wordWrap w:val="0"/>
                    <w:overflowPunct/>
                    <w:topLinePunct/>
                    <w:autoSpaceDE/>
                    <w:autoSpaceDN/>
                    <w:bidi w:val="0"/>
                    <w:adjustRightInd/>
                    <w:snapToGrid/>
                    <w:jc w:val="center"/>
                    <w:rPr>
                      <w:rFonts w:hint="eastAsia" w:eastAsia="宋体"/>
                      <w:color w:val="auto"/>
                      <w:highlight w:val="none"/>
                      <w:u w:val="none" w:color="auto"/>
                      <w:lang w:val="en-US" w:eastAsia="zh-CN"/>
                    </w:rPr>
                  </w:pPr>
                  <w:r>
                    <w:rPr>
                      <w:rFonts w:hint="eastAsia"/>
                      <w:color w:val="auto"/>
                      <w:highlight w:val="none"/>
                      <w:u w:val="none" w:color="auto"/>
                      <w:lang w:val="en-US" w:eastAsia="zh-CN"/>
                    </w:rPr>
                    <w:t>2</w:t>
                  </w:r>
                </w:p>
              </w:tc>
              <w:tc>
                <w:tcPr>
                  <w:tcW w:w="799" w:type="pct"/>
                  <w:vAlign w:val="center"/>
                </w:tcPr>
                <w:p w14:paraId="4FEF9439">
                  <w:pPr>
                    <w:pStyle w:val="30"/>
                    <w:keepNext w:val="0"/>
                    <w:keepLines w:val="0"/>
                    <w:pageBreakBefore w:val="0"/>
                    <w:widowControl/>
                    <w:kinsoku/>
                    <w:wordWrap w:val="0"/>
                    <w:overflowPunct/>
                    <w:topLinePunct/>
                    <w:autoSpaceDE/>
                    <w:autoSpaceDN/>
                    <w:bidi w:val="0"/>
                    <w:adjustRightInd/>
                    <w:snapToGrid/>
                    <w:jc w:val="center"/>
                    <w:rPr>
                      <w:rFonts w:hint="default" w:eastAsia="宋体"/>
                      <w:color w:val="auto"/>
                      <w:highlight w:val="none"/>
                      <w:u w:val="none" w:color="auto"/>
                      <w:lang w:val="en-US" w:eastAsia="zh-CN"/>
                    </w:rPr>
                  </w:pPr>
                  <w:r>
                    <w:rPr>
                      <w:rFonts w:hint="eastAsia"/>
                      <w:color w:val="auto"/>
                      <w:highlight w:val="none"/>
                      <w:u w:val="none" w:color="auto"/>
                      <w:lang w:val="en-US" w:eastAsia="zh-CN"/>
                    </w:rPr>
                    <w:t>抽残液区</w:t>
                  </w:r>
                </w:p>
              </w:tc>
              <w:tc>
                <w:tcPr>
                  <w:tcW w:w="903" w:type="pct"/>
                  <w:vAlign w:val="center"/>
                </w:tcPr>
                <w:p w14:paraId="32829345">
                  <w:pPr>
                    <w:pStyle w:val="30"/>
                    <w:keepNext w:val="0"/>
                    <w:keepLines w:val="0"/>
                    <w:pageBreakBefore w:val="0"/>
                    <w:widowControl/>
                    <w:kinsoku/>
                    <w:wordWrap w:val="0"/>
                    <w:overflowPunct/>
                    <w:topLinePunct/>
                    <w:autoSpaceDE/>
                    <w:autoSpaceDN/>
                    <w:bidi w:val="0"/>
                    <w:adjustRightInd/>
                    <w:snapToGrid/>
                    <w:jc w:val="center"/>
                    <w:rPr>
                      <w:rFonts w:hint="eastAsia"/>
                      <w:color w:val="auto"/>
                      <w:highlight w:val="none"/>
                      <w:u w:val="none" w:color="auto"/>
                      <w:lang w:eastAsia="zh-CN"/>
                    </w:rPr>
                  </w:pPr>
                  <w:r>
                    <w:rPr>
                      <w:rFonts w:hint="eastAsia" w:ascii="Times New Roman" w:hAnsi="Times New Roman" w:cs="Times New Roman"/>
                      <w:color w:val="auto"/>
                      <w:spacing w:val="-2"/>
                      <w:sz w:val="21"/>
                      <w:szCs w:val="21"/>
                      <w:highlight w:val="none"/>
                      <w:u w:val="none" w:color="auto"/>
                      <w:lang w:val="en-US" w:eastAsia="zh-CN"/>
                    </w:rPr>
                    <w:t>液化石油气</w:t>
                  </w:r>
                </w:p>
              </w:tc>
              <w:tc>
                <w:tcPr>
                  <w:tcW w:w="2829" w:type="pct"/>
                  <w:vAlign w:val="center"/>
                </w:tcPr>
                <w:p w14:paraId="1E4B53F4">
                  <w:pPr>
                    <w:pStyle w:val="30"/>
                    <w:keepNext w:val="0"/>
                    <w:keepLines w:val="0"/>
                    <w:pageBreakBefore w:val="0"/>
                    <w:widowControl/>
                    <w:kinsoku/>
                    <w:wordWrap w:val="0"/>
                    <w:overflowPunct/>
                    <w:topLinePunct/>
                    <w:autoSpaceDE/>
                    <w:autoSpaceDN/>
                    <w:bidi w:val="0"/>
                    <w:adjustRightInd/>
                    <w:snapToGrid/>
                    <w:jc w:val="center"/>
                    <w:rPr>
                      <w:rFonts w:hint="default"/>
                      <w:highlight w:val="none"/>
                      <w:u w:val="none" w:color="auto"/>
                    </w:rPr>
                  </w:pPr>
                  <w:r>
                    <w:rPr>
                      <w:rFonts w:hint="default"/>
                      <w:color w:val="auto"/>
                      <w:highlight w:val="none"/>
                      <w:u w:val="none" w:color="auto"/>
                    </w:rPr>
                    <w:t>抽残液过程中残液泄漏，遇火源发生火灾、爆炸事故</w:t>
                  </w:r>
                </w:p>
              </w:tc>
            </w:tr>
            <w:tr w14:paraId="54FAD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14:paraId="13258D8D">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3</w:t>
                  </w:r>
                </w:p>
              </w:tc>
              <w:tc>
                <w:tcPr>
                  <w:tcW w:w="799" w:type="pct"/>
                  <w:vAlign w:val="center"/>
                </w:tcPr>
                <w:p w14:paraId="5118380E">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焚烧炉</w:t>
                  </w:r>
                </w:p>
              </w:tc>
              <w:tc>
                <w:tcPr>
                  <w:tcW w:w="903" w:type="pct"/>
                  <w:vAlign w:val="center"/>
                </w:tcPr>
                <w:p w14:paraId="63D1EB9C">
                  <w:pPr>
                    <w:pStyle w:val="30"/>
                    <w:keepNext w:val="0"/>
                    <w:keepLines w:val="0"/>
                    <w:pageBreakBefore w:val="0"/>
                    <w:widowControl/>
                    <w:kinsoku/>
                    <w:wordWrap w:val="0"/>
                    <w:overflowPunct/>
                    <w:topLinePunct/>
                    <w:autoSpaceDE/>
                    <w:autoSpaceDN/>
                    <w:bidi w:val="0"/>
                    <w:adjustRightInd/>
                    <w:snapToGrid/>
                    <w:jc w:val="center"/>
                    <w:rPr>
                      <w:rFonts w:hint="eastAsia" w:ascii="Times New Roman" w:hAnsi="Times New Roman" w:cs="Times New Roman"/>
                      <w:color w:val="auto"/>
                      <w:spacing w:val="-2"/>
                      <w:sz w:val="21"/>
                      <w:szCs w:val="21"/>
                      <w:highlight w:val="none"/>
                      <w:u w:val="none" w:color="auto"/>
                      <w:lang w:val="en-US" w:eastAsia="zh-CN"/>
                    </w:rPr>
                  </w:pPr>
                  <w:r>
                    <w:rPr>
                      <w:rFonts w:hint="eastAsia" w:ascii="Times New Roman" w:hAnsi="Times New Roman" w:cs="Times New Roman"/>
                      <w:color w:val="auto"/>
                      <w:spacing w:val="-2"/>
                      <w:sz w:val="21"/>
                      <w:szCs w:val="21"/>
                      <w:highlight w:val="none"/>
                      <w:u w:val="none" w:color="auto"/>
                      <w:lang w:val="en-US" w:eastAsia="zh-CN"/>
                    </w:rPr>
                    <w:t>CO、烟尘</w:t>
                  </w:r>
                  <w:r>
                    <w:rPr>
                      <w:rFonts w:hint="eastAsia" w:cs="Times New Roman"/>
                      <w:color w:val="auto"/>
                      <w:spacing w:val="-2"/>
                      <w:sz w:val="21"/>
                      <w:szCs w:val="21"/>
                      <w:highlight w:val="none"/>
                      <w:u w:val="none" w:color="auto"/>
                      <w:lang w:val="en-US" w:eastAsia="zh-CN"/>
                    </w:rPr>
                    <w:t>等</w:t>
                  </w:r>
                </w:p>
              </w:tc>
              <w:tc>
                <w:tcPr>
                  <w:tcW w:w="2829" w:type="pct"/>
                  <w:vAlign w:val="center"/>
                </w:tcPr>
                <w:p w14:paraId="5127C15D">
                  <w:pPr>
                    <w:pStyle w:val="30"/>
                    <w:keepNext w:val="0"/>
                    <w:keepLines w:val="0"/>
                    <w:pageBreakBefore w:val="0"/>
                    <w:widowControl/>
                    <w:kinsoku/>
                    <w:wordWrap w:val="0"/>
                    <w:overflowPunct/>
                    <w:topLinePunct/>
                    <w:autoSpaceDE/>
                    <w:autoSpaceDN/>
                    <w:bidi w:val="0"/>
                    <w:adjustRightInd/>
                    <w:snapToGrid/>
                    <w:jc w:val="center"/>
                    <w:rPr>
                      <w:rFonts w:hint="eastAsia" w:ascii="Times New Roman" w:hAnsi="Times New Roman" w:cs="Times New Roman"/>
                      <w:color w:val="auto"/>
                      <w:spacing w:val="-2"/>
                      <w:sz w:val="21"/>
                      <w:szCs w:val="21"/>
                      <w:highlight w:val="none"/>
                      <w:u w:val="none" w:color="auto"/>
                      <w:lang w:val="en-US" w:eastAsia="zh-CN"/>
                    </w:rPr>
                  </w:pPr>
                  <w:r>
                    <w:rPr>
                      <w:rFonts w:hint="eastAsia" w:ascii="Times New Roman" w:hAnsi="Times New Roman" w:cs="Times New Roman"/>
                      <w:color w:val="auto"/>
                      <w:spacing w:val="-2"/>
                      <w:sz w:val="21"/>
                      <w:szCs w:val="21"/>
                      <w:highlight w:val="none"/>
                      <w:u w:val="none" w:color="auto"/>
                      <w:lang w:val="en-US" w:eastAsia="zh-CN"/>
                    </w:rPr>
                    <w:t>熄火或温度不足导致废物未完全燃烧，次生污染</w:t>
                  </w:r>
                </w:p>
              </w:tc>
            </w:tr>
            <w:tr w14:paraId="3F11B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14:paraId="2E612B1B">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4</w:t>
                  </w:r>
                </w:p>
              </w:tc>
              <w:tc>
                <w:tcPr>
                  <w:tcW w:w="799" w:type="pct"/>
                  <w:vAlign w:val="center"/>
                </w:tcPr>
                <w:p w14:paraId="72F7E50E">
                  <w:pPr>
                    <w:pStyle w:val="30"/>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废气处理设施</w:t>
                  </w:r>
                </w:p>
              </w:tc>
              <w:tc>
                <w:tcPr>
                  <w:tcW w:w="903" w:type="pct"/>
                  <w:vAlign w:val="center"/>
                </w:tcPr>
                <w:p w14:paraId="046176F1">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color w:val="auto"/>
                      <w:spacing w:val="-2"/>
                      <w:sz w:val="21"/>
                      <w:szCs w:val="21"/>
                      <w:highlight w:val="none"/>
                      <w:u w:val="none" w:color="auto"/>
                      <w:lang w:val="en-US" w:eastAsia="zh-CN"/>
                    </w:rPr>
                  </w:pPr>
                  <w:r>
                    <w:rPr>
                      <w:rFonts w:hint="eastAsia" w:cs="Times New Roman"/>
                      <w:color w:val="auto"/>
                      <w:spacing w:val="-2"/>
                      <w:sz w:val="21"/>
                      <w:szCs w:val="21"/>
                      <w:highlight w:val="none"/>
                      <w:u w:val="none" w:color="auto"/>
                      <w:lang w:val="en-US" w:eastAsia="zh-CN"/>
                    </w:rPr>
                    <w:t>颗粒物、SO</w:t>
                  </w:r>
                  <w:r>
                    <w:rPr>
                      <w:rFonts w:hint="eastAsia" w:cs="Times New Roman"/>
                      <w:color w:val="auto"/>
                      <w:spacing w:val="-2"/>
                      <w:sz w:val="21"/>
                      <w:szCs w:val="21"/>
                      <w:highlight w:val="none"/>
                      <w:u w:val="none" w:color="auto"/>
                      <w:vertAlign w:val="subscript"/>
                      <w:lang w:val="en-US" w:eastAsia="zh-CN"/>
                    </w:rPr>
                    <w:t>2</w:t>
                  </w:r>
                  <w:r>
                    <w:rPr>
                      <w:rFonts w:hint="eastAsia" w:cs="Times New Roman"/>
                      <w:color w:val="auto"/>
                      <w:spacing w:val="-2"/>
                      <w:sz w:val="21"/>
                      <w:szCs w:val="21"/>
                      <w:highlight w:val="none"/>
                      <w:u w:val="none" w:color="auto"/>
                      <w:lang w:val="en-US" w:eastAsia="zh-CN"/>
                    </w:rPr>
                    <w:t>、NOx</w:t>
                  </w:r>
                </w:p>
              </w:tc>
              <w:tc>
                <w:tcPr>
                  <w:tcW w:w="2829" w:type="pct"/>
                  <w:vAlign w:val="center"/>
                </w:tcPr>
                <w:p w14:paraId="7C20EC46">
                  <w:pPr>
                    <w:pStyle w:val="30"/>
                    <w:keepNext w:val="0"/>
                    <w:keepLines w:val="0"/>
                    <w:pageBreakBefore w:val="0"/>
                    <w:widowControl/>
                    <w:kinsoku/>
                    <w:wordWrap w:val="0"/>
                    <w:overflowPunct/>
                    <w:topLinePunct/>
                    <w:autoSpaceDE/>
                    <w:autoSpaceDN/>
                    <w:bidi w:val="0"/>
                    <w:adjustRightInd/>
                    <w:snapToGrid/>
                    <w:jc w:val="center"/>
                    <w:rPr>
                      <w:rFonts w:hint="eastAsia" w:ascii="Times New Roman" w:hAnsi="Times New Roman" w:cs="Times New Roman"/>
                      <w:color w:val="auto"/>
                      <w:spacing w:val="-2"/>
                      <w:sz w:val="21"/>
                      <w:szCs w:val="21"/>
                      <w:highlight w:val="none"/>
                      <w:u w:val="none" w:color="auto"/>
                      <w:lang w:val="en-US" w:eastAsia="zh-CN"/>
                    </w:rPr>
                  </w:pPr>
                  <w:r>
                    <w:rPr>
                      <w:rFonts w:hint="eastAsia" w:ascii="Times New Roman" w:hAnsi="Times New Roman" w:cs="Times New Roman"/>
                      <w:color w:val="auto"/>
                      <w:spacing w:val="-2"/>
                      <w:sz w:val="21"/>
                      <w:szCs w:val="21"/>
                      <w:highlight w:val="none"/>
                      <w:u w:val="none" w:color="auto"/>
                      <w:lang w:val="en-US" w:eastAsia="zh-CN"/>
                    </w:rPr>
                    <w:t>废气处理系统（如</w:t>
                  </w:r>
                  <w:r>
                    <w:rPr>
                      <w:rFonts w:hint="eastAsia" w:cs="Times New Roman"/>
                      <w:color w:val="auto"/>
                      <w:spacing w:val="-2"/>
                      <w:sz w:val="21"/>
                      <w:szCs w:val="21"/>
                      <w:highlight w:val="none"/>
                      <w:u w:val="none" w:color="auto"/>
                      <w:lang w:val="en-US" w:eastAsia="zh-CN"/>
                    </w:rPr>
                    <w:t>水膜</w:t>
                  </w:r>
                  <w:r>
                    <w:rPr>
                      <w:rFonts w:hint="eastAsia" w:ascii="Times New Roman" w:hAnsi="Times New Roman" w:cs="Times New Roman"/>
                      <w:color w:val="auto"/>
                      <w:spacing w:val="-2"/>
                      <w:sz w:val="21"/>
                      <w:szCs w:val="21"/>
                      <w:highlight w:val="none"/>
                      <w:u w:val="none" w:color="auto"/>
                      <w:lang w:val="en-US" w:eastAsia="zh-CN"/>
                    </w:rPr>
                    <w:t>除尘</w:t>
                  </w:r>
                  <w:r>
                    <w:rPr>
                      <w:rFonts w:hint="eastAsia" w:cs="Times New Roman"/>
                      <w:color w:val="auto"/>
                      <w:spacing w:val="-2"/>
                      <w:sz w:val="21"/>
                      <w:szCs w:val="21"/>
                      <w:highlight w:val="none"/>
                      <w:u w:val="none" w:color="auto"/>
                      <w:lang w:val="en-US" w:eastAsia="zh-CN"/>
                    </w:rPr>
                    <w:t>装置</w:t>
                  </w:r>
                  <w:r>
                    <w:rPr>
                      <w:rFonts w:hint="eastAsia" w:ascii="Times New Roman" w:hAnsi="Times New Roman" w:cs="Times New Roman"/>
                      <w:color w:val="auto"/>
                      <w:spacing w:val="-2"/>
                      <w:sz w:val="21"/>
                      <w:szCs w:val="21"/>
                      <w:highlight w:val="none"/>
                      <w:u w:val="none" w:color="auto"/>
                      <w:lang w:val="en-US" w:eastAsia="zh-CN"/>
                    </w:rPr>
                    <w:t>）失效，导致污染物直排</w:t>
                  </w:r>
                </w:p>
              </w:tc>
            </w:tr>
          </w:tbl>
          <w:p w14:paraId="4E46E833">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eastAsia"/>
                <w:highlight w:val="none"/>
                <w:u w:val="none" w:color="auto"/>
                <w:lang w:val="en-US" w:eastAsia="zh-CN"/>
              </w:rPr>
            </w:pPr>
            <w:r>
              <w:rPr>
                <w:rFonts w:hint="eastAsia"/>
                <w:b/>
                <w:bCs/>
                <w:highlight w:val="none"/>
                <w:u w:val="none" w:color="auto"/>
                <w:lang w:val="en-US" w:eastAsia="zh-CN"/>
              </w:rPr>
              <w:t>3、环境风险分析</w:t>
            </w:r>
          </w:p>
          <w:p w14:paraId="6908DD5C">
            <w:pPr>
              <w:pStyle w:val="25"/>
              <w:bidi w:val="0"/>
              <w:rPr>
                <w:highlight w:val="none"/>
                <w:u w:val="none" w:color="auto"/>
              </w:rPr>
            </w:pPr>
            <w:r>
              <w:rPr>
                <w:highlight w:val="none"/>
                <w:u w:val="none" w:color="auto"/>
              </w:rPr>
              <w:t>本项目的环境风险主要为：</w:t>
            </w:r>
          </w:p>
          <w:p w14:paraId="1AE7C90C">
            <w:pPr>
              <w:pStyle w:val="25"/>
              <w:bidi w:val="0"/>
              <w:rPr>
                <w:highlight w:val="none"/>
                <w:u w:val="none" w:color="auto"/>
              </w:rPr>
            </w:pPr>
            <w:r>
              <w:rPr>
                <w:highlight w:val="none"/>
                <w:u w:val="none" w:color="auto"/>
              </w:rPr>
              <w:t>A、残液收集罐和</w:t>
            </w:r>
            <w:r>
              <w:rPr>
                <w:rFonts w:hint="eastAsia"/>
                <w:highlight w:val="none"/>
                <w:u w:val="none" w:color="auto"/>
                <w:lang w:val="en-US" w:eastAsia="zh-CN"/>
              </w:rPr>
              <w:t>暂</w:t>
            </w:r>
            <w:r>
              <w:rPr>
                <w:highlight w:val="none"/>
                <w:u w:val="none" w:color="auto"/>
              </w:rPr>
              <w:t>存罐的罐壁破损、管道连接处或阀门损坏导致残液泄漏，遇火源发生火灾、爆炸事故。</w:t>
            </w:r>
          </w:p>
          <w:p w14:paraId="3B69525D">
            <w:pPr>
              <w:pStyle w:val="25"/>
              <w:bidi w:val="0"/>
              <w:rPr>
                <w:highlight w:val="none"/>
                <w:u w:val="none" w:color="auto"/>
              </w:rPr>
            </w:pPr>
            <w:r>
              <w:rPr>
                <w:highlight w:val="none"/>
                <w:u w:val="none" w:color="auto"/>
              </w:rPr>
              <w:t>B、焚烧炉中残液与空气混合物末经燃烧或部分燃烧进入炉膛，造成炉内液化石油气含量越来越高，当其含量达到</w:t>
            </w:r>
            <w:r>
              <w:rPr>
                <w:rFonts w:hint="eastAsia"/>
                <w:highlight w:val="none"/>
                <w:u w:val="none" w:color="auto"/>
                <w:lang w:val="en-US" w:eastAsia="zh-CN"/>
              </w:rPr>
              <w:t>一</w:t>
            </w:r>
            <w:r>
              <w:rPr>
                <w:highlight w:val="none"/>
                <w:u w:val="none" w:color="auto"/>
              </w:rPr>
              <w:t>定程度时，即引发爆炸</w:t>
            </w:r>
            <w:r>
              <w:rPr>
                <w:rFonts w:hint="eastAsia"/>
                <w:highlight w:val="none"/>
                <w:u w:val="none" w:color="auto"/>
                <w:lang w:eastAsia="zh-CN"/>
              </w:rPr>
              <w:t>；</w:t>
            </w:r>
            <w:r>
              <w:rPr>
                <w:highlight w:val="none"/>
                <w:u w:val="none" w:color="auto"/>
              </w:rPr>
              <w:t>其中焚烧炉废气收尘系统如遇设备故障，可能出现超标排放。</w:t>
            </w:r>
          </w:p>
          <w:p w14:paraId="7B707B6C">
            <w:pPr>
              <w:pStyle w:val="25"/>
              <w:bidi w:val="0"/>
              <w:rPr>
                <w:rFonts w:hint="eastAsia" w:eastAsia="宋体"/>
                <w:highlight w:val="none"/>
                <w:u w:val="none" w:color="auto"/>
                <w:lang w:eastAsia="zh-CN"/>
              </w:rPr>
            </w:pPr>
            <w:r>
              <w:rPr>
                <w:highlight w:val="none"/>
                <w:u w:val="none" w:color="auto"/>
              </w:rPr>
              <w:t>C、抽残液过程中残液泄漏，遇火源发生火灾、爆炸事故</w:t>
            </w:r>
            <w:r>
              <w:rPr>
                <w:rFonts w:hint="eastAsia"/>
                <w:highlight w:val="none"/>
                <w:u w:val="none" w:color="auto"/>
                <w:lang w:eastAsia="zh-CN"/>
              </w:rPr>
              <w:t>。</w:t>
            </w:r>
          </w:p>
          <w:p w14:paraId="2B7EABF5">
            <w:pPr>
              <w:pStyle w:val="25"/>
              <w:bidi w:val="0"/>
              <w:rPr>
                <w:highlight w:val="none"/>
                <w:u w:val="none" w:color="auto"/>
              </w:rPr>
            </w:pPr>
            <w:r>
              <w:rPr>
                <w:highlight w:val="none"/>
                <w:u w:val="none" w:color="auto"/>
              </w:rPr>
              <w:t>D、残液输送管道破损或接口松动会导致液化石油气的外泄，如遇明火很可能引起火灭、爆炸事故。</w:t>
            </w:r>
          </w:p>
          <w:p w14:paraId="62298E3B">
            <w:pPr>
              <w:pStyle w:val="25"/>
              <w:bidi w:val="0"/>
              <w:rPr>
                <w:rFonts w:hint="default" w:eastAsia="宋体"/>
                <w:highlight w:val="none"/>
                <w:u w:val="none" w:color="auto"/>
                <w:lang w:val="en-US" w:eastAsia="zh-CN"/>
              </w:rPr>
            </w:pPr>
            <w:r>
              <w:rPr>
                <w:rFonts w:hint="eastAsia"/>
                <w:highlight w:val="none"/>
                <w:u w:val="none" w:color="auto"/>
                <w:lang w:val="en-US" w:eastAsia="zh-CN"/>
              </w:rPr>
              <w:t>E、危废暂存间废机油泄漏造成污染。</w:t>
            </w:r>
          </w:p>
          <w:p w14:paraId="04400E72">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环境风险</w:t>
            </w:r>
            <w:r>
              <w:rPr>
                <w:rFonts w:hint="default" w:ascii="Times New Roman" w:hAnsi="Times New Roman" w:cs="Times New Roman"/>
                <w:b/>
                <w:bCs/>
                <w:color w:val="auto"/>
                <w:highlight w:val="none"/>
                <w:u w:val="none" w:color="auto"/>
                <w:lang w:val="en-US" w:eastAsia="zh-CN"/>
              </w:rPr>
              <w:t>防范措施</w:t>
            </w:r>
          </w:p>
          <w:p w14:paraId="76FDC900">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①</w:t>
            </w:r>
            <w:r>
              <w:rPr>
                <w:rFonts w:hint="eastAsia" w:cs="Times New Roman"/>
                <w:color w:val="auto"/>
                <w:sz w:val="24"/>
                <w:highlight w:val="none"/>
                <w:u w:val="none" w:color="auto"/>
                <w:lang w:eastAsia="zh-CN"/>
              </w:rPr>
              <w:t>废机油</w:t>
            </w:r>
            <w:r>
              <w:rPr>
                <w:rFonts w:hint="default" w:ascii="Times New Roman" w:hAnsi="Times New Roman" w:cs="Times New Roman"/>
                <w:color w:val="auto"/>
                <w:sz w:val="24"/>
                <w:highlight w:val="none"/>
                <w:u w:val="none" w:color="auto"/>
              </w:rPr>
              <w:t>泄漏风险防范措施</w:t>
            </w:r>
          </w:p>
          <w:p w14:paraId="20A85112">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危废暂存间存放区域设置围堰并配置一定的吸油毡等应急物资。</w:t>
            </w:r>
          </w:p>
          <w:p w14:paraId="34492285">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危险废物暂存间满足《危险废物贮存污染控制标准》（GB18597-2023）中提出的要求建设，暂存间区域建设事故液收集沟和事故液收集池。并执行危险废物转移联单制度，报生态环境主管部门批准或备案，登记危险废物的转出单位、数量、类型、最终处置单位等，并且与有相应危险废物处理的单位签订合同。危险废物贮存前应进行检验，确保同预定接收的危险废物一致，并注册登记，</w:t>
            </w:r>
            <w:r>
              <w:rPr>
                <w:rFonts w:hint="eastAsia" w:ascii="Times New Roman" w:hAnsi="Times New Roman" w:cs="Times New Roman"/>
                <w:color w:val="auto"/>
                <w:highlight w:val="none"/>
                <w:u w:val="none" w:color="auto"/>
                <w:lang w:eastAsia="zh-CN"/>
              </w:rPr>
              <w:t>做好</w:t>
            </w:r>
            <w:r>
              <w:rPr>
                <w:rFonts w:hint="default" w:ascii="Times New Roman" w:hAnsi="Times New Roman" w:cs="Times New Roman"/>
                <w:color w:val="auto"/>
                <w:highlight w:val="none"/>
                <w:u w:val="none" w:color="auto"/>
              </w:rPr>
              <w:t>记录，记录上须注明危险废物的名称、来源、数量、特性和包装容器的类别、入库日期、存放库位、废物出库日期及</w:t>
            </w:r>
            <w:r>
              <w:rPr>
                <w:rFonts w:hint="eastAsia" w:cs="Times New Roman"/>
                <w:color w:val="auto"/>
                <w:highlight w:val="none"/>
                <w:u w:val="none" w:color="auto"/>
                <w:lang w:eastAsia="zh-CN"/>
              </w:rPr>
              <w:t>接收单位</w:t>
            </w:r>
            <w:r>
              <w:rPr>
                <w:rFonts w:hint="default" w:ascii="Times New Roman" w:hAnsi="Times New Roman" w:cs="Times New Roman"/>
                <w:color w:val="auto"/>
                <w:highlight w:val="none"/>
                <w:u w:val="none" w:color="auto"/>
              </w:rPr>
              <w:t>名称。危险废物由危险废物处置单位用专用危险废物运输车进行运输，严格按照危险</w:t>
            </w:r>
            <w:r>
              <w:rPr>
                <w:rFonts w:hint="eastAsia" w:cs="Times New Roman"/>
                <w:color w:val="auto"/>
                <w:highlight w:val="none"/>
                <w:u w:val="none" w:color="auto"/>
                <w:lang w:val="en-US" w:eastAsia="zh-CN"/>
              </w:rPr>
              <w:t>废</w:t>
            </w:r>
            <w:r>
              <w:rPr>
                <w:rFonts w:hint="default" w:ascii="Times New Roman" w:hAnsi="Times New Roman" w:cs="Times New Roman"/>
                <w:color w:val="auto"/>
                <w:highlight w:val="none"/>
                <w:u w:val="none" w:color="auto"/>
              </w:rPr>
              <w:t>物运输的管理规定进行，减少运输过程中的二次污染和可能造成的环境风险。建立档案制度，详细记录入场的固体废物的种类和数量等信息，长期保存，供随时查阅。</w:t>
            </w:r>
          </w:p>
          <w:p w14:paraId="511E4AEF">
            <w:pPr>
              <w:pStyle w:val="25"/>
              <w:bidi w:val="0"/>
              <w:rPr>
                <w:highlight w:val="none"/>
                <w:u w:val="none" w:color="auto"/>
              </w:rPr>
            </w:pPr>
            <w:r>
              <w:rPr>
                <w:rFonts w:hint="default"/>
                <w:highlight w:val="none"/>
                <w:u w:val="none" w:color="auto"/>
              </w:rPr>
              <w:t>②抽残液区液化石油气泄漏、火灾爆炸风险防范措施</w:t>
            </w:r>
          </w:p>
          <w:p w14:paraId="633E8D38">
            <w:pPr>
              <w:pStyle w:val="25"/>
              <w:bidi w:val="0"/>
              <w:rPr>
                <w:highlight w:val="none"/>
                <w:u w:val="none" w:color="auto"/>
              </w:rPr>
            </w:pPr>
            <w:r>
              <w:rPr>
                <w:rFonts w:ascii="Segoe UI" w:hAnsi="Segoe UI" w:eastAsia="Segoe UI" w:cs="Segoe UI"/>
                <w:i w:val="0"/>
                <w:iCs w:val="0"/>
                <w:caps w:val="0"/>
                <w:color w:val="0F1115"/>
                <w:spacing w:val="0"/>
                <w:sz w:val="24"/>
                <w:szCs w:val="24"/>
                <w:highlight w:val="none"/>
                <w:u w:val="none" w:color="auto"/>
                <w:shd w:val="clear" w:fill="FFFFFF"/>
              </w:rPr>
              <w:t>制定并严格执行抽残液作业的安全操作规程，明确操作步骤、安全注意事项和应急处置卡。</w:t>
            </w:r>
            <w:r>
              <w:rPr>
                <w:highlight w:val="none"/>
                <w:u w:val="none" w:color="auto"/>
              </w:rPr>
              <w:t>抽残液区地面应铺设不燃、防渗、耐腐蚀的材料（如环氧地坪），并设置</w:t>
            </w:r>
            <w:r>
              <w:rPr>
                <w:rFonts w:hint="default"/>
                <w:highlight w:val="none"/>
                <w:u w:val="none" w:color="auto"/>
              </w:rPr>
              <w:t>闭合的硬质围堰或导流沟，其容积应能容纳最大单容器泄漏量及相应的消防废水</w:t>
            </w:r>
            <w:r>
              <w:rPr>
                <w:rFonts w:hint="eastAsia"/>
                <w:highlight w:val="none"/>
                <w:u w:val="none" w:color="auto"/>
                <w:lang w:val="en-US" w:eastAsia="zh-CN"/>
              </w:rPr>
              <w:t>；</w:t>
            </w:r>
            <w:r>
              <w:rPr>
                <w:highlight w:val="none"/>
                <w:u w:val="none" w:color="auto"/>
              </w:rPr>
              <w:t>在区域附近显著位置配备</w:t>
            </w:r>
            <w:r>
              <w:rPr>
                <w:rFonts w:hint="default"/>
                <w:highlight w:val="none"/>
                <w:u w:val="none" w:color="auto"/>
              </w:rPr>
              <w:t>防爆工具、惰性覆盖剂（如灭火毯）、消防沙和推车式干粉灭火器。严禁使用易产生火花的工具。</w:t>
            </w:r>
          </w:p>
          <w:p w14:paraId="2FFADC23">
            <w:pPr>
              <w:pStyle w:val="51"/>
              <w:keepNext w:val="0"/>
              <w:keepLines w:val="0"/>
              <w:pageBreakBefore w:val="0"/>
              <w:widowControl/>
              <w:kinsoku/>
              <w:wordWrap w:val="0"/>
              <w:overflowPunct/>
              <w:topLinePunct/>
              <w:autoSpaceDE/>
              <w:autoSpaceDN/>
              <w:bidi w:val="0"/>
              <w:adjustRightInd/>
              <w:snapToGrid/>
              <w:spacing w:line="360" w:lineRule="auto"/>
              <w:ind w:left="482" w:firstLine="0" w:firstLineChars="0"/>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②废气非正常排放防范措施</w:t>
            </w:r>
          </w:p>
          <w:p w14:paraId="103DBB3C">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zh-CN"/>
              </w:rPr>
            </w:pPr>
            <w:r>
              <w:rPr>
                <w:rFonts w:hint="default"/>
                <w:color w:val="auto"/>
                <w:highlight w:val="none"/>
                <w:u w:val="none" w:color="auto"/>
                <w:lang w:val="en-US" w:eastAsia="zh-CN"/>
              </w:rPr>
              <w:t>项目运行期间发生废气处理装置失效事故时，超标废气会对区域空气环境造成一定污染影响，评价要求建设单位应立即停止生产作业，控制事故影响。日常加强监管监控，定期维护和保养。</w:t>
            </w:r>
          </w:p>
          <w:p w14:paraId="1F36F211">
            <w:pPr>
              <w:pStyle w:val="25"/>
              <w:bidi w:val="0"/>
              <w:rPr>
                <w:rFonts w:hint="default" w:ascii="Times New Roman" w:hAnsi="Times New Roman" w:eastAsia="宋体" w:cs="Times New Roman"/>
                <w:color w:val="auto"/>
                <w:kern w:val="2"/>
                <w:szCs w:val="24"/>
                <w:highlight w:val="none"/>
                <w:u w:val="none" w:color="auto"/>
                <w:shd w:val="clear" w:color="auto" w:fill="auto"/>
                <w:lang w:val="en-US" w:eastAsia="zh-CN" w:bidi="en-US"/>
              </w:rPr>
            </w:pPr>
            <w:r>
              <w:rPr>
                <w:rFonts w:hint="eastAsia"/>
                <w:highlight w:val="none"/>
                <w:u w:val="none" w:color="auto"/>
                <w:lang w:val="en-US" w:eastAsia="zh-CN"/>
              </w:rPr>
              <w:t>③</w:t>
            </w:r>
            <w:r>
              <w:rPr>
                <w:rFonts w:hint="default"/>
                <w:highlight w:val="none"/>
                <w:u w:val="none" w:color="auto"/>
                <w:lang w:val="en-US" w:eastAsia="zh-CN"/>
              </w:rPr>
              <w:t>火灾、爆炸引发的次生环境危害风险防范措施</w:t>
            </w:r>
          </w:p>
          <w:p w14:paraId="5CF3C798">
            <w:pPr>
              <w:pStyle w:val="25"/>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火灾、爆炸次生污染物CO和火灾事故散发的烟气对周边大气直接造成影响，空气环境质量恶化；火灾、爆炸产生的洗消废水等对周边地表水环境产生不利影响，污染水质。出现火灾爆炸事故，应停止生产，及时处理，防止事故进一步恶化造成严重影响。在项目液态易燃物质储存区之间要设置一定的防火安全距离。禁止明火、产生火花的场所，应有禁止烟火的安全标志。设备、贮存容器、通风管道等在停产检修时，如需要采用电焊等明火作业，应严格执行动火安全制度，遵守安全操作规程，施工现场应有专人监管并配备灭火设施。</w:t>
            </w:r>
          </w:p>
          <w:p w14:paraId="5DF27364">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按照《建筑灭火器配置设计规范》（GBJ140-2005）的规定，在厂区内配备消防器材和消防设施，并设置在明显和便于取用的地点，周围不准堆放产品和杂物。消防设施、器材，应当由专人管理，负责检查、</w:t>
            </w:r>
            <w:r>
              <w:rPr>
                <w:rFonts w:hint="eastAsia" w:cs="Times New Roman"/>
                <w:color w:val="auto"/>
                <w:sz w:val="24"/>
                <w:highlight w:val="none"/>
                <w:u w:val="none" w:color="auto"/>
                <w:lang w:eastAsia="zh-CN"/>
              </w:rPr>
              <w:t>保养</w:t>
            </w:r>
            <w:r>
              <w:rPr>
                <w:rFonts w:hint="default" w:ascii="Times New Roman" w:hAnsi="Times New Roman" w:cs="Times New Roman"/>
                <w:color w:val="auto"/>
                <w:sz w:val="24"/>
                <w:highlight w:val="none"/>
                <w:u w:val="none" w:color="auto"/>
              </w:rPr>
              <w:t>、保养、更换和添置，保证完好有效，严禁圈占、埋压和挪用。保持厂区内消防通道通畅，禁止占用。</w:t>
            </w:r>
          </w:p>
          <w:p w14:paraId="03A15E26">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在采取上述风险防范措施后，可以满足项目运营期风险事故防范要求。</w:t>
            </w:r>
          </w:p>
          <w:p w14:paraId="56714F92">
            <w:pPr>
              <w:pStyle w:val="25"/>
              <w:keepNext w:val="0"/>
              <w:keepLines w:val="0"/>
              <w:pageBreakBefore w:val="0"/>
              <w:widowControl/>
              <w:kinsoku/>
              <w:wordWrap w:val="0"/>
              <w:overflowPunct/>
              <w:topLinePunct/>
              <w:autoSpaceDE/>
              <w:autoSpaceDN/>
              <w:bidi w:val="0"/>
              <w:adjustRightInd/>
              <w:snapToGrid/>
              <w:ind w:left="0" w:leftChars="0" w:firstLine="0" w:firstLineChars="0"/>
              <w:rPr>
                <w:b/>
                <w:bCs/>
                <w:color w:val="auto"/>
                <w:highlight w:val="none"/>
                <w:u w:val="none" w:color="auto"/>
              </w:rPr>
            </w:pPr>
            <w:r>
              <w:rPr>
                <w:rFonts w:hint="eastAsia"/>
                <w:b/>
                <w:bCs/>
                <w:color w:val="auto"/>
                <w:highlight w:val="none"/>
                <w:u w:val="none" w:color="auto"/>
                <w:lang w:val="en-US" w:eastAsia="zh-CN"/>
              </w:rPr>
              <w:t>5</w:t>
            </w:r>
            <w:r>
              <w:rPr>
                <w:rFonts w:hint="default"/>
                <w:b/>
                <w:bCs/>
                <w:color w:val="auto"/>
                <w:highlight w:val="none"/>
                <w:u w:val="none" w:color="auto"/>
                <w:lang w:val="en-US" w:eastAsia="zh-CN"/>
              </w:rPr>
              <w:t>、</w:t>
            </w:r>
            <w:r>
              <w:rPr>
                <w:rFonts w:hint="eastAsia"/>
                <w:b/>
                <w:bCs/>
                <w:color w:val="auto"/>
                <w:highlight w:val="none"/>
                <w:u w:val="none" w:color="auto"/>
                <w:lang w:val="en-US" w:eastAsia="zh-CN"/>
              </w:rPr>
              <w:t>环境风险结论</w:t>
            </w:r>
          </w:p>
          <w:p w14:paraId="04C23919">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根据国家相关规定的要求，针对项目可能发生的风险事故，建设单位应制定环境风险应急预案，并且配备必要的设施，宣贯全体员工，并进行必要的演练，以保证应急预案有效可行。</w:t>
            </w:r>
          </w:p>
          <w:p w14:paraId="6B3D95E5">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根据项目风险分析，项目在严格落实环评提出各项措施和要求的前提下，项目风险事故的影响在可恢复范围内，项目环境风险是可以接受的。建设项目环境风险简单分析</w:t>
            </w:r>
            <w:r>
              <w:rPr>
                <w:rFonts w:hint="eastAsia" w:ascii="Times New Roman" w:hAnsi="Times New Roman" w:cs="Times New Roman"/>
                <w:color w:val="auto"/>
                <w:sz w:val="24"/>
                <w:highlight w:val="none"/>
                <w:u w:val="none" w:color="auto"/>
                <w:lang w:eastAsia="zh-CN"/>
              </w:rPr>
              <w:t>内容</w:t>
            </w:r>
            <w:r>
              <w:rPr>
                <w:rFonts w:hint="default" w:ascii="Times New Roman" w:hAnsi="Times New Roman" w:cs="Times New Roman"/>
                <w:color w:val="auto"/>
                <w:sz w:val="24"/>
                <w:highlight w:val="none"/>
                <w:u w:val="none" w:color="auto"/>
              </w:rPr>
              <w:t>见下表。</w:t>
            </w:r>
          </w:p>
          <w:p w14:paraId="6CBA965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szCs w:val="21"/>
                <w:highlight w:val="none"/>
                <w:u w:val="none" w:color="auto"/>
              </w:rPr>
              <w:t>表4-</w:t>
            </w:r>
            <w:r>
              <w:rPr>
                <w:rFonts w:hint="eastAsia" w:cs="Times New Roman"/>
                <w:b/>
                <w:bCs/>
                <w:color w:val="auto"/>
                <w:szCs w:val="21"/>
                <w:highlight w:val="none"/>
                <w:u w:val="none" w:color="auto"/>
                <w:lang w:val="en-US" w:eastAsia="zh-CN"/>
              </w:rPr>
              <w:t xml:space="preserve">21   </w:t>
            </w:r>
            <w:r>
              <w:rPr>
                <w:rFonts w:hint="default" w:ascii="Times New Roman" w:hAnsi="Times New Roman" w:cs="Times New Roman"/>
                <w:b/>
                <w:bCs/>
                <w:color w:val="auto"/>
                <w:kern w:val="0"/>
                <w:szCs w:val="21"/>
                <w:highlight w:val="none"/>
                <w:u w:val="none" w:color="auto"/>
              </w:rPr>
              <w:t>建设项目环境风险简单分析内容表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5660"/>
            </w:tblGrid>
            <w:tr w14:paraId="44AF2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446875D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建设项目名称</w:t>
                  </w:r>
                </w:p>
              </w:tc>
              <w:tc>
                <w:tcPr>
                  <w:tcW w:w="5660" w:type="dxa"/>
                  <w:vAlign w:val="center"/>
                </w:tcPr>
                <w:p w14:paraId="13B546A2">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年处置12万只报废液化石油气钢瓶项目</w:t>
                  </w:r>
                </w:p>
              </w:tc>
            </w:tr>
            <w:tr w14:paraId="21ECA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25ACB0A1">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建设地点</w:t>
                  </w:r>
                </w:p>
              </w:tc>
              <w:tc>
                <w:tcPr>
                  <w:tcW w:w="5660" w:type="dxa"/>
                  <w:vAlign w:val="center"/>
                </w:tcPr>
                <w:p w14:paraId="62111A4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湖南省岳阳市岳阳县</w:t>
                  </w:r>
                  <w:r>
                    <w:rPr>
                      <w:rFonts w:hint="eastAsia" w:cs="Times New Roman"/>
                      <w:color w:val="auto"/>
                      <w:kern w:val="2"/>
                      <w:sz w:val="21"/>
                      <w:szCs w:val="24"/>
                      <w:highlight w:val="none"/>
                      <w:u w:val="none" w:color="auto"/>
                      <w:lang w:val="en-US" w:eastAsia="zh-CN" w:bidi="ar-SA"/>
                    </w:rPr>
                    <w:t>新墙镇</w:t>
                  </w:r>
                </w:p>
              </w:tc>
            </w:tr>
            <w:tr w14:paraId="2637B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42E9A92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地理坐标</w:t>
                  </w:r>
                </w:p>
              </w:tc>
              <w:tc>
                <w:tcPr>
                  <w:tcW w:w="5660" w:type="dxa"/>
                  <w:vAlign w:val="center"/>
                </w:tcPr>
                <w:p w14:paraId="35D8DF1F">
                  <w:pPr>
                    <w:pStyle w:val="30"/>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113度</w:t>
                  </w:r>
                  <w:r>
                    <w:rPr>
                      <w:rFonts w:hint="eastAsia" w:ascii="Times New Roman" w:hAnsi="Times New Roman" w:eastAsia="宋体" w:cs="Times New Roman"/>
                      <w:color w:val="auto"/>
                      <w:kern w:val="2"/>
                      <w:sz w:val="21"/>
                      <w:szCs w:val="24"/>
                      <w:highlight w:val="none"/>
                      <w:u w:val="none" w:color="auto"/>
                      <w:lang w:val="en-US" w:eastAsia="zh-CN" w:bidi="ar-SA"/>
                    </w:rPr>
                    <w:t>12</w:t>
                  </w:r>
                  <w:r>
                    <w:rPr>
                      <w:rFonts w:hint="default" w:ascii="Times New Roman" w:hAnsi="Times New Roman" w:eastAsia="宋体" w:cs="Times New Roman"/>
                      <w:color w:val="auto"/>
                      <w:kern w:val="2"/>
                      <w:sz w:val="21"/>
                      <w:szCs w:val="24"/>
                      <w:highlight w:val="none"/>
                      <w:u w:val="none" w:color="auto"/>
                      <w:lang w:val="en-US" w:eastAsia="zh-CN" w:bidi="ar-SA"/>
                    </w:rPr>
                    <w:t>分</w:t>
                  </w:r>
                  <w:r>
                    <w:rPr>
                      <w:rFonts w:hint="eastAsia" w:ascii="Times New Roman" w:hAnsi="Times New Roman" w:eastAsia="宋体" w:cs="Times New Roman"/>
                      <w:color w:val="auto"/>
                      <w:kern w:val="2"/>
                      <w:sz w:val="21"/>
                      <w:szCs w:val="24"/>
                      <w:highlight w:val="none"/>
                      <w:u w:val="none" w:color="auto"/>
                      <w:lang w:val="en-US" w:eastAsia="zh-CN" w:bidi="ar-SA"/>
                    </w:rPr>
                    <w:t>19.610</w:t>
                  </w:r>
                  <w:r>
                    <w:rPr>
                      <w:rFonts w:hint="default" w:ascii="Times New Roman" w:hAnsi="Times New Roman" w:eastAsia="宋体" w:cs="Times New Roman"/>
                      <w:color w:val="auto"/>
                      <w:kern w:val="2"/>
                      <w:sz w:val="21"/>
                      <w:szCs w:val="24"/>
                      <w:highlight w:val="none"/>
                      <w:u w:val="none" w:color="auto"/>
                      <w:lang w:val="en-US" w:eastAsia="zh-CN" w:bidi="ar-SA"/>
                    </w:rPr>
                    <w:t>秒，29度</w:t>
                  </w:r>
                  <w:r>
                    <w:rPr>
                      <w:rFonts w:hint="eastAsia" w:ascii="Times New Roman" w:hAnsi="Times New Roman" w:eastAsia="宋体" w:cs="Times New Roman"/>
                      <w:color w:val="auto"/>
                      <w:kern w:val="2"/>
                      <w:sz w:val="21"/>
                      <w:szCs w:val="24"/>
                      <w:highlight w:val="none"/>
                      <w:u w:val="none" w:color="auto"/>
                      <w:lang w:val="en-US" w:eastAsia="zh-CN" w:bidi="ar-SA"/>
                    </w:rPr>
                    <w:t>7</w:t>
                  </w:r>
                  <w:r>
                    <w:rPr>
                      <w:rFonts w:hint="default" w:ascii="Times New Roman" w:hAnsi="Times New Roman" w:eastAsia="宋体" w:cs="Times New Roman"/>
                      <w:color w:val="auto"/>
                      <w:kern w:val="2"/>
                      <w:sz w:val="21"/>
                      <w:szCs w:val="24"/>
                      <w:highlight w:val="none"/>
                      <w:u w:val="none" w:color="auto"/>
                      <w:lang w:val="en-US" w:eastAsia="zh-CN" w:bidi="ar-SA"/>
                    </w:rPr>
                    <w:t>分</w:t>
                  </w:r>
                  <w:r>
                    <w:rPr>
                      <w:rFonts w:hint="eastAsia" w:ascii="Times New Roman" w:hAnsi="Times New Roman" w:eastAsia="宋体" w:cs="Times New Roman"/>
                      <w:color w:val="auto"/>
                      <w:kern w:val="2"/>
                      <w:sz w:val="21"/>
                      <w:szCs w:val="24"/>
                      <w:highlight w:val="none"/>
                      <w:u w:val="none" w:color="auto"/>
                      <w:lang w:val="en-US" w:eastAsia="zh-CN" w:bidi="ar-SA"/>
                    </w:rPr>
                    <w:t>34.437</w:t>
                  </w:r>
                  <w:r>
                    <w:rPr>
                      <w:rFonts w:hint="default" w:ascii="Times New Roman" w:hAnsi="Times New Roman" w:eastAsia="宋体" w:cs="Times New Roman"/>
                      <w:color w:val="auto"/>
                      <w:kern w:val="2"/>
                      <w:sz w:val="21"/>
                      <w:szCs w:val="24"/>
                      <w:highlight w:val="none"/>
                      <w:u w:val="none" w:color="auto"/>
                      <w:lang w:val="en-US" w:eastAsia="zh-CN" w:bidi="ar-SA"/>
                    </w:rPr>
                    <w:t>秒</w:t>
                  </w:r>
                </w:p>
              </w:tc>
            </w:tr>
            <w:tr w14:paraId="791DD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27C182E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主要</w:t>
                  </w:r>
                  <w:r>
                    <w:rPr>
                      <w:rFonts w:hint="eastAsia" w:cs="Times New Roman"/>
                      <w:b/>
                      <w:bCs/>
                      <w:color w:val="auto"/>
                      <w:kern w:val="0"/>
                      <w:szCs w:val="21"/>
                      <w:highlight w:val="none"/>
                      <w:u w:val="none" w:color="auto"/>
                      <w:lang w:val="en-US" w:eastAsia="zh-CN"/>
                    </w:rPr>
                    <w:t>风</w:t>
                  </w:r>
                  <w:r>
                    <w:rPr>
                      <w:rFonts w:hint="default" w:ascii="Times New Roman" w:hAnsi="Times New Roman" w:cs="Times New Roman"/>
                      <w:b/>
                      <w:bCs/>
                      <w:color w:val="auto"/>
                      <w:kern w:val="0"/>
                      <w:szCs w:val="21"/>
                      <w:highlight w:val="none"/>
                      <w:u w:val="none" w:color="auto"/>
                    </w:rPr>
                    <w:t>险物质及分布</w:t>
                  </w:r>
                </w:p>
              </w:tc>
              <w:tc>
                <w:tcPr>
                  <w:tcW w:w="5660" w:type="dxa"/>
                  <w:vAlign w:val="center"/>
                </w:tcPr>
                <w:p w14:paraId="6648CE7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主要危险物质：</w:t>
                  </w:r>
                  <w:r>
                    <w:rPr>
                      <w:rFonts w:hint="eastAsia" w:cs="Times New Roman"/>
                      <w:color w:val="auto"/>
                      <w:kern w:val="2"/>
                      <w:sz w:val="21"/>
                      <w:szCs w:val="24"/>
                      <w:highlight w:val="none"/>
                      <w:u w:val="none" w:color="auto"/>
                      <w:lang w:val="en-US" w:eastAsia="zh-CN" w:bidi="ar-SA"/>
                    </w:rPr>
                    <w:t>废机油：</w:t>
                  </w:r>
                  <w:r>
                    <w:rPr>
                      <w:rFonts w:hint="default" w:ascii="Times New Roman" w:hAnsi="Times New Roman" w:eastAsia="宋体" w:cs="Times New Roman"/>
                      <w:color w:val="auto"/>
                      <w:kern w:val="2"/>
                      <w:sz w:val="21"/>
                      <w:szCs w:val="24"/>
                      <w:highlight w:val="none"/>
                      <w:u w:val="none" w:color="auto"/>
                      <w:lang w:val="en-US" w:eastAsia="zh-CN" w:bidi="ar-SA"/>
                    </w:rPr>
                    <w:t>位于厂区危废暂存间内</w:t>
                  </w:r>
                </w:p>
              </w:tc>
            </w:tr>
            <w:tr w14:paraId="0CE02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204" w:type="dxa"/>
                  <w:vAlign w:val="center"/>
                </w:tcPr>
                <w:p w14:paraId="3FB1280B">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highlight w:val="none"/>
                      <w:u w:val="none" w:color="auto"/>
                    </w:rPr>
                  </w:pPr>
                  <w:r>
                    <w:rPr>
                      <w:rFonts w:hint="default" w:cs="Times New Roman"/>
                      <w:b/>
                      <w:bCs/>
                      <w:color w:val="auto"/>
                      <w:kern w:val="0"/>
                      <w:szCs w:val="21"/>
                      <w:highlight w:val="none"/>
                      <w:u w:val="none" w:color="auto"/>
                      <w:lang w:val="en-US" w:eastAsia="zh-CN"/>
                    </w:rPr>
                    <w:t>环境影响途径及危害后果（大气、地表水、地下水等）</w:t>
                  </w:r>
                </w:p>
              </w:tc>
              <w:tc>
                <w:tcPr>
                  <w:tcW w:w="5660" w:type="dxa"/>
                  <w:vAlign w:val="center"/>
                </w:tcPr>
                <w:p w14:paraId="5280172F">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废机油</w:t>
                  </w:r>
                  <w:r>
                    <w:rPr>
                      <w:rFonts w:hint="default" w:ascii="Times New Roman" w:hAnsi="Times New Roman" w:eastAsia="宋体" w:cs="Times New Roman"/>
                      <w:color w:val="auto"/>
                      <w:highlight w:val="none"/>
                      <w:u w:val="none" w:color="auto"/>
                      <w:lang w:val="en-US" w:eastAsia="zh-CN"/>
                    </w:rPr>
                    <w:t>泄漏引起附近火灾、土壤及地下水污染；废气处理设施故障引起的大气及水环境污染。</w:t>
                  </w:r>
                  <w:r>
                    <w:rPr>
                      <w:rFonts w:hint="eastAsia" w:cs="Times New Roman"/>
                      <w:color w:val="auto"/>
                      <w:highlight w:val="none"/>
                      <w:u w:val="none" w:color="auto"/>
                      <w:lang w:val="en-US" w:eastAsia="zh-CN"/>
                    </w:rPr>
                    <w:t>粉尘</w:t>
                  </w:r>
                  <w:r>
                    <w:rPr>
                      <w:rFonts w:hint="default" w:ascii="Times New Roman" w:hAnsi="Times New Roman" w:cs="Times New Roman"/>
                      <w:color w:val="auto"/>
                      <w:szCs w:val="21"/>
                      <w:highlight w:val="none"/>
                      <w:u w:val="none" w:color="auto"/>
                    </w:rPr>
                    <w:t>对大气造成不良影响</w:t>
                  </w:r>
                </w:p>
              </w:tc>
            </w:tr>
            <w:tr w14:paraId="765E2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0312767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风险防范措施要求</w:t>
                  </w:r>
                </w:p>
              </w:tc>
              <w:tc>
                <w:tcPr>
                  <w:tcW w:w="5660" w:type="dxa"/>
                  <w:vAlign w:val="center"/>
                </w:tcPr>
                <w:p w14:paraId="3CBEB776">
                  <w:pPr>
                    <w:keepNext w:val="0"/>
                    <w:keepLines w:val="0"/>
                    <w:pageBreakBefore w:val="0"/>
                    <w:widowControl/>
                    <w:kinsoku/>
                    <w:wordWrap w:val="0"/>
                    <w:overflowPunct/>
                    <w:topLinePunct/>
                    <w:autoSpaceDE/>
                    <w:autoSpaceDN/>
                    <w:bidi w:val="0"/>
                    <w:adjustRightInd/>
                    <w:snapToGrid/>
                    <w:jc w:val="left"/>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危废暂存间设施防渗、防漏；加强废气处理设施的维护保养，确保废气处理设施正常运行</w:t>
                  </w:r>
                  <w:r>
                    <w:rPr>
                      <w:rFonts w:hint="eastAsia" w:cs="Times New Roman"/>
                      <w:color w:val="auto"/>
                      <w:kern w:val="2"/>
                      <w:sz w:val="21"/>
                      <w:szCs w:val="24"/>
                      <w:highlight w:val="none"/>
                      <w:u w:val="none" w:color="auto"/>
                      <w:lang w:val="en-US" w:eastAsia="zh-CN" w:bidi="ar-SA"/>
                    </w:rPr>
                    <w:t>；</w:t>
                  </w:r>
                  <w:r>
                    <w:rPr>
                      <w:rFonts w:hint="eastAsia"/>
                      <w:color w:val="auto"/>
                      <w:highlight w:val="none"/>
                      <w:u w:val="none" w:color="auto"/>
                      <w:lang w:val="en-US" w:eastAsia="zh-CN"/>
                    </w:rPr>
                    <w:t>焚烧炉派人定时检查，</w:t>
                  </w:r>
                  <w:r>
                    <w:rPr>
                      <w:rFonts w:hint="default" w:ascii="Times New Roman" w:hAnsi="Times New Roman" w:eastAsia="宋体" w:cs="Times New Roman"/>
                      <w:color w:val="auto"/>
                      <w:kern w:val="2"/>
                      <w:sz w:val="21"/>
                      <w:szCs w:val="24"/>
                      <w:highlight w:val="none"/>
                      <w:u w:val="none" w:color="auto"/>
                      <w:lang w:val="en-US" w:eastAsia="zh-CN" w:bidi="ar-SA"/>
                    </w:rPr>
                    <w:t>确保废气处理设施正常运行。</w:t>
                  </w:r>
                </w:p>
              </w:tc>
            </w:tr>
            <w:tr w14:paraId="0FE54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5C9B8C4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评价结论</w:t>
                  </w:r>
                </w:p>
              </w:tc>
              <w:tc>
                <w:tcPr>
                  <w:tcW w:w="5660" w:type="dxa"/>
                  <w:vAlign w:val="center"/>
                </w:tcPr>
                <w:p w14:paraId="5C42256C">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1、拟建项目Q＜1，环境风险潜势为Ⅰ。</w:t>
                  </w:r>
                </w:p>
                <w:p w14:paraId="694A06FA">
                  <w:pPr>
                    <w:keepNext w:val="0"/>
                    <w:keepLines w:val="0"/>
                    <w:pageBreakBefore w:val="0"/>
                    <w:widowControl/>
                    <w:kinsoku/>
                    <w:wordWrap w:val="0"/>
                    <w:overflowPunct/>
                    <w:topLinePunct/>
                    <w:autoSpaceDE/>
                    <w:autoSpaceDN/>
                    <w:bidi w:val="0"/>
                    <w:adjustRightInd/>
                    <w:snapToGrid/>
                    <w:jc w:val="both"/>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2、拟建项目环境风险</w:t>
                  </w:r>
                  <w:r>
                    <w:rPr>
                      <w:rFonts w:hint="eastAsia" w:ascii="Times New Roman" w:hAnsi="Times New Roman" w:cs="Times New Roman"/>
                      <w:color w:val="auto"/>
                      <w:kern w:val="2"/>
                      <w:sz w:val="21"/>
                      <w:szCs w:val="24"/>
                      <w:highlight w:val="none"/>
                      <w:u w:val="none" w:color="auto"/>
                      <w:lang w:val="en-US" w:eastAsia="zh-CN" w:bidi="ar-SA"/>
                    </w:rPr>
                    <w:t>评价</w:t>
                  </w:r>
                  <w:r>
                    <w:rPr>
                      <w:rFonts w:hint="default" w:ascii="Times New Roman" w:hAnsi="Times New Roman" w:eastAsia="宋体" w:cs="Times New Roman"/>
                      <w:color w:val="auto"/>
                      <w:kern w:val="2"/>
                      <w:sz w:val="21"/>
                      <w:szCs w:val="24"/>
                      <w:highlight w:val="none"/>
                      <w:u w:val="none" w:color="auto"/>
                      <w:lang w:val="en-US" w:eastAsia="zh-CN" w:bidi="ar-SA"/>
                    </w:rPr>
                    <w:t>进行简单分析。</w:t>
                  </w:r>
                </w:p>
                <w:p w14:paraId="475A6DC2">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3、项目在严格落实环评提出各项措施和要求的前提下，项目风险事故的影响在可恢复范围内，项目环境风险是可以接受的。</w:t>
                  </w:r>
                </w:p>
              </w:tc>
            </w:tr>
          </w:tbl>
          <w:p w14:paraId="5D2D7203">
            <w:pPr>
              <w:keepNext w:val="0"/>
              <w:keepLines w:val="0"/>
              <w:pageBreakBefore w:val="0"/>
              <w:widowControl/>
              <w:kinsoku/>
              <w:wordWrap w:val="0"/>
              <w:overflowPunct/>
              <w:topLinePunct/>
              <w:autoSpaceDE/>
              <w:autoSpaceDN/>
              <w:bidi w:val="0"/>
              <w:adjustRightInd/>
              <w:snapToGrid/>
              <w:spacing w:line="360" w:lineRule="auto"/>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lang w:val="en-US" w:eastAsia="zh-CN"/>
              </w:rPr>
              <w:t>七</w:t>
            </w:r>
            <w:r>
              <w:rPr>
                <w:rFonts w:hint="default" w:ascii="Times New Roman" w:hAnsi="Times New Roman" w:cs="Times New Roman"/>
                <w:b/>
                <w:color w:val="auto"/>
                <w:sz w:val="24"/>
                <w:highlight w:val="none"/>
                <w:u w:val="none" w:color="auto"/>
              </w:rPr>
              <w:t>、环保投资及竣工环境保护验收</w:t>
            </w:r>
          </w:p>
          <w:p w14:paraId="1440F8E2">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建设单位应确保环保设施建成并有效治理运营期产生的各项污染源，满足现行环保管理要求。</w:t>
            </w:r>
            <w:r>
              <w:rPr>
                <w:rFonts w:hint="default" w:ascii="Times New Roman" w:hAnsi="Times New Roman" w:cs="Times New Roman"/>
                <w:color w:val="auto"/>
                <w:sz w:val="24"/>
                <w:szCs w:val="24"/>
                <w:highlight w:val="none"/>
                <w:u w:val="none" w:color="auto"/>
              </w:rPr>
              <w:t>同时项目建设完成后，</w:t>
            </w:r>
            <w:r>
              <w:rPr>
                <w:rFonts w:hint="default" w:ascii="Times New Roman" w:hAnsi="Times New Roman" w:cs="Times New Roman"/>
                <w:color w:val="auto"/>
                <w:sz w:val="24"/>
                <w:highlight w:val="none"/>
                <w:u w:val="none" w:color="auto"/>
              </w:rPr>
              <w:t>建设单位应按相关竣工环保验收管理要求，及时开展项目竣工环境保护验收工作。</w:t>
            </w:r>
          </w:p>
          <w:p w14:paraId="08651627">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b/>
                <w:bCs/>
                <w:color w:val="auto"/>
                <w:szCs w:val="21"/>
                <w:highlight w:val="none"/>
                <w:u w:val="none" w:color="auto"/>
                <w:lang w:val="en-US" w:eastAsia="zh-CN"/>
              </w:rPr>
            </w:pPr>
            <w:r>
              <w:rPr>
                <w:rFonts w:hint="default" w:ascii="Times New Roman" w:hAnsi="Times New Roman" w:cs="Times New Roman"/>
                <w:color w:val="auto"/>
                <w:sz w:val="24"/>
                <w:highlight w:val="none"/>
                <w:u w:val="none" w:color="auto"/>
              </w:rPr>
              <w:t>本项目总投资</w:t>
            </w:r>
            <w:r>
              <w:rPr>
                <w:rFonts w:hint="default" w:ascii="Times New Roman" w:hAnsi="Times New Roman" w:cs="Times New Roman"/>
                <w:color w:val="auto"/>
                <w:sz w:val="24"/>
                <w:highlight w:val="none"/>
                <w:u w:val="none" w:color="auto"/>
                <w:lang w:val="en-US" w:eastAsia="zh-CN"/>
              </w:rPr>
              <w:t>1</w:t>
            </w:r>
            <w:r>
              <w:rPr>
                <w:rFonts w:hint="eastAsia" w:cs="Times New Roman"/>
                <w:color w:val="auto"/>
                <w:sz w:val="24"/>
                <w:highlight w:val="none"/>
                <w:u w:val="none" w:color="auto"/>
                <w:lang w:val="en-US" w:eastAsia="zh-CN"/>
              </w:rPr>
              <w:t>6</w:t>
            </w:r>
            <w:r>
              <w:rPr>
                <w:rFonts w:hint="default" w:ascii="Times New Roman" w:hAnsi="Times New Roman" w:cs="Times New Roman"/>
                <w:color w:val="auto"/>
                <w:sz w:val="24"/>
                <w:highlight w:val="none"/>
                <w:u w:val="none" w:color="auto"/>
                <w:lang w:val="en-US" w:eastAsia="zh-CN"/>
              </w:rPr>
              <w:t>0</w:t>
            </w:r>
            <w:r>
              <w:rPr>
                <w:rFonts w:hint="default" w:ascii="Times New Roman" w:hAnsi="Times New Roman" w:cs="Times New Roman"/>
                <w:color w:val="auto"/>
                <w:sz w:val="24"/>
                <w:highlight w:val="none"/>
                <w:u w:val="none" w:color="auto"/>
              </w:rPr>
              <w:t>万元，环保投资</w:t>
            </w:r>
            <w:r>
              <w:rPr>
                <w:rStyle w:val="35"/>
                <w:rFonts w:hint="eastAsia"/>
                <w:highlight w:val="none"/>
                <w:u w:val="none" w:color="auto"/>
                <w:lang w:val="en-US" w:eastAsia="zh-CN"/>
              </w:rPr>
              <w:t>19.5</w:t>
            </w:r>
            <w:r>
              <w:rPr>
                <w:rFonts w:hint="default" w:ascii="Times New Roman" w:hAnsi="Times New Roman" w:eastAsia="宋体" w:cs="Times New Roman"/>
                <w:color w:val="auto"/>
                <w:sz w:val="24"/>
                <w:highlight w:val="none"/>
                <w:u w:val="none" w:color="auto"/>
                <w:lang w:val="en-US" w:eastAsia="zh-CN"/>
              </w:rPr>
              <w:t>万元，</w:t>
            </w:r>
            <w:r>
              <w:rPr>
                <w:rFonts w:hint="default" w:ascii="Times New Roman" w:hAnsi="Times New Roman" w:cs="Times New Roman"/>
                <w:color w:val="auto"/>
                <w:sz w:val="24"/>
                <w:highlight w:val="none"/>
                <w:u w:val="none" w:color="auto"/>
              </w:rPr>
              <w:t>占总投资的</w:t>
            </w:r>
            <w:r>
              <w:rPr>
                <w:rFonts w:hint="eastAsia" w:cs="Times New Roman"/>
                <w:color w:val="auto"/>
                <w:sz w:val="24"/>
                <w:szCs w:val="24"/>
                <w:highlight w:val="none"/>
                <w:u w:val="none" w:color="auto"/>
                <w:lang w:val="en-US" w:eastAsia="zh-CN"/>
              </w:rPr>
              <w:t>12.1</w:t>
            </w:r>
            <w:r>
              <w:rPr>
                <w:rFonts w:hint="default" w:ascii="Times New Roman" w:hAnsi="Times New Roman" w:cs="Times New Roman"/>
                <w:color w:val="auto"/>
                <w:sz w:val="24"/>
                <w:highlight w:val="none"/>
                <w:u w:val="none" w:color="auto"/>
              </w:rPr>
              <w:t>%，项目具体环保投资估算见下表：</w:t>
            </w:r>
          </w:p>
          <w:p w14:paraId="2BF79E4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表4-</w:t>
            </w:r>
            <w:r>
              <w:rPr>
                <w:rFonts w:hint="eastAsia" w:cs="Times New Roman"/>
                <w:b/>
                <w:bCs/>
                <w:color w:val="auto"/>
                <w:szCs w:val="21"/>
                <w:highlight w:val="none"/>
                <w:u w:val="none" w:color="auto"/>
                <w:lang w:val="en-US" w:eastAsia="zh-CN"/>
              </w:rPr>
              <w:t xml:space="preserve">22   </w:t>
            </w:r>
            <w:r>
              <w:rPr>
                <w:rFonts w:hint="default" w:ascii="Times New Roman" w:hAnsi="Times New Roman" w:cs="Times New Roman"/>
                <w:b/>
                <w:bCs/>
                <w:color w:val="auto"/>
                <w:szCs w:val="21"/>
                <w:highlight w:val="none"/>
                <w:u w:val="none" w:color="auto"/>
              </w:rPr>
              <w:t>项目环保设施及投资估算表一览表</w:t>
            </w:r>
          </w:p>
          <w:tbl>
            <w:tblPr>
              <w:tblStyle w:val="4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07"/>
              <w:gridCol w:w="1448"/>
              <w:gridCol w:w="1816"/>
              <w:gridCol w:w="1852"/>
              <w:gridCol w:w="1842"/>
            </w:tblGrid>
            <w:tr w14:paraId="13393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32" w:type="pct"/>
                  <w:tcBorders>
                    <w:tl2br w:val="nil"/>
                    <w:tr2bl w:val="nil"/>
                  </w:tcBorders>
                  <w:vAlign w:val="center"/>
                </w:tcPr>
                <w:p w14:paraId="2863676E">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类别</w:t>
                  </w:r>
                </w:p>
              </w:tc>
              <w:tc>
                <w:tcPr>
                  <w:tcW w:w="909" w:type="pct"/>
                  <w:tcBorders>
                    <w:tl2br w:val="nil"/>
                    <w:tr2bl w:val="nil"/>
                  </w:tcBorders>
                  <w:vAlign w:val="center"/>
                </w:tcPr>
                <w:p w14:paraId="41BEDB0E">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cs="Times New Roman"/>
                      <w:b/>
                      <w:bCs/>
                      <w:color w:val="auto"/>
                      <w:sz w:val="21"/>
                      <w:szCs w:val="21"/>
                      <w:highlight w:val="none"/>
                      <w:u w:val="none" w:color="auto"/>
                      <w:lang w:val="en-US" w:eastAsia="zh-CN"/>
                    </w:rPr>
                    <w:t>产生环节</w:t>
                  </w:r>
                </w:p>
              </w:tc>
              <w:tc>
                <w:tcPr>
                  <w:tcW w:w="1140" w:type="pct"/>
                  <w:tcBorders>
                    <w:tl2br w:val="nil"/>
                    <w:tr2bl w:val="nil"/>
                  </w:tcBorders>
                  <w:vAlign w:val="center"/>
                </w:tcPr>
                <w:p w14:paraId="592C835A">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pacing w:val="8"/>
                      <w:sz w:val="21"/>
                      <w:szCs w:val="21"/>
                      <w:highlight w:val="none"/>
                      <w:u w:val="none" w:color="auto"/>
                      <w:lang w:val="en-US" w:eastAsia="zh-CN"/>
                    </w:rPr>
                  </w:pPr>
                  <w:r>
                    <w:rPr>
                      <w:rFonts w:hint="eastAsia" w:ascii="Times New Roman" w:hAnsi="Times New Roman" w:cs="Times New Roman"/>
                      <w:b/>
                      <w:bCs/>
                      <w:color w:val="auto"/>
                      <w:spacing w:val="8"/>
                      <w:sz w:val="21"/>
                      <w:szCs w:val="21"/>
                      <w:highlight w:val="none"/>
                      <w:u w:val="none" w:color="auto"/>
                      <w:lang w:val="en-US" w:eastAsia="zh-CN"/>
                    </w:rPr>
                    <w:t>污染因子</w:t>
                  </w:r>
                </w:p>
              </w:tc>
              <w:tc>
                <w:tcPr>
                  <w:tcW w:w="1161" w:type="pct"/>
                  <w:tcBorders>
                    <w:tl2br w:val="nil"/>
                    <w:tr2bl w:val="nil"/>
                  </w:tcBorders>
                  <w:vAlign w:val="center"/>
                </w:tcPr>
                <w:p w14:paraId="03D4FDE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8"/>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设施</w:t>
                  </w:r>
                </w:p>
              </w:tc>
              <w:tc>
                <w:tcPr>
                  <w:tcW w:w="1156" w:type="pct"/>
                  <w:tcBorders>
                    <w:tl2br w:val="nil"/>
                    <w:tr2bl w:val="nil"/>
                  </w:tcBorders>
                  <w:vAlign w:val="center"/>
                </w:tcPr>
                <w:p w14:paraId="34DED1A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rPr>
                    <w:t>投资（万元）</w:t>
                  </w:r>
                </w:p>
              </w:tc>
            </w:tr>
            <w:tr w14:paraId="56D687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32" w:type="pct"/>
                  <w:vMerge w:val="restart"/>
                  <w:tcBorders>
                    <w:tl2br w:val="nil"/>
                    <w:tr2bl w:val="nil"/>
                  </w:tcBorders>
                  <w:vAlign w:val="center"/>
                </w:tcPr>
                <w:p w14:paraId="6B28826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909" w:type="pct"/>
                  <w:tcBorders>
                    <w:tl2br w:val="nil"/>
                    <w:tr2bl w:val="nil"/>
                  </w:tcBorders>
                  <w:vAlign w:val="center"/>
                </w:tcPr>
                <w:p w14:paraId="021A5B0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7"/>
                      <w:sz w:val="21"/>
                      <w:szCs w:val="21"/>
                      <w:highlight w:val="none"/>
                      <w:u w:val="none" w:color="auto"/>
                      <w:lang w:val="en-US" w:eastAsia="zh-CN"/>
                    </w:rPr>
                  </w:pPr>
                  <w:r>
                    <w:rPr>
                      <w:rFonts w:hint="eastAsia" w:ascii="Times New Roman" w:hAnsi="Times New Roman" w:cs="Times New Roman"/>
                      <w:color w:val="auto"/>
                      <w:spacing w:val="7"/>
                      <w:sz w:val="21"/>
                      <w:szCs w:val="21"/>
                      <w:highlight w:val="none"/>
                      <w:u w:val="none" w:color="auto"/>
                      <w:lang w:val="en-US" w:eastAsia="zh-CN"/>
                    </w:rPr>
                    <w:t>焚烧</w:t>
                  </w:r>
                </w:p>
              </w:tc>
              <w:tc>
                <w:tcPr>
                  <w:tcW w:w="1140" w:type="pct"/>
                  <w:tcBorders>
                    <w:tl2br w:val="nil"/>
                    <w:tr2bl w:val="nil"/>
                  </w:tcBorders>
                  <w:vAlign w:val="center"/>
                </w:tcPr>
                <w:p w14:paraId="4B2D935E">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6"/>
                      <w:sz w:val="21"/>
                      <w:szCs w:val="21"/>
                      <w:highlight w:val="none"/>
                      <w:u w:val="none" w:color="auto"/>
                      <w:lang w:val="en-US" w:eastAsia="zh-CN"/>
                    </w:rPr>
                  </w:pPr>
                  <w:r>
                    <w:rPr>
                      <w:rFonts w:hint="default" w:ascii="Times New Roman" w:hAnsi="Times New Roman" w:cs="Times New Roman"/>
                      <w:color w:val="auto"/>
                      <w:spacing w:val="6"/>
                      <w:sz w:val="21"/>
                      <w:szCs w:val="21"/>
                      <w:highlight w:val="none"/>
                      <w:u w:val="none" w:color="auto"/>
                      <w:lang w:val="en-US" w:eastAsia="zh-CN"/>
                    </w:rPr>
                    <w:t>颗粒物</w:t>
                  </w:r>
                  <w:r>
                    <w:rPr>
                      <w:rFonts w:hint="eastAsia" w:ascii="Times New Roman" w:hAnsi="Times New Roman" w:cs="Times New Roman"/>
                      <w:color w:val="auto"/>
                      <w:spacing w:val="6"/>
                      <w:sz w:val="21"/>
                      <w:szCs w:val="21"/>
                      <w:highlight w:val="none"/>
                      <w:u w:val="none" w:color="auto"/>
                      <w:lang w:val="en-US" w:eastAsia="zh-CN"/>
                    </w:rPr>
                    <w:t>、SO</w:t>
                  </w:r>
                  <w:r>
                    <w:rPr>
                      <w:rFonts w:hint="eastAsia" w:ascii="Times New Roman" w:hAnsi="Times New Roman" w:cs="Times New Roman"/>
                      <w:color w:val="auto"/>
                      <w:spacing w:val="6"/>
                      <w:sz w:val="21"/>
                      <w:szCs w:val="21"/>
                      <w:highlight w:val="none"/>
                      <w:u w:val="none" w:color="auto"/>
                      <w:vertAlign w:val="subscript"/>
                      <w:lang w:val="en-US" w:eastAsia="zh-CN"/>
                    </w:rPr>
                    <w:t>2</w:t>
                  </w:r>
                  <w:r>
                    <w:rPr>
                      <w:rFonts w:hint="eastAsia" w:ascii="Times New Roman" w:hAnsi="Times New Roman" w:cs="Times New Roman"/>
                      <w:color w:val="auto"/>
                      <w:spacing w:val="6"/>
                      <w:sz w:val="21"/>
                      <w:szCs w:val="21"/>
                      <w:highlight w:val="none"/>
                      <w:u w:val="none" w:color="auto"/>
                      <w:lang w:val="en-US" w:eastAsia="zh-CN"/>
                    </w:rPr>
                    <w:t>、氮氧化物</w:t>
                  </w:r>
                </w:p>
              </w:tc>
              <w:tc>
                <w:tcPr>
                  <w:tcW w:w="1161" w:type="pct"/>
                  <w:tcBorders>
                    <w:tl2br w:val="nil"/>
                    <w:tr2bl w:val="nil"/>
                  </w:tcBorders>
                  <w:vAlign w:val="center"/>
                </w:tcPr>
                <w:p w14:paraId="7492AC6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6"/>
                      <w:sz w:val="21"/>
                      <w:szCs w:val="21"/>
                      <w:highlight w:val="none"/>
                      <w:u w:val="none" w:color="auto"/>
                      <w:lang w:val="en-US" w:eastAsia="zh-CN"/>
                    </w:rPr>
                  </w:pPr>
                  <w:r>
                    <w:rPr>
                      <w:rFonts w:hint="eastAsia" w:ascii="Times New Roman" w:hAnsi="Times New Roman" w:cs="Times New Roman"/>
                      <w:color w:val="auto"/>
                      <w:spacing w:val="6"/>
                      <w:sz w:val="21"/>
                      <w:szCs w:val="21"/>
                      <w:highlight w:val="none"/>
                      <w:u w:val="none" w:color="auto"/>
                      <w:lang w:val="en-US" w:eastAsia="zh-CN"/>
                    </w:rPr>
                    <w:t>管道收集+水膜除尘装置+一根15m排气筒</w:t>
                  </w:r>
                </w:p>
              </w:tc>
              <w:tc>
                <w:tcPr>
                  <w:tcW w:w="1156" w:type="pct"/>
                  <w:tcBorders>
                    <w:tl2br w:val="nil"/>
                    <w:tr2bl w:val="nil"/>
                  </w:tcBorders>
                  <w:vAlign w:val="center"/>
                </w:tcPr>
                <w:p w14:paraId="0128C40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9</w:t>
                  </w:r>
                </w:p>
              </w:tc>
            </w:tr>
            <w:tr w14:paraId="6ABA0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632" w:type="pct"/>
                  <w:vMerge w:val="restart"/>
                  <w:tcBorders>
                    <w:tl2br w:val="nil"/>
                    <w:tr2bl w:val="nil"/>
                  </w:tcBorders>
                  <w:vAlign w:val="center"/>
                </w:tcPr>
                <w:p w14:paraId="7FD65D86">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废水</w:t>
                  </w:r>
                </w:p>
              </w:tc>
              <w:tc>
                <w:tcPr>
                  <w:tcW w:w="909" w:type="pct"/>
                  <w:tcBorders>
                    <w:tl2br w:val="nil"/>
                    <w:tr2bl w:val="nil"/>
                  </w:tcBorders>
                  <w:vAlign w:val="center"/>
                </w:tcPr>
                <w:p w14:paraId="2D6371DD">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s="Times New Roman"/>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生活污水</w:t>
                  </w:r>
                </w:p>
              </w:tc>
              <w:tc>
                <w:tcPr>
                  <w:tcW w:w="1140" w:type="pct"/>
                  <w:tcBorders>
                    <w:tl2br w:val="nil"/>
                    <w:tr2bl w:val="nil"/>
                  </w:tcBorders>
                  <w:vAlign w:val="center"/>
                </w:tcPr>
                <w:p w14:paraId="4331CD4C">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pH、BOD</w:t>
                  </w:r>
                  <w:r>
                    <w:rPr>
                      <w:rFonts w:hint="eastAsia" w:ascii="Times New Roman" w:hAnsi="Times New Roman" w:cs="Times New Roman"/>
                      <w:bCs/>
                      <w:color w:val="auto"/>
                      <w:sz w:val="21"/>
                      <w:szCs w:val="21"/>
                      <w:highlight w:val="none"/>
                      <w:u w:val="none" w:color="auto"/>
                      <w:vertAlign w:val="subscript"/>
                      <w:lang w:val="en-US" w:eastAsia="zh-CN"/>
                    </w:rPr>
                    <w:t>5</w:t>
                  </w:r>
                  <w:r>
                    <w:rPr>
                      <w:rFonts w:hint="eastAsia" w:ascii="Times New Roman" w:hAnsi="Times New Roman" w:cs="Times New Roman"/>
                      <w:bCs/>
                      <w:color w:val="auto"/>
                      <w:sz w:val="21"/>
                      <w:szCs w:val="21"/>
                      <w:highlight w:val="none"/>
                      <w:u w:val="none" w:color="auto"/>
                      <w:lang w:val="en-US" w:eastAsia="zh-CN"/>
                    </w:rPr>
                    <w:t>等</w:t>
                  </w:r>
                </w:p>
              </w:tc>
              <w:tc>
                <w:tcPr>
                  <w:tcW w:w="1161" w:type="pct"/>
                  <w:tcBorders>
                    <w:tl2br w:val="nil"/>
                    <w:tr2bl w:val="nil"/>
                  </w:tcBorders>
                  <w:vAlign w:val="center"/>
                </w:tcPr>
                <w:p w14:paraId="4B7E14FB">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三级化粪池</w:t>
                  </w:r>
                </w:p>
              </w:tc>
              <w:tc>
                <w:tcPr>
                  <w:tcW w:w="1156" w:type="pct"/>
                  <w:tcBorders>
                    <w:tl2br w:val="nil"/>
                    <w:tr2bl w:val="nil"/>
                  </w:tcBorders>
                  <w:vAlign w:val="center"/>
                </w:tcPr>
                <w:p w14:paraId="4505B5E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w:t>
                  </w:r>
                </w:p>
              </w:tc>
            </w:tr>
            <w:tr w14:paraId="3F7D3B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632" w:type="pct"/>
                  <w:vMerge w:val="continue"/>
                  <w:tcBorders>
                    <w:tl2br w:val="nil"/>
                    <w:tr2bl w:val="nil"/>
                  </w:tcBorders>
                  <w:vAlign w:val="center"/>
                </w:tcPr>
                <w:p w14:paraId="6903450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cs="Times New Roman"/>
                      <w:color w:val="auto"/>
                      <w:sz w:val="21"/>
                      <w:szCs w:val="21"/>
                      <w:highlight w:val="none"/>
                      <w:u w:val="none" w:color="auto"/>
                      <w:lang w:val="en-US" w:eastAsia="zh-CN"/>
                    </w:rPr>
                  </w:pPr>
                </w:p>
              </w:tc>
              <w:tc>
                <w:tcPr>
                  <w:tcW w:w="909" w:type="pct"/>
                  <w:tcBorders>
                    <w:tl2br w:val="nil"/>
                    <w:tr2bl w:val="nil"/>
                  </w:tcBorders>
                  <w:vAlign w:val="center"/>
                </w:tcPr>
                <w:p w14:paraId="1FC05D02">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水膜除尘用水</w:t>
                  </w:r>
                </w:p>
              </w:tc>
              <w:tc>
                <w:tcPr>
                  <w:tcW w:w="1140" w:type="pct"/>
                  <w:tcBorders>
                    <w:tl2br w:val="nil"/>
                    <w:tr2bl w:val="nil"/>
                  </w:tcBorders>
                  <w:vAlign w:val="center"/>
                </w:tcPr>
                <w:p w14:paraId="0F029E97">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SS等</w:t>
                  </w:r>
                </w:p>
              </w:tc>
              <w:tc>
                <w:tcPr>
                  <w:tcW w:w="1161" w:type="pct"/>
                  <w:tcBorders>
                    <w:tl2br w:val="nil"/>
                    <w:tr2bl w:val="nil"/>
                  </w:tcBorders>
                  <w:vAlign w:val="center"/>
                </w:tcPr>
                <w:p w14:paraId="49D16B38">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ascii="Times New Roman" w:hAnsi="Times New Roman" w:cs="Times New Roman"/>
                      <w:bCs/>
                      <w:color w:val="auto"/>
                      <w:sz w:val="21"/>
                      <w:szCs w:val="21"/>
                      <w:highlight w:val="none"/>
                      <w:u w:val="none" w:color="auto"/>
                      <w:lang w:val="en-US" w:eastAsia="zh-CN"/>
                    </w:rPr>
                    <w:t>循环水池</w:t>
                  </w:r>
                </w:p>
              </w:tc>
              <w:tc>
                <w:tcPr>
                  <w:tcW w:w="1156" w:type="pct"/>
                  <w:tcBorders>
                    <w:tl2br w:val="nil"/>
                    <w:tr2bl w:val="nil"/>
                  </w:tcBorders>
                  <w:vAlign w:val="center"/>
                </w:tcPr>
                <w:p w14:paraId="2DA56D7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0.8</w:t>
                  </w:r>
                </w:p>
              </w:tc>
            </w:tr>
            <w:tr w14:paraId="09891B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2" w:type="pct"/>
                  <w:vMerge w:val="restart"/>
                  <w:tcBorders>
                    <w:tl2br w:val="nil"/>
                    <w:tr2bl w:val="nil"/>
                  </w:tcBorders>
                  <w:vAlign w:val="center"/>
                </w:tcPr>
                <w:p w14:paraId="6637933A">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5"/>
                      <w:sz w:val="21"/>
                      <w:szCs w:val="21"/>
                      <w:highlight w:val="none"/>
                      <w:u w:val="none" w:color="auto"/>
                    </w:rPr>
                    <w:t>固废</w:t>
                  </w:r>
                </w:p>
              </w:tc>
              <w:tc>
                <w:tcPr>
                  <w:tcW w:w="3211" w:type="pct"/>
                  <w:gridSpan w:val="3"/>
                  <w:tcBorders>
                    <w:tl2br w:val="nil"/>
                    <w:tr2bl w:val="nil"/>
                  </w:tcBorders>
                  <w:vAlign w:val="center"/>
                </w:tcPr>
                <w:p w14:paraId="463860F9">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pacing w:val="6"/>
                      <w:sz w:val="21"/>
                      <w:szCs w:val="21"/>
                      <w:highlight w:val="none"/>
                      <w:u w:val="none" w:color="auto"/>
                    </w:rPr>
                    <w:t>危废暂存间</w:t>
                  </w:r>
                  <w:r>
                    <w:rPr>
                      <w:rFonts w:hint="default" w:ascii="Times New Roman" w:hAnsi="Times New Roman" w:eastAsia="宋体" w:cs="Times New Roman"/>
                      <w:color w:val="auto"/>
                      <w:spacing w:val="6"/>
                      <w:sz w:val="21"/>
                      <w:szCs w:val="21"/>
                      <w:highlight w:val="none"/>
                      <w:u w:val="none" w:color="auto"/>
                      <w:lang w:eastAsia="zh-CN"/>
                    </w:rPr>
                    <w:t>，</w:t>
                  </w:r>
                  <w:r>
                    <w:rPr>
                      <w:rFonts w:hint="eastAsia" w:ascii="Times New Roman" w:hAnsi="Times New Roman" w:cs="Times New Roman"/>
                      <w:color w:val="auto"/>
                      <w:spacing w:val="6"/>
                      <w:sz w:val="21"/>
                      <w:szCs w:val="21"/>
                      <w:highlight w:val="none"/>
                      <w:u w:val="none" w:color="auto"/>
                      <w:lang w:val="en-US" w:eastAsia="zh-CN"/>
                    </w:rPr>
                    <w:t>5</w:t>
                  </w:r>
                  <w:r>
                    <w:rPr>
                      <w:rFonts w:hint="default" w:ascii="Times New Roman" w:hAnsi="Times New Roman" w:eastAsia="宋体" w:cs="Times New Roman"/>
                      <w:color w:val="auto"/>
                      <w:spacing w:val="6"/>
                      <w:sz w:val="21"/>
                      <w:szCs w:val="21"/>
                      <w:highlight w:val="none"/>
                      <w:u w:val="none" w:color="auto"/>
                    </w:rPr>
                    <w:t>m</w:t>
                  </w:r>
                  <w:r>
                    <w:rPr>
                      <w:rFonts w:hint="default" w:ascii="Times New Roman" w:hAnsi="Times New Roman" w:eastAsia="宋体" w:cs="Times New Roman"/>
                      <w:color w:val="auto"/>
                      <w:spacing w:val="6"/>
                      <w:sz w:val="21"/>
                      <w:szCs w:val="21"/>
                      <w:highlight w:val="none"/>
                      <w:u w:val="none" w:color="auto"/>
                      <w:vertAlign w:val="superscript"/>
                      <w:lang w:val="en-US" w:eastAsia="zh-CN"/>
                    </w:rPr>
                    <w:t>2</w:t>
                  </w:r>
                </w:p>
              </w:tc>
              <w:tc>
                <w:tcPr>
                  <w:tcW w:w="1156" w:type="pct"/>
                  <w:tcBorders>
                    <w:tl2br w:val="nil"/>
                    <w:tr2bl w:val="nil"/>
                  </w:tcBorders>
                  <w:vAlign w:val="center"/>
                </w:tcPr>
                <w:p w14:paraId="5404A2C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pacing w:val="2"/>
                      <w:sz w:val="21"/>
                      <w:szCs w:val="21"/>
                      <w:highlight w:val="none"/>
                      <w:u w:val="none" w:color="auto"/>
                      <w:lang w:val="en-US" w:eastAsia="zh-CN"/>
                    </w:rPr>
                    <w:t>2</w:t>
                  </w:r>
                </w:p>
              </w:tc>
            </w:tr>
            <w:tr w14:paraId="348AD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32" w:type="pct"/>
                  <w:vMerge w:val="continue"/>
                  <w:tcBorders>
                    <w:tl2br w:val="nil"/>
                    <w:tr2bl w:val="nil"/>
                  </w:tcBorders>
                  <w:vAlign w:val="center"/>
                </w:tcPr>
                <w:p w14:paraId="14549AE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3211" w:type="pct"/>
                  <w:gridSpan w:val="3"/>
                  <w:tcBorders>
                    <w:tl2br w:val="nil"/>
                    <w:tr2bl w:val="nil"/>
                  </w:tcBorders>
                  <w:vAlign w:val="center"/>
                </w:tcPr>
                <w:p w14:paraId="7A81F523">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生活垃圾采用收集桶</w:t>
                  </w:r>
                </w:p>
              </w:tc>
              <w:tc>
                <w:tcPr>
                  <w:tcW w:w="1156" w:type="pct"/>
                  <w:tcBorders>
                    <w:tl2br w:val="nil"/>
                    <w:tr2bl w:val="nil"/>
                  </w:tcBorders>
                  <w:vAlign w:val="center"/>
                </w:tcPr>
                <w:p w14:paraId="311A4FF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r>
            <w:tr w14:paraId="671826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2" w:type="pct"/>
                  <w:tcBorders>
                    <w:tl2br w:val="nil"/>
                    <w:tr2bl w:val="nil"/>
                  </w:tcBorders>
                  <w:vAlign w:val="center"/>
                </w:tcPr>
                <w:p w14:paraId="622690E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1"/>
                      <w:sz w:val="21"/>
                      <w:szCs w:val="21"/>
                      <w:highlight w:val="none"/>
                      <w:u w:val="none" w:color="auto"/>
                    </w:rPr>
                    <w:t>噪声</w:t>
                  </w:r>
                </w:p>
              </w:tc>
              <w:tc>
                <w:tcPr>
                  <w:tcW w:w="3211" w:type="pct"/>
                  <w:gridSpan w:val="3"/>
                  <w:tcBorders>
                    <w:tl2br w:val="nil"/>
                    <w:tr2bl w:val="nil"/>
                  </w:tcBorders>
                  <w:vAlign w:val="center"/>
                </w:tcPr>
                <w:p w14:paraId="4BDB74C1">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结构隔声、基础减振、消声等措施</w:t>
                  </w:r>
                </w:p>
              </w:tc>
              <w:tc>
                <w:tcPr>
                  <w:tcW w:w="1156" w:type="pct"/>
                  <w:tcBorders>
                    <w:tl2br w:val="nil"/>
                    <w:tr2bl w:val="nil"/>
                  </w:tcBorders>
                  <w:vAlign w:val="center"/>
                </w:tcPr>
                <w:p w14:paraId="433CE14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r>
            <w:tr w14:paraId="49F53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2" w:type="pct"/>
                  <w:tcBorders>
                    <w:tl2br w:val="nil"/>
                    <w:tr2bl w:val="nil"/>
                  </w:tcBorders>
                  <w:vAlign w:val="center"/>
                </w:tcPr>
                <w:p w14:paraId="1E1C45B5">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u w:val="none" w:color="auto"/>
                      <w:lang w:val="en-US" w:eastAsia="zh-CN"/>
                    </w:rPr>
                  </w:pPr>
                  <w:r>
                    <w:rPr>
                      <w:rFonts w:hint="eastAsia" w:ascii="Times New Roman" w:hAnsi="Times New Roman" w:cs="Times New Roman"/>
                      <w:color w:val="auto"/>
                      <w:spacing w:val="-1"/>
                      <w:sz w:val="21"/>
                      <w:szCs w:val="21"/>
                      <w:highlight w:val="none"/>
                      <w:u w:val="none" w:color="auto"/>
                      <w:lang w:val="en-US" w:eastAsia="zh-CN"/>
                    </w:rPr>
                    <w:t>环境风险</w:t>
                  </w:r>
                </w:p>
              </w:tc>
              <w:tc>
                <w:tcPr>
                  <w:tcW w:w="3211" w:type="pct"/>
                  <w:gridSpan w:val="3"/>
                  <w:tcBorders>
                    <w:tl2br w:val="nil"/>
                    <w:tr2bl w:val="nil"/>
                  </w:tcBorders>
                  <w:vAlign w:val="center"/>
                </w:tcPr>
                <w:p w14:paraId="515516B3">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7"/>
                      <w:sz w:val="21"/>
                      <w:szCs w:val="21"/>
                      <w:highlight w:val="none"/>
                      <w:u w:val="none" w:color="auto"/>
                      <w:lang w:val="en-US" w:eastAsia="zh-CN"/>
                    </w:rPr>
                  </w:pPr>
                  <w:r>
                    <w:rPr>
                      <w:rFonts w:hint="eastAsia" w:ascii="Times New Roman" w:hAnsi="Times New Roman" w:cs="Times New Roman"/>
                      <w:color w:val="auto"/>
                      <w:spacing w:val="7"/>
                      <w:sz w:val="21"/>
                      <w:szCs w:val="21"/>
                      <w:highlight w:val="none"/>
                      <w:u w:val="none" w:color="auto"/>
                      <w:lang w:val="en-US" w:eastAsia="zh-CN"/>
                    </w:rPr>
                    <w:t>分区防渗</w:t>
                  </w:r>
                </w:p>
              </w:tc>
              <w:tc>
                <w:tcPr>
                  <w:tcW w:w="1156" w:type="pct"/>
                  <w:tcBorders>
                    <w:tl2br w:val="nil"/>
                    <w:tr2bl w:val="nil"/>
                  </w:tcBorders>
                  <w:vAlign w:val="center"/>
                </w:tcPr>
                <w:p w14:paraId="1EFDAE4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0.5</w:t>
                  </w:r>
                </w:p>
              </w:tc>
            </w:tr>
            <w:tr w14:paraId="57F150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843" w:type="pct"/>
                  <w:gridSpan w:val="4"/>
                  <w:tcBorders>
                    <w:tl2br w:val="nil"/>
                    <w:tr2bl w:val="nil"/>
                  </w:tcBorders>
                  <w:vAlign w:val="center"/>
                </w:tcPr>
                <w:p w14:paraId="243EC533">
                  <w:pPr>
                    <w:pStyle w:val="42"/>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u w:val="none" w:color="auto"/>
                    </w:rPr>
                  </w:pPr>
                  <w:r>
                    <w:rPr>
                      <w:rFonts w:hint="default" w:ascii="Times New Roman" w:hAnsi="Times New Roman" w:eastAsia="宋体" w:cs="Times New Roman"/>
                      <w:color w:val="auto"/>
                      <w:spacing w:val="3"/>
                      <w:sz w:val="21"/>
                      <w:szCs w:val="21"/>
                      <w:highlight w:val="none"/>
                      <w:u w:val="none" w:color="auto"/>
                    </w:rPr>
                    <w:t>小计</w:t>
                  </w:r>
                </w:p>
              </w:tc>
              <w:tc>
                <w:tcPr>
                  <w:tcW w:w="1156" w:type="pct"/>
                  <w:tcBorders>
                    <w:tl2br w:val="nil"/>
                    <w:tr2bl w:val="nil"/>
                  </w:tcBorders>
                  <w:vAlign w:val="center"/>
                </w:tcPr>
                <w:p w14:paraId="1781107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rPr>
                  </w:pPr>
                  <w:r>
                    <w:rPr>
                      <w:rFonts w:hint="eastAsia"/>
                      <w:highlight w:val="none"/>
                      <w:u w:val="none" w:color="auto"/>
                    </w:rPr>
                    <w:t>19.5</w:t>
                  </w:r>
                </w:p>
              </w:tc>
            </w:tr>
          </w:tbl>
          <w:p w14:paraId="60EAA2B3">
            <w:pPr>
              <w:keepNext w:val="0"/>
              <w:keepLines w:val="0"/>
              <w:pageBreakBefore w:val="0"/>
              <w:widowControl/>
              <w:kinsoku/>
              <w:wordWrap w:val="0"/>
              <w:overflowPunct/>
              <w:topLinePunct/>
              <w:autoSpaceDE/>
              <w:autoSpaceDN/>
              <w:bidi w:val="0"/>
              <w:adjustRightInd/>
              <w:snapToGrid/>
              <w:spacing w:line="360" w:lineRule="auto"/>
              <w:rPr>
                <w:rFonts w:hint="eastAsia" w:ascii="Times New Roman" w:hAnsi="Times New Roman" w:eastAsia="宋体" w:cs="Times New Roman"/>
                <w:b/>
                <w:color w:val="auto"/>
                <w:sz w:val="24"/>
                <w:highlight w:val="none"/>
                <w:u w:val="none" w:color="auto"/>
                <w:lang w:val="en-US" w:eastAsia="zh-CN"/>
              </w:rPr>
            </w:pPr>
            <w:r>
              <w:rPr>
                <w:rFonts w:hint="eastAsia" w:ascii="Times New Roman" w:hAnsi="Times New Roman" w:eastAsia="宋体" w:cs="Times New Roman"/>
                <w:b/>
                <w:color w:val="auto"/>
                <w:sz w:val="24"/>
                <w:highlight w:val="none"/>
                <w:u w:val="none" w:color="auto"/>
                <w:lang w:val="en-US" w:eastAsia="zh-CN"/>
              </w:rPr>
              <w:t>八、排污许可管理要求</w:t>
            </w:r>
          </w:p>
          <w:p w14:paraId="7A58E2A8">
            <w:pPr>
              <w:pStyle w:val="25"/>
              <w:keepNext w:val="0"/>
              <w:keepLines w:val="0"/>
              <w:pageBreakBefore w:val="0"/>
              <w:widowControl/>
              <w:kinsoku/>
              <w:wordWrap w:val="0"/>
              <w:overflowPunct/>
              <w:topLinePunct/>
              <w:autoSpaceDE/>
              <w:autoSpaceDN/>
              <w:bidi w:val="0"/>
              <w:adjustRightInd/>
              <w:snapToGrid/>
              <w:ind w:left="0" w:leftChars="0" w:firstLine="0" w:firstLineChars="0"/>
              <w:rPr>
                <w:b/>
                <w:bCs/>
                <w:highlight w:val="none"/>
                <w:u w:val="none" w:color="auto"/>
              </w:rPr>
            </w:pPr>
            <w:r>
              <w:rPr>
                <w:rFonts w:hint="eastAsia"/>
                <w:b/>
                <w:bCs/>
                <w:highlight w:val="none"/>
                <w:u w:val="none" w:color="auto"/>
                <w:lang w:val="en-US" w:eastAsia="zh-CN"/>
              </w:rPr>
              <w:t>1、</w:t>
            </w:r>
            <w:r>
              <w:rPr>
                <w:b/>
                <w:bCs/>
                <w:highlight w:val="none"/>
                <w:u w:val="none" w:color="auto"/>
              </w:rPr>
              <w:t>管理类别</w:t>
            </w:r>
          </w:p>
          <w:p w14:paraId="2F63E5C8">
            <w:pPr>
              <w:pStyle w:val="25"/>
              <w:bidi w:val="0"/>
              <w:rPr>
                <w:rFonts w:hint="default"/>
                <w:highlight w:val="none"/>
                <w:u w:val="none" w:color="auto"/>
                <w:lang w:val="en-US" w:eastAsia="zh-CN"/>
              </w:rPr>
            </w:pPr>
            <w:r>
              <w:rPr>
                <w:highlight w:val="none"/>
                <w:u w:val="none" w:color="auto"/>
              </w:rPr>
              <w:t>根据《固定污染源排污许可分类管理名录》</w:t>
            </w:r>
            <w:r>
              <w:rPr>
                <w:rFonts w:hint="default"/>
                <w:highlight w:val="none"/>
                <w:u w:val="none" w:color="auto"/>
              </w:rPr>
              <w:t>（2019年版），本项目属于“</w:t>
            </w:r>
            <w:r>
              <w:rPr>
                <w:rFonts w:hint="eastAsia" w:cs="Times New Roman"/>
                <w:color w:val="auto"/>
                <w:sz w:val="24"/>
                <w:szCs w:val="24"/>
                <w:highlight w:val="none"/>
                <w:u w:val="none" w:color="auto"/>
                <w:lang w:val="en-US" w:eastAsia="zh-CN"/>
              </w:rPr>
              <w:t>三十七、废弃资源综合利用业42 93.金属废料和碎屑加工处理421</w:t>
            </w:r>
            <w:r>
              <w:rPr>
                <w:rFonts w:hint="default"/>
                <w:highlight w:val="none"/>
                <w:u w:val="none" w:color="auto"/>
              </w:rPr>
              <w:t>”，属于</w:t>
            </w:r>
            <w:r>
              <w:rPr>
                <w:rFonts w:hint="eastAsia"/>
                <w:highlight w:val="none"/>
                <w:u w:val="none" w:color="auto"/>
                <w:lang w:val="en-US" w:eastAsia="zh-CN"/>
              </w:rPr>
              <w:t>登记</w:t>
            </w:r>
            <w:r>
              <w:rPr>
                <w:rFonts w:hint="default"/>
                <w:highlight w:val="none"/>
                <w:u w:val="none" w:color="auto"/>
              </w:rPr>
              <w:t>管理。</w:t>
            </w:r>
          </w:p>
          <w:p w14:paraId="3ADBEC41">
            <w:pPr>
              <w:pStyle w:val="42"/>
              <w:keepNext w:val="0"/>
              <w:keepLines w:val="0"/>
              <w:pageBreakBefore w:val="0"/>
              <w:widowControl/>
              <w:kinsoku/>
              <w:wordWrap w:val="0"/>
              <w:overflowPunct/>
              <w:topLinePunct/>
              <w:autoSpaceDE/>
              <w:autoSpaceDN/>
              <w:bidi w:val="0"/>
              <w:adjustRightInd/>
              <w:snapToGrid/>
              <w:spacing w:line="240" w:lineRule="auto"/>
              <w:ind w:left="0" w:right="0" w:firstLine="422" w:firstLineChars="200"/>
              <w:jc w:val="center"/>
              <w:textAlignment w:val="auto"/>
              <w:rPr>
                <w:color w:val="0000FF"/>
                <w:sz w:val="21"/>
                <w:szCs w:val="21"/>
                <w:highlight w:val="none"/>
                <w:u w:val="none" w:color="auto"/>
              </w:rPr>
            </w:pPr>
            <w:r>
              <w:rPr>
                <w:rFonts w:hint="default" w:ascii="Times New Roman" w:hAnsi="Times New Roman" w:eastAsia="宋体" w:cs="Times New Roman"/>
                <w:b/>
                <w:bCs/>
                <w:color w:val="auto"/>
                <w:kern w:val="2"/>
                <w:sz w:val="21"/>
                <w:szCs w:val="21"/>
                <w:highlight w:val="none"/>
                <w:u w:val="none" w:color="auto"/>
                <w:lang w:val="en-US" w:eastAsia="zh-CN" w:bidi="ar-SA"/>
              </w:rPr>
              <w:t>表4-</w:t>
            </w:r>
            <w:r>
              <w:rPr>
                <w:rFonts w:hint="eastAsia" w:ascii="Times New Roman" w:hAnsi="Times New Roman" w:cs="Times New Roman"/>
                <w:b/>
                <w:bCs/>
                <w:color w:val="auto"/>
                <w:kern w:val="2"/>
                <w:sz w:val="21"/>
                <w:szCs w:val="21"/>
                <w:highlight w:val="none"/>
                <w:u w:val="none" w:color="auto"/>
                <w:lang w:val="en-US" w:eastAsia="zh-CN" w:bidi="ar-SA"/>
              </w:rPr>
              <w:t xml:space="preserve">23   </w:t>
            </w:r>
            <w:r>
              <w:rPr>
                <w:rFonts w:hint="default" w:ascii="Times New Roman" w:hAnsi="Times New Roman" w:eastAsia="宋体" w:cs="Times New Roman"/>
                <w:b/>
                <w:bCs/>
                <w:color w:val="auto"/>
                <w:kern w:val="2"/>
                <w:sz w:val="21"/>
                <w:szCs w:val="21"/>
                <w:highlight w:val="none"/>
                <w:u w:val="none" w:color="auto"/>
                <w:lang w:val="en-US" w:eastAsia="zh-CN" w:bidi="ar-SA"/>
              </w:rPr>
              <w:t>本项目管理类别一览表</w:t>
            </w:r>
          </w:p>
          <w:tbl>
            <w:tblPr>
              <w:tblStyle w:val="45"/>
              <w:tblW w:w="79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5"/>
              <w:gridCol w:w="1587"/>
              <w:gridCol w:w="1421"/>
              <w:gridCol w:w="2864"/>
              <w:gridCol w:w="1423"/>
            </w:tblGrid>
            <w:tr w14:paraId="54DD4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8" w:type="pct"/>
                  <w:tcBorders>
                    <w:top w:val="single" w:color="000000" w:sz="10" w:space="0"/>
                    <w:left w:val="single" w:color="000000" w:sz="10" w:space="0"/>
                  </w:tcBorders>
                  <w:vAlign w:val="center"/>
                </w:tcPr>
                <w:p w14:paraId="11D0AD73">
                  <w:pPr>
                    <w:pStyle w:val="30"/>
                    <w:autoSpaceDE w:val="0"/>
                    <w:autoSpaceDN w:val="0"/>
                    <w:bidi w:val="0"/>
                    <w:jc w:val="center"/>
                    <w:rPr>
                      <w:b/>
                      <w:bCs/>
                      <w:highlight w:val="none"/>
                      <w:u w:val="none" w:color="auto"/>
                    </w:rPr>
                  </w:pPr>
                  <w:r>
                    <w:rPr>
                      <w:b/>
                      <w:bCs/>
                      <w:highlight w:val="none"/>
                      <w:u w:val="none" w:color="auto"/>
                    </w:rPr>
                    <w:t>序号</w:t>
                  </w:r>
                </w:p>
              </w:tc>
              <w:tc>
                <w:tcPr>
                  <w:tcW w:w="996" w:type="pct"/>
                  <w:tcBorders>
                    <w:top w:val="single" w:color="000000" w:sz="10" w:space="0"/>
                  </w:tcBorders>
                  <w:vAlign w:val="center"/>
                </w:tcPr>
                <w:p w14:paraId="194DB3BD">
                  <w:pPr>
                    <w:pStyle w:val="30"/>
                    <w:autoSpaceDE w:val="0"/>
                    <w:autoSpaceDN w:val="0"/>
                    <w:bidi w:val="0"/>
                    <w:jc w:val="center"/>
                    <w:rPr>
                      <w:rFonts w:hint="eastAsia" w:eastAsia="宋体"/>
                      <w:b/>
                      <w:bCs/>
                      <w:highlight w:val="none"/>
                      <w:u w:val="none" w:color="auto"/>
                      <w:lang w:val="en-US" w:eastAsia="zh-CN"/>
                    </w:rPr>
                  </w:pPr>
                  <w:r>
                    <w:rPr>
                      <w:rFonts w:hint="eastAsia"/>
                      <w:b/>
                      <w:bCs/>
                      <w:highlight w:val="none"/>
                      <w:u w:val="none" w:color="auto"/>
                      <w:lang w:val="en-US" w:eastAsia="zh-CN"/>
                    </w:rPr>
                    <w:t>行业类别</w:t>
                  </w:r>
                </w:p>
              </w:tc>
              <w:tc>
                <w:tcPr>
                  <w:tcW w:w="892" w:type="pct"/>
                  <w:tcBorders>
                    <w:top w:val="single" w:color="000000" w:sz="10" w:space="0"/>
                  </w:tcBorders>
                  <w:vAlign w:val="center"/>
                </w:tcPr>
                <w:p w14:paraId="56643CBE">
                  <w:pPr>
                    <w:pStyle w:val="30"/>
                    <w:autoSpaceDE w:val="0"/>
                    <w:autoSpaceDN w:val="0"/>
                    <w:bidi w:val="0"/>
                    <w:jc w:val="center"/>
                    <w:rPr>
                      <w:b/>
                      <w:bCs/>
                      <w:highlight w:val="none"/>
                      <w:u w:val="none" w:color="auto"/>
                    </w:rPr>
                  </w:pPr>
                  <w:r>
                    <w:rPr>
                      <w:b/>
                      <w:bCs/>
                      <w:highlight w:val="none"/>
                      <w:u w:val="none" w:color="auto"/>
                    </w:rPr>
                    <w:t>重点管理</w:t>
                  </w:r>
                </w:p>
              </w:tc>
              <w:tc>
                <w:tcPr>
                  <w:tcW w:w="1798" w:type="pct"/>
                  <w:tcBorders>
                    <w:top w:val="single" w:color="000000" w:sz="10" w:space="0"/>
                  </w:tcBorders>
                  <w:vAlign w:val="center"/>
                </w:tcPr>
                <w:p w14:paraId="61483816">
                  <w:pPr>
                    <w:pStyle w:val="30"/>
                    <w:autoSpaceDE w:val="0"/>
                    <w:autoSpaceDN w:val="0"/>
                    <w:bidi w:val="0"/>
                    <w:jc w:val="center"/>
                    <w:rPr>
                      <w:b/>
                      <w:bCs/>
                      <w:highlight w:val="none"/>
                      <w:u w:val="none" w:color="auto"/>
                    </w:rPr>
                  </w:pPr>
                  <w:r>
                    <w:rPr>
                      <w:b/>
                      <w:bCs/>
                      <w:highlight w:val="none"/>
                      <w:u w:val="none" w:color="auto"/>
                    </w:rPr>
                    <w:t>简化管理</w:t>
                  </w:r>
                </w:p>
              </w:tc>
              <w:tc>
                <w:tcPr>
                  <w:tcW w:w="893" w:type="pct"/>
                  <w:tcBorders>
                    <w:top w:val="single" w:color="000000" w:sz="10" w:space="0"/>
                    <w:right w:val="single" w:color="000000" w:sz="10" w:space="0"/>
                  </w:tcBorders>
                  <w:vAlign w:val="center"/>
                </w:tcPr>
                <w:p w14:paraId="69374E8B">
                  <w:pPr>
                    <w:pStyle w:val="30"/>
                    <w:autoSpaceDE w:val="0"/>
                    <w:autoSpaceDN w:val="0"/>
                    <w:bidi w:val="0"/>
                    <w:jc w:val="center"/>
                    <w:rPr>
                      <w:b/>
                      <w:bCs/>
                      <w:highlight w:val="none"/>
                      <w:u w:val="none" w:color="auto"/>
                    </w:rPr>
                  </w:pPr>
                  <w:r>
                    <w:rPr>
                      <w:b/>
                      <w:bCs/>
                      <w:highlight w:val="none"/>
                      <w:u w:val="none" w:color="auto"/>
                    </w:rPr>
                    <w:t>登记管理</w:t>
                  </w:r>
                </w:p>
              </w:tc>
            </w:tr>
            <w:tr w14:paraId="4D802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18" w:type="pct"/>
                  <w:tcBorders>
                    <w:left w:val="single" w:color="000000" w:sz="10" w:space="0"/>
                    <w:bottom w:val="single" w:color="000000" w:sz="10" w:space="0"/>
                  </w:tcBorders>
                  <w:vAlign w:val="center"/>
                </w:tcPr>
                <w:p w14:paraId="23C92011">
                  <w:pPr>
                    <w:pStyle w:val="30"/>
                    <w:autoSpaceDE w:val="0"/>
                    <w:autoSpaceDN w:val="0"/>
                    <w:bidi w:val="0"/>
                    <w:jc w:val="center"/>
                    <w:rPr>
                      <w:rFonts w:hint="default"/>
                      <w:highlight w:val="none"/>
                      <w:u w:val="none" w:color="auto"/>
                      <w:lang w:val="en-US" w:eastAsia="zh-CN"/>
                    </w:rPr>
                  </w:pPr>
                  <w:r>
                    <w:rPr>
                      <w:rFonts w:hint="eastAsia"/>
                      <w:highlight w:val="none"/>
                      <w:u w:val="none" w:color="auto"/>
                      <w:lang w:val="en-US" w:eastAsia="zh-CN"/>
                    </w:rPr>
                    <w:t>1</w:t>
                  </w:r>
                </w:p>
              </w:tc>
              <w:tc>
                <w:tcPr>
                  <w:tcW w:w="996" w:type="pct"/>
                  <w:tcBorders>
                    <w:bottom w:val="single" w:color="000000" w:sz="10" w:space="0"/>
                  </w:tcBorders>
                  <w:vAlign w:val="center"/>
                </w:tcPr>
                <w:p w14:paraId="7F1CCC6C">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金属废料和碎屑加工处理421，非金属废料和碎屑加工处理422</w:t>
                  </w:r>
                </w:p>
              </w:tc>
              <w:tc>
                <w:tcPr>
                  <w:tcW w:w="892" w:type="pct"/>
                  <w:tcBorders>
                    <w:bottom w:val="single" w:color="000000" w:sz="10" w:space="0"/>
                  </w:tcBorders>
                  <w:vAlign w:val="center"/>
                </w:tcPr>
                <w:p w14:paraId="53ABE3F4">
                  <w:pPr>
                    <w:pStyle w:val="30"/>
                    <w:autoSpaceDE w:val="0"/>
                    <w:autoSpaceDN w:val="0"/>
                    <w:bidi w:val="0"/>
                    <w:jc w:val="center"/>
                    <w:rPr>
                      <w:rFonts w:hint="default"/>
                      <w:highlight w:val="none"/>
                      <w:u w:val="none" w:color="auto"/>
                      <w:lang w:val="en-US" w:eastAsia="zh-CN"/>
                    </w:rPr>
                  </w:pPr>
                  <w:r>
                    <w:rPr>
                      <w:rFonts w:hint="default"/>
                      <w:highlight w:val="none"/>
                      <w:u w:val="none" w:color="auto"/>
                      <w:lang w:val="en-US" w:eastAsia="zh-CN"/>
                    </w:rPr>
                    <w:t>废电池、废油、废轮胎加工处理</w:t>
                  </w:r>
                </w:p>
              </w:tc>
              <w:tc>
                <w:tcPr>
                  <w:tcW w:w="1798" w:type="pct"/>
                  <w:tcBorders>
                    <w:bottom w:val="single" w:color="000000" w:sz="10" w:space="0"/>
                  </w:tcBorders>
                  <w:vAlign w:val="center"/>
                </w:tcPr>
                <w:p w14:paraId="790D3ACD">
                  <w:pPr>
                    <w:pStyle w:val="30"/>
                    <w:autoSpaceDE w:val="0"/>
                    <w:autoSpaceDN w:val="0"/>
                    <w:bidi w:val="0"/>
                    <w:jc w:val="center"/>
                    <w:rPr>
                      <w:highlight w:val="none"/>
                      <w:u w:val="none" w:color="auto"/>
                    </w:rPr>
                  </w:pPr>
                  <w:r>
                    <w:rPr>
                      <w:rFonts w:hint="eastAsia"/>
                      <w:highlight w:val="none"/>
                      <w:u w:val="none" w:color="auto"/>
                    </w:rPr>
                    <w:t>废弃电器电子产品、废机动车、废电机、废电线电缆、废塑料、废船、含水洗工艺的其他废料和碎屑加工处理</w:t>
                  </w:r>
                </w:p>
              </w:tc>
              <w:tc>
                <w:tcPr>
                  <w:tcW w:w="893" w:type="pct"/>
                  <w:tcBorders>
                    <w:bottom w:val="single" w:color="000000" w:sz="10" w:space="0"/>
                    <w:right w:val="single" w:color="000000" w:sz="10" w:space="0"/>
                  </w:tcBorders>
                  <w:vAlign w:val="center"/>
                </w:tcPr>
                <w:p w14:paraId="7BE95C79">
                  <w:pPr>
                    <w:pStyle w:val="30"/>
                    <w:autoSpaceDE w:val="0"/>
                    <w:autoSpaceDN w:val="0"/>
                    <w:bidi w:val="0"/>
                    <w:jc w:val="center"/>
                    <w:rPr>
                      <w:rFonts w:hint="eastAsia" w:eastAsia="宋体"/>
                      <w:highlight w:val="none"/>
                      <w:u w:val="none" w:color="auto"/>
                      <w:lang w:val="en-US" w:eastAsia="zh-CN"/>
                    </w:rPr>
                  </w:pPr>
                  <w:r>
                    <w:rPr>
                      <w:rFonts w:hint="eastAsia"/>
                      <w:highlight w:val="none"/>
                      <w:u w:val="none" w:color="auto"/>
                      <w:lang w:val="en-US" w:eastAsia="zh-CN"/>
                    </w:rPr>
                    <w:t>其他</w:t>
                  </w:r>
                </w:p>
              </w:tc>
            </w:tr>
          </w:tbl>
          <w:p w14:paraId="375522CF">
            <w:pPr>
              <w:pStyle w:val="25"/>
              <w:keepNext w:val="0"/>
              <w:keepLines w:val="0"/>
              <w:pageBreakBefore w:val="0"/>
              <w:widowControl/>
              <w:kinsoku/>
              <w:wordWrap w:val="0"/>
              <w:overflowPunct/>
              <w:topLinePunct/>
              <w:autoSpaceDE/>
              <w:autoSpaceDN/>
              <w:bidi w:val="0"/>
              <w:adjustRightInd/>
              <w:snapToGrid/>
              <w:ind w:left="0" w:leftChars="0" w:firstLine="0" w:firstLineChars="0"/>
              <w:rPr>
                <w:rFonts w:hint="eastAsia"/>
                <w:b/>
                <w:bCs/>
                <w:color w:val="auto"/>
                <w:highlight w:val="none"/>
                <w:u w:val="none" w:color="auto"/>
                <w:lang w:val="en-US" w:eastAsia="zh-CN"/>
              </w:rPr>
            </w:pPr>
            <w:r>
              <w:rPr>
                <w:rFonts w:hint="eastAsia"/>
                <w:b/>
                <w:bCs/>
                <w:color w:val="auto"/>
                <w:highlight w:val="none"/>
                <w:u w:val="none" w:color="auto"/>
                <w:lang w:val="en-US" w:eastAsia="zh-CN"/>
              </w:rPr>
              <w:t>2、排污管理</w:t>
            </w:r>
          </w:p>
          <w:p w14:paraId="468EEF2A">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据生态环境部发布《排污许可管理办法》（部令第32号）规定：</w:t>
            </w:r>
          </w:p>
          <w:p w14:paraId="4C90066D">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排污登记单位应当依照国家生态环境保护法律法规规章等管理规定运行和维护污染防治设施，建设规范化排放口，落实排污主体责任，控制污染物排放。</w:t>
            </w:r>
          </w:p>
          <w:p w14:paraId="76DE58D0">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排污单位应当按照排污许可证规定和有关标准规范，依法开展自行监测，保存原始监测记录。原始监测记录保存期限不得少于五年。</w:t>
            </w:r>
          </w:p>
          <w:p w14:paraId="648759A9">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排污单位对自行监测数据的真实性、准确性负责，不得篡改、伪造。</w:t>
            </w:r>
          </w:p>
          <w:p w14:paraId="0BD14D3F">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排污单位应当按照排污许可证规定的格式、内容和频次要求记录环境管理台账，主要包括以下内容：</w:t>
            </w:r>
          </w:p>
          <w:p w14:paraId="774984BB">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（一）与污染物排放相关的主要生产设施运行情况；发生异常情况的，应当记录原因和采取的措施。</w:t>
            </w:r>
          </w:p>
          <w:p w14:paraId="58AC7EB1">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（二）污染防治设施运行情况及管理信息；发生异常情况的，应当记录原因和采取的措施。</w:t>
            </w:r>
          </w:p>
          <w:p w14:paraId="1C778E0F">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（三）污染物实际排放浓度和排放量；发生超标排放情况的，应当记录超标原因和采取的措施。</w:t>
            </w:r>
          </w:p>
          <w:p w14:paraId="7031F542">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（四）其他按照相关技术规范应当记录的信息。环境管理台账记录保存期限不得少于五年。</w:t>
            </w:r>
          </w:p>
          <w:p w14:paraId="0D506BEC">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排污单位应当按照排污许可证规定的执行报告内容、频次和时间要求，在全国排污许可证管理信息平台上填报、提交排污许可证执行报告。</w:t>
            </w:r>
          </w:p>
          <w:p w14:paraId="3D6EDEE1">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建设项目竣工环境保护设施验收报告中污染源监测数据等与污染物排放相关的主要内容，应当由排污单位记载在该项目竣工环境保护设施验收完成当年的排污许可证年度执行报告中。排污许可证执行情况应当作为环境影响后评价的重要依据。排污单位发生污染事故排放时，应当依照相关法律法规规章的规定及时报告。</w:t>
            </w:r>
          </w:p>
          <w:p w14:paraId="3AD57595">
            <w:pPr>
              <w:pStyle w:val="25"/>
              <w:keepNext w:val="0"/>
              <w:keepLines w:val="0"/>
              <w:pageBreakBefore w:val="0"/>
              <w:widowControl/>
              <w:kinsoku/>
              <w:wordWrap w:val="0"/>
              <w:overflowPunct/>
              <w:topLinePunct/>
              <w:autoSpaceDE/>
              <w:autoSpaceDN/>
              <w:bidi w:val="0"/>
              <w:adjustRightInd/>
              <w:snapToGrid/>
              <w:rPr>
                <w:rFonts w:hint="default"/>
                <w:highlight w:val="none"/>
                <w:u w:val="none" w:color="auto"/>
                <w:lang w:val="en-US" w:eastAsia="zh-CN"/>
              </w:rPr>
            </w:pPr>
            <w:r>
              <w:rPr>
                <w:highlight w:val="none"/>
                <w:u w:val="none" w:color="auto"/>
              </w:rPr>
              <w:t>排污单位应当按照排污许可证规定，如实在全国排污许可证管理信息平台上公开污染物排放信息。污染物排放信息应当包括污染物排放种类、排放浓度和排放量，以及污染防治设施的建设运行情况、排污许可证执行报告、自行监测数据等；水污染物排入市政排水管网的，还应当包括污水接入市政排水管网位置、排放方式等信息。</w:t>
            </w:r>
          </w:p>
          <w:p w14:paraId="0583864C">
            <w:pPr>
              <w:pStyle w:val="25"/>
              <w:keepNext w:val="0"/>
              <w:keepLines w:val="0"/>
              <w:pageBreakBefore w:val="0"/>
              <w:widowControl/>
              <w:kinsoku/>
              <w:wordWrap w:val="0"/>
              <w:overflowPunct/>
              <w:topLinePunct/>
              <w:autoSpaceDE/>
              <w:autoSpaceDN/>
              <w:bidi w:val="0"/>
              <w:adjustRightInd/>
              <w:snapToGrid/>
              <w:ind w:left="0" w:leftChars="0" w:firstLine="0" w:firstLineChars="0"/>
              <w:rPr>
                <w:b/>
                <w:bCs/>
                <w:highlight w:val="none"/>
                <w:u w:val="none" w:color="auto"/>
              </w:rPr>
            </w:pPr>
            <w:r>
              <w:rPr>
                <w:rFonts w:hint="eastAsia"/>
                <w:b/>
                <w:bCs/>
                <w:highlight w:val="none"/>
                <w:u w:val="none" w:color="auto"/>
                <w:lang w:val="en-US" w:eastAsia="zh-CN"/>
              </w:rPr>
              <w:t>3、</w:t>
            </w:r>
            <w:r>
              <w:rPr>
                <w:b/>
                <w:bCs/>
                <w:highlight w:val="none"/>
                <w:u w:val="none" w:color="auto"/>
              </w:rPr>
              <w:t>排污口规范化建设</w:t>
            </w:r>
          </w:p>
          <w:p w14:paraId="005EBCDF">
            <w:pPr>
              <w:pStyle w:val="25"/>
              <w:keepNext w:val="0"/>
              <w:keepLines w:val="0"/>
              <w:pageBreakBefore w:val="0"/>
              <w:widowControl/>
              <w:kinsoku/>
              <w:wordWrap w:val="0"/>
              <w:overflowPunct/>
              <w:topLinePunct/>
              <w:autoSpaceDE/>
              <w:autoSpaceDN/>
              <w:bidi w:val="0"/>
              <w:adjustRightInd/>
              <w:snapToGrid/>
              <w:rPr>
                <w:highlight w:val="none"/>
                <w:u w:val="none" w:color="auto"/>
              </w:rPr>
            </w:pPr>
            <w:r>
              <w:rPr>
                <w:rFonts w:hint="eastAsia"/>
                <w:highlight w:val="none"/>
                <w:u w:val="none" w:color="auto"/>
                <w:lang w:val="en-US" w:eastAsia="zh-CN"/>
              </w:rPr>
              <w:t>a.</w:t>
            </w:r>
            <w:r>
              <w:rPr>
                <w:highlight w:val="none"/>
                <w:u w:val="none" w:color="auto"/>
              </w:rPr>
              <w:t>排污口规范化管理</w:t>
            </w:r>
          </w:p>
          <w:p w14:paraId="2F956148">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14:paraId="3D0C4CF2">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①排污口必须规范化设置；排污口应便于采样与计量监测，便于日常监督检查，应有观测、取样、维修通道。</w:t>
            </w:r>
          </w:p>
          <w:p w14:paraId="31637E74">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②如实向环保管理部门申报排污口数量、位置及所排放的主要污染物种类、数量、浓度、排放去向等情况。</w:t>
            </w:r>
          </w:p>
          <w:p w14:paraId="460DFD72">
            <w:pPr>
              <w:pStyle w:val="25"/>
              <w:keepNext w:val="0"/>
              <w:keepLines w:val="0"/>
              <w:pageBreakBefore w:val="0"/>
              <w:widowControl/>
              <w:kinsoku/>
              <w:wordWrap w:val="0"/>
              <w:overflowPunct/>
              <w:topLinePunct/>
              <w:autoSpaceDE/>
              <w:autoSpaceDN/>
              <w:bidi w:val="0"/>
              <w:adjustRightInd/>
              <w:snapToGrid/>
              <w:rPr>
                <w:highlight w:val="none"/>
                <w:u w:val="none" w:color="auto"/>
              </w:rPr>
            </w:pPr>
            <w:r>
              <w:rPr>
                <w:rFonts w:hint="eastAsia"/>
                <w:highlight w:val="none"/>
                <w:u w:val="none" w:color="auto"/>
                <w:lang w:val="en-US" w:eastAsia="zh-CN"/>
              </w:rPr>
              <w:t>b.</w:t>
            </w:r>
            <w:r>
              <w:rPr>
                <w:highlight w:val="none"/>
                <w:u w:val="none" w:color="auto"/>
              </w:rPr>
              <w:t>排污口立标管理</w:t>
            </w:r>
          </w:p>
          <w:p w14:paraId="565F2849">
            <w:pPr>
              <w:pStyle w:val="25"/>
              <w:keepNext w:val="0"/>
              <w:keepLines w:val="0"/>
              <w:pageBreakBefore w:val="0"/>
              <w:widowControl/>
              <w:kinsoku/>
              <w:wordWrap w:val="0"/>
              <w:overflowPunct/>
              <w:topLinePunct/>
              <w:autoSpaceDE/>
              <w:autoSpaceDN/>
              <w:bidi w:val="0"/>
              <w:adjustRightInd/>
              <w:snapToGrid/>
              <w:rPr>
                <w:highlight w:val="none"/>
                <w:u w:val="none" w:color="auto"/>
              </w:rPr>
            </w:pPr>
            <w:r>
              <w:rPr>
                <w:rFonts w:hint="default"/>
                <w:highlight w:val="none"/>
                <w:u w:val="none" w:color="auto"/>
                <w:lang w:val="en-US" w:eastAsia="zh-CN"/>
              </w:rPr>
              <w:t>根据国家标准《环境保护图形标志—排放口（源）》</w:t>
            </w:r>
            <w:r>
              <w:rPr>
                <w:rFonts w:hint="eastAsia"/>
                <w:highlight w:val="none"/>
                <w:u w:val="none" w:color="auto"/>
                <w:lang w:val="en-US" w:eastAsia="zh-CN"/>
              </w:rPr>
              <w:t>（GB/T15562.1-1995</w:t>
            </w:r>
            <w:r>
              <w:rPr>
                <w:rFonts w:hint="eastAsia"/>
                <w:highlight w:val="none"/>
                <w:u w:val="none" w:color="auto"/>
                <w:lang w:eastAsia="zh-CN"/>
              </w:rPr>
              <w:t>）</w:t>
            </w:r>
            <w:r>
              <w:rPr>
                <w:highlight w:val="none"/>
                <w:u w:val="none" w:color="auto"/>
              </w:rPr>
              <w:t>和国家环</w:t>
            </w:r>
            <w:r>
              <w:rPr>
                <w:rFonts w:hint="eastAsia"/>
                <w:highlight w:val="none"/>
                <w:u w:val="none" w:color="auto"/>
                <w:lang w:val="en-US" w:eastAsia="zh-CN"/>
              </w:rPr>
              <w:t>境保护</w:t>
            </w:r>
            <w:r>
              <w:rPr>
                <w:highlight w:val="none"/>
                <w:u w:val="none" w:color="auto"/>
              </w:rPr>
              <w:t>总局《排污口规范化整治要求</w:t>
            </w:r>
            <w:r>
              <w:rPr>
                <w:rFonts w:hint="eastAsia"/>
                <w:highlight w:val="none"/>
                <w:u w:val="none" w:color="auto"/>
                <w:lang w:eastAsia="zh-CN"/>
              </w:rPr>
              <w:t>（试行</w:t>
            </w:r>
            <w:r>
              <w:rPr>
                <w:rFonts w:hint="eastAsia" w:ascii="Times New Roman" w:hAnsi="Times New Roman" w:eastAsia="宋体" w:cs="Times New Roman"/>
                <w:highlight w:val="none"/>
                <w:u w:val="none" w:color="auto"/>
                <w:lang w:val="en-US" w:eastAsia="zh-CN"/>
              </w:rPr>
              <w:t>）》（环监[1996]470号）的</w:t>
            </w:r>
            <w:r>
              <w:rPr>
                <w:highlight w:val="none"/>
                <w:u w:val="none" w:color="auto"/>
              </w:rPr>
              <w:t>技术要求，企业所有排放口（包括水、气、声、渣）必须按照“便于采样、便于计量检测、便于日常现场监督检查”的原则和规范化要求，设置与之相适应的环境保护图形标志牌，同时对污水排放口安装流量计，对治理设施安装运行监控装置、排污口的规范化要符合有关环保要求。</w:t>
            </w:r>
          </w:p>
          <w:p w14:paraId="5EA02214">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（1）污水排放口</w:t>
            </w:r>
          </w:p>
          <w:p w14:paraId="7BAE6C7D">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本项目不设污水排放口。</w:t>
            </w:r>
          </w:p>
          <w:p w14:paraId="63012A63">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（2）废气排放</w:t>
            </w:r>
          </w:p>
          <w:p w14:paraId="36B3D926">
            <w:pPr>
              <w:pStyle w:val="25"/>
              <w:keepNext w:val="0"/>
              <w:keepLines w:val="0"/>
              <w:pageBreakBefore w:val="0"/>
              <w:widowControl/>
              <w:kinsoku/>
              <w:wordWrap w:val="0"/>
              <w:overflowPunct/>
              <w:topLinePunct/>
              <w:autoSpaceDE/>
              <w:autoSpaceDN/>
              <w:bidi w:val="0"/>
              <w:adjustRightInd/>
              <w:snapToGrid/>
              <w:rPr>
                <w:highlight w:val="none"/>
                <w:u w:val="none" w:color="auto"/>
              </w:rPr>
            </w:pPr>
            <w:r>
              <w:rPr>
                <w:highlight w:val="none"/>
                <w:u w:val="none" w:color="auto"/>
              </w:rPr>
              <w:t>本项目</w:t>
            </w:r>
            <w:r>
              <w:rPr>
                <w:rFonts w:hint="eastAsia"/>
                <w:highlight w:val="none"/>
                <w:u w:val="none" w:color="auto"/>
                <w:lang w:val="en-US" w:eastAsia="zh-CN"/>
              </w:rPr>
              <w:t>设置一根高度为15m的一般废气</w:t>
            </w:r>
            <w:r>
              <w:rPr>
                <w:highlight w:val="none"/>
                <w:u w:val="none" w:color="auto"/>
              </w:rPr>
              <w:t>排放口。</w:t>
            </w:r>
          </w:p>
          <w:p w14:paraId="4EA5C460">
            <w:pPr>
              <w:pStyle w:val="25"/>
              <w:keepNext w:val="0"/>
              <w:keepLines w:val="0"/>
              <w:pageBreakBefore w:val="0"/>
              <w:widowControl/>
              <w:kinsoku/>
              <w:wordWrap w:val="0"/>
              <w:overflowPunct/>
              <w:topLinePunct/>
              <w:autoSpaceDE/>
              <w:autoSpaceDN/>
              <w:bidi w:val="0"/>
              <w:adjustRightInd/>
              <w:snapToGrid/>
              <w:rPr>
                <w:highlight w:val="none"/>
                <w:u w:val="none" w:color="auto"/>
              </w:rPr>
            </w:pPr>
            <w:r>
              <w:rPr>
                <w:rFonts w:hint="eastAsia"/>
                <w:highlight w:val="none"/>
                <w:u w:val="none" w:color="auto"/>
                <w:lang w:val="en-US" w:eastAsia="zh-CN"/>
              </w:rPr>
              <w:t>c.</w:t>
            </w:r>
            <w:r>
              <w:rPr>
                <w:highlight w:val="none"/>
                <w:u w:val="none" w:color="auto"/>
              </w:rPr>
              <w:t>排污口建档管理</w:t>
            </w:r>
          </w:p>
          <w:p w14:paraId="6F64C0C0">
            <w:pPr>
              <w:pStyle w:val="25"/>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zh-CN"/>
              </w:rPr>
            </w:pPr>
            <w:r>
              <w:rPr>
                <w:highlight w:val="none"/>
                <w:u w:val="none" w:color="auto"/>
              </w:rPr>
              <w:t>本项目应按照《中华人民共和国规范化排污口标志登记证》要求填写有关内容。根据排污口管理内容要求，项目建成投产后，应将主要污染物种类、数量、浓度、排放去向、</w:t>
            </w:r>
            <w:r>
              <w:rPr>
                <w:rFonts w:hint="eastAsia"/>
                <w:highlight w:val="none"/>
                <w:u w:val="none" w:color="auto"/>
                <w:lang w:val="en-US" w:eastAsia="zh-CN"/>
              </w:rPr>
              <w:t>达</w:t>
            </w:r>
            <w:r>
              <w:rPr>
                <w:highlight w:val="none"/>
                <w:u w:val="none" w:color="auto"/>
              </w:rPr>
              <w:t>标情况及设施运行情况记录于档案。</w:t>
            </w:r>
          </w:p>
        </w:tc>
      </w:tr>
    </w:tbl>
    <w:p w14:paraId="06BE2E94">
      <w:pPr>
        <w:pStyle w:val="2"/>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02" w:name="_Toc11055"/>
    </w:p>
    <w:p w14:paraId="4C3DD797">
      <w:pPr>
        <w:pStyle w:val="2"/>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pPr>
      <w:bookmarkStart w:id="103" w:name="_Toc24452"/>
      <w:bookmarkStart w:id="104" w:name="_Toc27341"/>
      <w:r>
        <w:rPr>
          <w:rFonts w:hint="default" w:ascii="Times New Roman" w:hAnsi="Times New Roman" w:eastAsia="宋体" w:cs="Times New Roman"/>
          <w:b/>
          <w:bCs/>
          <w:color w:val="auto"/>
          <w:kern w:val="44"/>
          <w:sz w:val="28"/>
          <w:szCs w:val="44"/>
          <w:highlight w:val="none"/>
          <w:u w:val="none" w:color="auto"/>
          <w:lang w:val="en-US" w:eastAsia="zh-CN" w:bidi="ar-SA"/>
        </w:rPr>
        <w:t>五、环境保护措施监督检查清单</w:t>
      </w:r>
      <w:bookmarkEnd w:id="102"/>
      <w:bookmarkEnd w:id="103"/>
      <w:bookmarkEnd w:id="104"/>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443"/>
        <w:gridCol w:w="1062"/>
        <w:gridCol w:w="1418"/>
        <w:gridCol w:w="1592"/>
        <w:gridCol w:w="2928"/>
      </w:tblGrid>
      <w:tr w14:paraId="40621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8" w:space="0"/>
              <w:left w:val="single" w:color="auto" w:sz="8" w:space="0"/>
              <w:bottom w:val="single" w:color="auto" w:sz="4" w:space="0"/>
              <w:right w:val="single" w:color="auto" w:sz="4" w:space="0"/>
              <w:tl2br w:val="single" w:color="auto" w:sz="4" w:space="0"/>
            </w:tcBorders>
          </w:tcPr>
          <w:p w14:paraId="649DF810">
            <w:pPr>
              <w:keepNext w:val="0"/>
              <w:keepLines w:val="0"/>
              <w:pageBreakBefore w:val="0"/>
              <w:widowControl w:val="0"/>
              <w:kinsoku/>
              <w:overflowPunct/>
              <w:autoSpaceDE/>
              <w:autoSpaceDN/>
              <w:bidi w:val="0"/>
              <w:adjustRightInd/>
              <w:snapToGrid w:val="0"/>
              <w:ind w:firstLine="422" w:firstLineChars="20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内容</w:t>
            </w:r>
          </w:p>
          <w:p w14:paraId="7DB27B1F">
            <w:pPr>
              <w:keepNext w:val="0"/>
              <w:keepLines w:val="0"/>
              <w:pageBreakBefore w:val="0"/>
              <w:widowControl w:val="0"/>
              <w:kinsoku/>
              <w:overflowPunct/>
              <w:autoSpaceDE/>
              <w:autoSpaceDN/>
              <w:bidi w:val="0"/>
              <w:adjustRightInd/>
              <w:snapToGrid w:val="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要素</w:t>
            </w:r>
          </w:p>
        </w:tc>
        <w:tc>
          <w:tcPr>
            <w:tcW w:w="883" w:type="pct"/>
            <w:gridSpan w:val="2"/>
            <w:tcBorders>
              <w:top w:val="single" w:color="auto" w:sz="8" w:space="0"/>
              <w:left w:val="single" w:color="auto" w:sz="4" w:space="0"/>
              <w:bottom w:val="single" w:color="auto" w:sz="4" w:space="0"/>
              <w:right w:val="single" w:color="auto" w:sz="4" w:space="0"/>
            </w:tcBorders>
            <w:vAlign w:val="center"/>
          </w:tcPr>
          <w:p w14:paraId="2245436C">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排放口(编号、名称)/污染源</w:t>
            </w:r>
          </w:p>
        </w:tc>
        <w:tc>
          <w:tcPr>
            <w:tcW w:w="832" w:type="pct"/>
            <w:tcBorders>
              <w:top w:val="single" w:color="auto" w:sz="8" w:space="0"/>
              <w:left w:val="single" w:color="auto" w:sz="4" w:space="0"/>
              <w:bottom w:val="single" w:color="auto" w:sz="4" w:space="0"/>
              <w:right w:val="single" w:color="auto" w:sz="4" w:space="0"/>
            </w:tcBorders>
            <w:vAlign w:val="center"/>
          </w:tcPr>
          <w:p w14:paraId="75674115">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污染物项目</w:t>
            </w:r>
          </w:p>
        </w:tc>
        <w:tc>
          <w:tcPr>
            <w:tcW w:w="934" w:type="pct"/>
            <w:tcBorders>
              <w:top w:val="single" w:color="auto" w:sz="8" w:space="0"/>
              <w:left w:val="single" w:color="auto" w:sz="4" w:space="0"/>
              <w:bottom w:val="single" w:color="auto" w:sz="4" w:space="0"/>
              <w:right w:val="single" w:color="auto" w:sz="4" w:space="0"/>
            </w:tcBorders>
            <w:vAlign w:val="center"/>
          </w:tcPr>
          <w:p w14:paraId="3749DCCB">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环境保护措施</w:t>
            </w:r>
          </w:p>
        </w:tc>
        <w:tc>
          <w:tcPr>
            <w:tcW w:w="1717" w:type="pct"/>
            <w:tcBorders>
              <w:top w:val="single" w:color="auto" w:sz="8" w:space="0"/>
              <w:left w:val="single" w:color="auto" w:sz="4" w:space="0"/>
              <w:bottom w:val="single" w:color="auto" w:sz="4" w:space="0"/>
              <w:right w:val="single" w:color="auto" w:sz="8" w:space="0"/>
            </w:tcBorders>
            <w:vAlign w:val="center"/>
          </w:tcPr>
          <w:p w14:paraId="4D58128C">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执行标准</w:t>
            </w:r>
          </w:p>
        </w:tc>
      </w:tr>
      <w:tr w14:paraId="75167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32" w:type="pct"/>
            <w:vMerge w:val="restart"/>
            <w:tcBorders>
              <w:top w:val="single" w:color="auto" w:sz="4" w:space="0"/>
              <w:left w:val="single" w:color="auto" w:sz="8" w:space="0"/>
              <w:right w:val="single" w:color="auto" w:sz="4" w:space="0"/>
            </w:tcBorders>
            <w:vAlign w:val="center"/>
          </w:tcPr>
          <w:p w14:paraId="71CF0FE9">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大气环境</w:t>
            </w:r>
          </w:p>
        </w:tc>
        <w:tc>
          <w:tcPr>
            <w:tcW w:w="883" w:type="pct"/>
            <w:gridSpan w:val="2"/>
            <w:tcBorders>
              <w:top w:val="single" w:color="auto" w:sz="4" w:space="0"/>
              <w:left w:val="single" w:color="auto" w:sz="4" w:space="0"/>
              <w:right w:val="single" w:color="auto" w:sz="4" w:space="0"/>
            </w:tcBorders>
            <w:vAlign w:val="center"/>
          </w:tcPr>
          <w:p w14:paraId="3DDCEEB1">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焚烧工序</w:t>
            </w:r>
          </w:p>
        </w:tc>
        <w:tc>
          <w:tcPr>
            <w:tcW w:w="832" w:type="pct"/>
            <w:tcBorders>
              <w:top w:val="single" w:color="auto" w:sz="4" w:space="0"/>
              <w:left w:val="single" w:color="auto" w:sz="4" w:space="0"/>
              <w:right w:val="single" w:color="auto" w:sz="4" w:space="0"/>
            </w:tcBorders>
            <w:vAlign w:val="center"/>
          </w:tcPr>
          <w:p w14:paraId="2029A8A7">
            <w:pPr>
              <w:pStyle w:val="42"/>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颗粒物、SO</w:t>
            </w:r>
            <w:r>
              <w:rPr>
                <w:rFonts w:hint="eastAsia" w:ascii="Times New Roman" w:hAnsi="Times New Roman" w:cs="Times New Roman"/>
                <w:color w:val="auto"/>
                <w:sz w:val="21"/>
                <w:szCs w:val="21"/>
                <w:highlight w:val="none"/>
                <w:u w:val="none" w:color="auto"/>
                <w:vertAlign w:val="subscript"/>
                <w:lang w:val="en-US" w:eastAsia="zh-CN"/>
              </w:rPr>
              <w:t>2</w:t>
            </w:r>
            <w:r>
              <w:rPr>
                <w:rFonts w:hint="eastAsia" w:ascii="Times New Roman" w:hAnsi="Times New Roman" w:cs="Times New Roman"/>
                <w:color w:val="auto"/>
                <w:sz w:val="21"/>
                <w:szCs w:val="21"/>
                <w:highlight w:val="none"/>
                <w:u w:val="none" w:color="auto"/>
                <w:lang w:val="en-US" w:eastAsia="zh-CN"/>
              </w:rPr>
              <w:t>、NOx</w:t>
            </w:r>
          </w:p>
        </w:tc>
        <w:tc>
          <w:tcPr>
            <w:tcW w:w="934" w:type="pct"/>
            <w:tcBorders>
              <w:top w:val="single" w:color="auto" w:sz="4" w:space="0"/>
              <w:left w:val="single" w:color="auto" w:sz="4" w:space="0"/>
              <w:bottom w:val="single" w:color="auto" w:sz="4" w:space="0"/>
              <w:right w:val="single" w:color="auto" w:sz="4" w:space="0"/>
            </w:tcBorders>
            <w:vAlign w:val="center"/>
          </w:tcPr>
          <w:p w14:paraId="2C9C42C4">
            <w:pPr>
              <w:pStyle w:val="30"/>
              <w:keepNext w:val="0"/>
              <w:keepLines w:val="0"/>
              <w:pageBreakBefore w:val="0"/>
              <w:widowControl w:val="0"/>
              <w:kinsoku/>
              <w:overflowPunct/>
              <w:autoSpaceDE/>
              <w:autoSpaceDN/>
              <w:bidi w:val="0"/>
              <w:adjustRightInd/>
              <w:snapToGrid/>
              <w:spacing w:before="0" w:after="0" w:line="240" w:lineRule="auto"/>
              <w:ind w:lef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密闭管道收集</w:t>
            </w:r>
            <w:r>
              <w:rPr>
                <w:rFonts w:hint="default" w:ascii="Times New Roman" w:hAnsi="Times New Roman" w:eastAsia="宋体" w:cs="Times New Roman"/>
                <w:color w:val="auto"/>
                <w:kern w:val="2"/>
                <w:sz w:val="21"/>
                <w:szCs w:val="21"/>
                <w:highlight w:val="none"/>
                <w:u w:val="none" w:color="auto"/>
                <w:lang w:val="en-US" w:eastAsia="en-US" w:bidi="ar-SA"/>
              </w:rPr>
              <w:t>+</w:t>
            </w:r>
            <w:r>
              <w:rPr>
                <w:rFonts w:hint="eastAsia" w:cs="Times New Roman"/>
                <w:color w:val="auto"/>
                <w:kern w:val="2"/>
                <w:sz w:val="21"/>
                <w:szCs w:val="21"/>
                <w:highlight w:val="none"/>
                <w:u w:val="none" w:color="auto"/>
                <w:lang w:val="en-US" w:eastAsia="zh-CN" w:bidi="ar-SA"/>
              </w:rPr>
              <w:t>水膜除尘装置+一根15m排气筒</w:t>
            </w:r>
          </w:p>
        </w:tc>
        <w:tc>
          <w:tcPr>
            <w:tcW w:w="1717" w:type="pct"/>
            <w:tcBorders>
              <w:top w:val="single" w:color="auto" w:sz="4" w:space="0"/>
              <w:left w:val="single" w:color="auto" w:sz="4" w:space="0"/>
              <w:right w:val="single" w:color="auto" w:sz="8" w:space="0"/>
            </w:tcBorders>
            <w:vAlign w:val="center"/>
          </w:tcPr>
          <w:p w14:paraId="3987CF4F">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cs="Times New Roman"/>
                <w:color w:val="auto"/>
                <w:sz w:val="21"/>
                <w:szCs w:val="21"/>
                <w:highlight w:val="none"/>
                <w:u w:val="none" w:color="auto"/>
                <w:lang w:val="en-US" w:eastAsia="zh-CN"/>
              </w:rPr>
            </w:pPr>
            <w:r>
              <w:rPr>
                <w:rFonts w:hint="eastAsia"/>
                <w:highlight w:val="none"/>
                <w:u w:val="none" w:color="auto"/>
                <w:lang w:val="en-US" w:eastAsia="zh-CN"/>
              </w:rPr>
              <w:t>《湖南省工业炉窑大气污染综合治理实施方案》附件</w:t>
            </w:r>
            <w:r>
              <w:rPr>
                <w:rFonts w:hint="default"/>
                <w:highlight w:val="none"/>
                <w:u w:val="none" w:color="auto"/>
                <w:lang w:val="en-US" w:eastAsia="zh-CN"/>
              </w:rPr>
              <w:t>1</w:t>
            </w:r>
            <w:r>
              <w:rPr>
                <w:rFonts w:hint="eastAsia"/>
                <w:highlight w:val="none"/>
                <w:u w:val="none" w:color="auto"/>
                <w:lang w:val="en-US" w:eastAsia="zh-CN"/>
              </w:rPr>
              <w:t>中相关排放限值</w:t>
            </w:r>
          </w:p>
        </w:tc>
      </w:tr>
      <w:tr w14:paraId="42FD2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pct"/>
            <w:vMerge w:val="continue"/>
            <w:tcBorders>
              <w:left w:val="single" w:color="auto" w:sz="8" w:space="0"/>
              <w:right w:val="single" w:color="auto" w:sz="4" w:space="0"/>
            </w:tcBorders>
            <w:vAlign w:val="center"/>
          </w:tcPr>
          <w:p w14:paraId="1ECEE951">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p>
        </w:tc>
        <w:tc>
          <w:tcPr>
            <w:tcW w:w="260" w:type="pct"/>
            <w:vMerge w:val="restart"/>
            <w:tcBorders>
              <w:top w:val="single" w:color="auto" w:sz="4" w:space="0"/>
              <w:left w:val="single" w:color="auto" w:sz="4" w:space="0"/>
              <w:right w:val="single" w:color="auto" w:sz="4" w:space="0"/>
            </w:tcBorders>
            <w:vAlign w:val="center"/>
          </w:tcPr>
          <w:p w14:paraId="26C3D7C9">
            <w:pPr>
              <w:pStyle w:val="30"/>
              <w:bidi w:val="0"/>
              <w:jc w:val="center"/>
              <w:rPr>
                <w:rFonts w:hint="default" w:ascii="Times New Roman" w:hAnsi="Times New Roman" w:eastAsia="宋体" w:cs="Times New Roman"/>
                <w:color w:val="auto"/>
                <w:szCs w:val="21"/>
                <w:highlight w:val="none"/>
                <w:u w:val="none" w:color="auto"/>
                <w:lang w:val="en-US" w:eastAsia="zh-CN"/>
              </w:rPr>
            </w:pPr>
            <w:r>
              <w:rPr>
                <w:rFonts w:hint="default"/>
                <w:highlight w:val="none"/>
                <w:u w:val="none" w:color="auto"/>
              </w:rPr>
              <w:t>无组织废气</w:t>
            </w:r>
          </w:p>
        </w:tc>
        <w:tc>
          <w:tcPr>
            <w:tcW w:w="623" w:type="pct"/>
            <w:tcBorders>
              <w:top w:val="single" w:color="auto" w:sz="4" w:space="0"/>
              <w:left w:val="single" w:color="auto" w:sz="4" w:space="0"/>
              <w:right w:val="single" w:color="auto" w:sz="4" w:space="0"/>
            </w:tcBorders>
            <w:vAlign w:val="center"/>
          </w:tcPr>
          <w:p w14:paraId="2FBDBB0E">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厂区内</w:t>
            </w:r>
          </w:p>
        </w:tc>
        <w:tc>
          <w:tcPr>
            <w:tcW w:w="832" w:type="pct"/>
            <w:tcBorders>
              <w:top w:val="single" w:color="auto" w:sz="4" w:space="0"/>
              <w:left w:val="single" w:color="auto" w:sz="4" w:space="0"/>
              <w:right w:val="single" w:color="auto" w:sz="4" w:space="0"/>
            </w:tcBorders>
            <w:vAlign w:val="center"/>
          </w:tcPr>
          <w:p w14:paraId="5246BBED">
            <w:pPr>
              <w:pStyle w:val="53"/>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VOCs</w:t>
            </w:r>
          </w:p>
        </w:tc>
        <w:tc>
          <w:tcPr>
            <w:tcW w:w="934" w:type="pct"/>
            <w:tcBorders>
              <w:top w:val="single" w:color="auto" w:sz="4" w:space="0"/>
              <w:left w:val="single" w:color="auto" w:sz="4" w:space="0"/>
              <w:right w:val="single" w:color="auto" w:sz="4" w:space="0"/>
            </w:tcBorders>
            <w:vAlign w:val="center"/>
          </w:tcPr>
          <w:p w14:paraId="543F68D4">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bidi="ar-SA"/>
              </w:rPr>
              <w:t>无组织扩散</w:t>
            </w:r>
          </w:p>
        </w:tc>
        <w:tc>
          <w:tcPr>
            <w:tcW w:w="1717" w:type="pct"/>
            <w:tcBorders>
              <w:left w:val="single" w:color="auto" w:sz="4" w:space="0"/>
              <w:right w:val="single" w:color="auto" w:sz="8" w:space="0"/>
            </w:tcBorders>
            <w:vAlign w:val="center"/>
          </w:tcPr>
          <w:p w14:paraId="715F26CC">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cs="Times New Roman"/>
                <w:color w:val="auto"/>
                <w:sz w:val="21"/>
                <w:szCs w:val="21"/>
                <w:highlight w:val="none"/>
                <w:u w:val="none" w:color="auto"/>
                <w:lang w:val="en-US" w:eastAsia="zh-CN"/>
              </w:rPr>
            </w:pPr>
            <w:r>
              <w:rPr>
                <w:rFonts w:hint="default"/>
                <w:highlight w:val="none"/>
                <w:u w:val="none" w:color="auto"/>
                <w:lang w:eastAsia="zh-CN"/>
              </w:rPr>
              <w:t>《挥发性有机物无组织排放控制标准》</w:t>
            </w:r>
            <w:r>
              <w:rPr>
                <w:rFonts w:hint="eastAsia"/>
                <w:highlight w:val="none"/>
                <w:u w:val="none" w:color="auto"/>
                <w:lang w:val="en-US" w:eastAsia="zh-CN"/>
              </w:rPr>
              <w:t>（GB37822-2019）标准</w:t>
            </w:r>
            <w:r>
              <w:rPr>
                <w:rFonts w:hint="default"/>
                <w:highlight w:val="none"/>
                <w:u w:val="none" w:color="auto"/>
                <w:lang w:val="en-US" w:eastAsia="zh-CN"/>
              </w:rPr>
              <w:t>要求</w:t>
            </w:r>
          </w:p>
        </w:tc>
      </w:tr>
      <w:tr w14:paraId="0AB81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pct"/>
            <w:vMerge w:val="continue"/>
            <w:tcBorders>
              <w:left w:val="single" w:color="auto" w:sz="8" w:space="0"/>
              <w:right w:val="single" w:color="auto" w:sz="4" w:space="0"/>
            </w:tcBorders>
            <w:vAlign w:val="center"/>
          </w:tcPr>
          <w:p w14:paraId="64F819E9">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p>
        </w:tc>
        <w:tc>
          <w:tcPr>
            <w:tcW w:w="260" w:type="pct"/>
            <w:vMerge w:val="continue"/>
            <w:tcBorders>
              <w:left w:val="single" w:color="auto" w:sz="4" w:space="0"/>
              <w:right w:val="single" w:color="auto" w:sz="4" w:space="0"/>
            </w:tcBorders>
            <w:vAlign w:val="center"/>
          </w:tcPr>
          <w:p w14:paraId="34A94C53">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p>
        </w:tc>
        <w:tc>
          <w:tcPr>
            <w:tcW w:w="623" w:type="pct"/>
            <w:tcBorders>
              <w:top w:val="single" w:color="auto" w:sz="4" w:space="0"/>
              <w:left w:val="single" w:color="auto" w:sz="4" w:space="0"/>
              <w:right w:val="single" w:color="auto" w:sz="4" w:space="0"/>
            </w:tcBorders>
            <w:vAlign w:val="center"/>
          </w:tcPr>
          <w:p w14:paraId="72A85C7E">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厂界</w:t>
            </w:r>
          </w:p>
        </w:tc>
        <w:tc>
          <w:tcPr>
            <w:tcW w:w="832" w:type="pct"/>
            <w:tcBorders>
              <w:left w:val="single" w:color="auto" w:sz="4" w:space="0"/>
              <w:right w:val="single" w:color="auto" w:sz="4" w:space="0"/>
            </w:tcBorders>
            <w:vAlign w:val="center"/>
          </w:tcPr>
          <w:p w14:paraId="18D43112">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非甲烷总烃、恶臭</w:t>
            </w:r>
          </w:p>
        </w:tc>
        <w:tc>
          <w:tcPr>
            <w:tcW w:w="934" w:type="pct"/>
            <w:tcBorders>
              <w:left w:val="single" w:color="auto" w:sz="4" w:space="0"/>
              <w:right w:val="single" w:color="auto" w:sz="4" w:space="0"/>
            </w:tcBorders>
            <w:vAlign w:val="center"/>
          </w:tcPr>
          <w:p w14:paraId="3C1B903B">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ascii="Times New Roman" w:hAnsi="Times New Roman" w:cs="Times New Roman"/>
                <w:color w:val="auto"/>
                <w:kern w:val="2"/>
                <w:sz w:val="21"/>
                <w:szCs w:val="21"/>
                <w:highlight w:val="none"/>
                <w:u w:val="none" w:color="auto"/>
                <w:lang w:val="en-US" w:eastAsia="zh-CN" w:bidi="ar-SA"/>
              </w:rPr>
              <w:t>无组织扩散</w:t>
            </w:r>
          </w:p>
        </w:tc>
        <w:tc>
          <w:tcPr>
            <w:tcW w:w="1717" w:type="pct"/>
            <w:tcBorders>
              <w:left w:val="single" w:color="auto" w:sz="4" w:space="0"/>
              <w:right w:val="single" w:color="auto" w:sz="8" w:space="0"/>
            </w:tcBorders>
            <w:vAlign w:val="center"/>
          </w:tcPr>
          <w:p w14:paraId="3EA5DCF0">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highlight w:val="none"/>
                <w:u w:val="none" w:color="auto"/>
                <w:lang w:val="en-US" w:eastAsia="zh-CN"/>
              </w:rPr>
              <w:t>《大气污染物综合排放标准》（GB16297-1996）、</w:t>
            </w:r>
            <w:r>
              <w:rPr>
                <w:rFonts w:hint="eastAsia" w:ascii="Times New Roman" w:hAnsi="Times New Roman" w:cs="Times New Roman"/>
                <w:color w:val="auto"/>
                <w:kern w:val="2"/>
                <w:sz w:val="21"/>
                <w:szCs w:val="21"/>
                <w:highlight w:val="none"/>
                <w:u w:val="none" w:color="auto"/>
                <w:lang w:val="en-US" w:eastAsia="zh-CN" w:bidi="ar-SA"/>
              </w:rPr>
              <w:t>《恶臭废气污染物排放标准》</w:t>
            </w:r>
            <w:r>
              <w:rPr>
                <w:rFonts w:hint="eastAsia" w:cs="Times New Roman"/>
                <w:color w:val="auto"/>
                <w:kern w:val="2"/>
                <w:sz w:val="21"/>
                <w:szCs w:val="21"/>
                <w:highlight w:val="none"/>
                <w:u w:val="none" w:color="auto"/>
                <w:lang w:val="en-US" w:eastAsia="zh-CN" w:bidi="ar-SA"/>
              </w:rPr>
              <w:t>2级标准</w:t>
            </w:r>
          </w:p>
        </w:tc>
      </w:tr>
      <w:tr w14:paraId="1C077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32" w:type="pct"/>
            <w:vMerge w:val="restart"/>
            <w:tcBorders>
              <w:top w:val="single" w:color="auto" w:sz="4" w:space="0"/>
              <w:left w:val="single" w:color="auto" w:sz="8" w:space="0"/>
              <w:right w:val="single" w:color="auto" w:sz="4" w:space="0"/>
            </w:tcBorders>
            <w:vAlign w:val="center"/>
          </w:tcPr>
          <w:p w14:paraId="25BBBC97">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地表水环境</w:t>
            </w:r>
          </w:p>
        </w:tc>
        <w:tc>
          <w:tcPr>
            <w:tcW w:w="883" w:type="pct"/>
            <w:gridSpan w:val="2"/>
            <w:tcBorders>
              <w:top w:val="single" w:color="auto" w:sz="4" w:space="0"/>
              <w:left w:val="single" w:color="auto" w:sz="4" w:space="0"/>
              <w:right w:val="single" w:color="auto" w:sz="4" w:space="0"/>
            </w:tcBorders>
            <w:vAlign w:val="center"/>
          </w:tcPr>
          <w:p w14:paraId="38EFEA87">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生活污水</w:t>
            </w:r>
          </w:p>
        </w:tc>
        <w:tc>
          <w:tcPr>
            <w:tcW w:w="832" w:type="pct"/>
            <w:tcBorders>
              <w:top w:val="single" w:color="auto" w:sz="4" w:space="0"/>
              <w:left w:val="single" w:color="auto" w:sz="4" w:space="0"/>
              <w:right w:val="single" w:color="auto" w:sz="4" w:space="0"/>
            </w:tcBorders>
            <w:vAlign w:val="center"/>
          </w:tcPr>
          <w:p w14:paraId="5284C118">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pH、</w:t>
            </w:r>
            <w:r>
              <w:rPr>
                <w:rFonts w:hint="default" w:ascii="Times New Roman" w:hAnsi="Times New Roman" w:cs="Times New Roman"/>
                <w:color w:val="auto"/>
                <w:sz w:val="21"/>
                <w:szCs w:val="21"/>
                <w:highlight w:val="none"/>
                <w:u w:val="none" w:color="auto"/>
              </w:rPr>
              <w:t>COD、SS、BOD</w:t>
            </w:r>
            <w:r>
              <w:rPr>
                <w:rFonts w:hint="default" w:ascii="Times New Roman" w:hAnsi="Times New Roman" w:cs="Times New Roman"/>
                <w:color w:val="auto"/>
                <w:sz w:val="21"/>
                <w:szCs w:val="21"/>
                <w:highlight w:val="none"/>
                <w:u w:val="none" w:color="auto"/>
                <w:vertAlign w:val="subscript"/>
              </w:rPr>
              <w:t>5</w:t>
            </w:r>
            <w:r>
              <w:rPr>
                <w:rFonts w:hint="default" w:ascii="Times New Roman" w:hAnsi="Times New Roman" w:cs="Times New Roman"/>
                <w:color w:val="auto"/>
                <w:sz w:val="21"/>
                <w:szCs w:val="21"/>
                <w:highlight w:val="none"/>
                <w:u w:val="none" w:color="auto"/>
              </w:rPr>
              <w:t>、氨氮</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TP</w:t>
            </w:r>
            <w:r>
              <w:rPr>
                <w:rFonts w:hint="default" w:ascii="Times New Roman" w:hAnsi="Times New Roman" w:cs="Times New Roman"/>
                <w:color w:val="auto"/>
                <w:sz w:val="21"/>
                <w:szCs w:val="21"/>
                <w:highlight w:val="none"/>
                <w:u w:val="none" w:color="auto"/>
              </w:rPr>
              <w:t>等</w:t>
            </w:r>
          </w:p>
        </w:tc>
        <w:tc>
          <w:tcPr>
            <w:tcW w:w="934" w:type="pct"/>
            <w:tcBorders>
              <w:top w:val="single" w:color="auto" w:sz="4" w:space="0"/>
              <w:left w:val="single" w:color="auto" w:sz="4" w:space="0"/>
              <w:right w:val="single" w:color="auto" w:sz="4" w:space="0"/>
            </w:tcBorders>
            <w:vAlign w:val="center"/>
          </w:tcPr>
          <w:p w14:paraId="732E6405">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z w:val="21"/>
                <w:szCs w:val="21"/>
                <w:highlight w:val="none"/>
                <w:u w:val="none" w:color="auto"/>
              </w:rPr>
              <w:t>经</w:t>
            </w:r>
            <w:r>
              <w:rPr>
                <w:rFonts w:hint="eastAsia" w:cs="Times New Roman"/>
                <w:color w:val="auto"/>
                <w:sz w:val="21"/>
                <w:szCs w:val="21"/>
                <w:highlight w:val="none"/>
                <w:u w:val="none" w:color="auto"/>
                <w:lang w:eastAsia="zh-CN"/>
              </w:rPr>
              <w:t>三级化粪池处理后</w:t>
            </w:r>
            <w:r>
              <w:rPr>
                <w:rFonts w:hint="default"/>
                <w:color w:val="auto"/>
                <w:highlight w:val="none"/>
                <w:u w:val="none" w:color="auto"/>
              </w:rPr>
              <w:t>用作</w:t>
            </w:r>
            <w:r>
              <w:rPr>
                <w:rFonts w:hint="eastAsia"/>
                <w:color w:val="auto"/>
                <w:highlight w:val="none"/>
                <w:u w:val="none" w:color="auto"/>
                <w:lang w:val="en-US" w:eastAsia="zh-CN"/>
              </w:rPr>
              <w:t>农肥</w:t>
            </w:r>
          </w:p>
        </w:tc>
        <w:tc>
          <w:tcPr>
            <w:tcW w:w="1717" w:type="pct"/>
            <w:vMerge w:val="restart"/>
            <w:tcBorders>
              <w:top w:val="single" w:color="auto" w:sz="4" w:space="0"/>
              <w:left w:val="single" w:color="auto" w:sz="4" w:space="0"/>
              <w:right w:val="single" w:color="auto" w:sz="8" w:space="0"/>
            </w:tcBorders>
            <w:vAlign w:val="center"/>
          </w:tcPr>
          <w:p w14:paraId="5578DEFA">
            <w:pPr>
              <w:pStyle w:val="42"/>
              <w:keepNext w:val="0"/>
              <w:keepLines w:val="0"/>
              <w:pageBreakBefore w:val="0"/>
              <w:widowControl w:val="0"/>
              <w:kinsoku/>
              <w:overflowPunct/>
              <w:autoSpaceDE/>
              <w:autoSpaceDN/>
              <w:bidi w:val="0"/>
              <w:adjustRightInd/>
              <w:snapToGrid/>
              <w:spacing w:line="240" w:lineRule="auto"/>
              <w:ind w:left="0"/>
              <w:jc w:val="center"/>
              <w:textAlignment w:val="auto"/>
              <w:rPr>
                <w:rFonts w:hint="eastAsia"/>
                <w:color w:val="auto"/>
                <w:highlight w:val="none"/>
                <w:u w:val="none" w:color="auto"/>
                <w:lang w:val="en-US" w:eastAsia="zh-CN"/>
              </w:rPr>
            </w:pPr>
            <w:r>
              <w:rPr>
                <w:rFonts w:hint="eastAsia"/>
                <w:color w:val="auto"/>
                <w:highlight w:val="none"/>
                <w:u w:val="none" w:color="auto"/>
                <w:lang w:val="en-US" w:eastAsia="zh-CN"/>
              </w:rPr>
              <w:t>/</w:t>
            </w:r>
          </w:p>
        </w:tc>
      </w:tr>
      <w:tr w14:paraId="359AF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32" w:type="pct"/>
            <w:vMerge w:val="continue"/>
            <w:tcBorders>
              <w:left w:val="single" w:color="auto" w:sz="8" w:space="0"/>
              <w:right w:val="single" w:color="auto" w:sz="4" w:space="0"/>
            </w:tcBorders>
            <w:vAlign w:val="center"/>
          </w:tcPr>
          <w:p w14:paraId="20030C11">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p>
        </w:tc>
        <w:tc>
          <w:tcPr>
            <w:tcW w:w="883" w:type="pct"/>
            <w:gridSpan w:val="2"/>
            <w:tcBorders>
              <w:top w:val="single" w:color="auto" w:sz="4" w:space="0"/>
              <w:left w:val="single" w:color="auto" w:sz="4" w:space="0"/>
              <w:right w:val="single" w:color="auto" w:sz="4" w:space="0"/>
            </w:tcBorders>
            <w:vAlign w:val="center"/>
          </w:tcPr>
          <w:p w14:paraId="1F854650">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水膜除尘废水</w:t>
            </w:r>
          </w:p>
        </w:tc>
        <w:tc>
          <w:tcPr>
            <w:tcW w:w="832" w:type="pct"/>
            <w:tcBorders>
              <w:top w:val="single" w:color="auto" w:sz="4" w:space="0"/>
              <w:left w:val="single" w:color="auto" w:sz="4" w:space="0"/>
              <w:right w:val="single" w:color="auto" w:sz="4" w:space="0"/>
            </w:tcBorders>
            <w:vAlign w:val="center"/>
          </w:tcPr>
          <w:p w14:paraId="234CFB95">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SS等</w:t>
            </w:r>
          </w:p>
        </w:tc>
        <w:tc>
          <w:tcPr>
            <w:tcW w:w="934" w:type="pct"/>
            <w:tcBorders>
              <w:top w:val="single" w:color="auto" w:sz="4" w:space="0"/>
              <w:left w:val="single" w:color="auto" w:sz="4" w:space="0"/>
              <w:right w:val="single" w:color="auto" w:sz="4" w:space="0"/>
            </w:tcBorders>
            <w:vAlign w:val="center"/>
          </w:tcPr>
          <w:p w14:paraId="71B2203A">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循环使用</w:t>
            </w:r>
          </w:p>
        </w:tc>
        <w:tc>
          <w:tcPr>
            <w:tcW w:w="1717" w:type="pct"/>
            <w:vMerge w:val="continue"/>
            <w:tcBorders>
              <w:left w:val="single" w:color="auto" w:sz="4" w:space="0"/>
              <w:bottom w:val="single" w:color="auto" w:sz="4" w:space="0"/>
              <w:right w:val="single" w:color="auto" w:sz="8" w:space="0"/>
            </w:tcBorders>
            <w:vAlign w:val="center"/>
          </w:tcPr>
          <w:p w14:paraId="58BF9C77">
            <w:pPr>
              <w:pStyle w:val="42"/>
              <w:keepNext w:val="0"/>
              <w:keepLines w:val="0"/>
              <w:pageBreakBefore w:val="0"/>
              <w:widowControl w:val="0"/>
              <w:kinsoku/>
              <w:overflowPunct/>
              <w:autoSpaceDE/>
              <w:autoSpaceDN/>
              <w:bidi w:val="0"/>
              <w:adjustRightInd/>
              <w:snapToGrid/>
              <w:spacing w:line="240" w:lineRule="auto"/>
              <w:ind w:left="0"/>
              <w:jc w:val="center"/>
              <w:textAlignment w:val="auto"/>
              <w:rPr>
                <w:rFonts w:hint="eastAsia"/>
                <w:color w:val="auto"/>
                <w:highlight w:val="none"/>
                <w:u w:val="none" w:color="auto"/>
                <w:lang w:val="en-US" w:eastAsia="zh-CN"/>
              </w:rPr>
            </w:pPr>
          </w:p>
        </w:tc>
      </w:tr>
      <w:tr w14:paraId="791E7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left w:val="single" w:color="auto" w:sz="8" w:space="0"/>
              <w:bottom w:val="single" w:color="auto" w:sz="4" w:space="0"/>
              <w:right w:val="single" w:color="auto" w:sz="4" w:space="0"/>
            </w:tcBorders>
            <w:vAlign w:val="center"/>
          </w:tcPr>
          <w:p w14:paraId="057CCC0E">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声环境</w:t>
            </w:r>
          </w:p>
        </w:tc>
        <w:tc>
          <w:tcPr>
            <w:tcW w:w="883" w:type="pct"/>
            <w:gridSpan w:val="2"/>
            <w:tcBorders>
              <w:top w:val="single" w:color="auto" w:sz="4" w:space="0"/>
              <w:left w:val="single" w:color="auto" w:sz="4" w:space="0"/>
              <w:bottom w:val="single" w:color="auto" w:sz="4" w:space="0"/>
              <w:right w:val="single" w:color="auto" w:sz="4" w:space="0"/>
            </w:tcBorders>
            <w:vAlign w:val="center"/>
          </w:tcPr>
          <w:p w14:paraId="0C1B3F80">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厂界</w:t>
            </w:r>
          </w:p>
        </w:tc>
        <w:tc>
          <w:tcPr>
            <w:tcW w:w="832" w:type="pct"/>
            <w:tcBorders>
              <w:top w:val="single" w:color="auto" w:sz="4" w:space="0"/>
              <w:left w:val="single" w:color="auto" w:sz="4" w:space="0"/>
              <w:bottom w:val="single" w:color="auto" w:sz="4" w:space="0"/>
              <w:right w:val="single" w:color="auto" w:sz="4" w:space="0"/>
            </w:tcBorders>
            <w:vAlign w:val="center"/>
          </w:tcPr>
          <w:p w14:paraId="71FE212F">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等效声级</w:t>
            </w:r>
          </w:p>
        </w:tc>
        <w:tc>
          <w:tcPr>
            <w:tcW w:w="934" w:type="pct"/>
            <w:tcBorders>
              <w:top w:val="single" w:color="auto" w:sz="4" w:space="0"/>
              <w:left w:val="single" w:color="auto" w:sz="4" w:space="0"/>
              <w:bottom w:val="single" w:color="auto" w:sz="4" w:space="0"/>
              <w:right w:val="single" w:color="auto" w:sz="4" w:space="0"/>
            </w:tcBorders>
            <w:vAlign w:val="center"/>
          </w:tcPr>
          <w:p w14:paraId="38EBD213">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设备基础减震、厂房及建筑材料隔声等措施</w:t>
            </w:r>
          </w:p>
        </w:tc>
        <w:tc>
          <w:tcPr>
            <w:tcW w:w="1717" w:type="pct"/>
            <w:tcBorders>
              <w:top w:val="single" w:color="auto" w:sz="4" w:space="0"/>
              <w:left w:val="single" w:color="auto" w:sz="4" w:space="0"/>
              <w:bottom w:val="single" w:color="auto" w:sz="4" w:space="0"/>
              <w:right w:val="single" w:color="auto" w:sz="8" w:space="0"/>
            </w:tcBorders>
            <w:vAlign w:val="center"/>
          </w:tcPr>
          <w:p w14:paraId="7C869D34">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《工业企业厂界环境噪声排放标准》(GB12348-2008)</w:t>
            </w:r>
            <w:r>
              <w:rPr>
                <w:rFonts w:hint="eastAsia" w:cs="Times New Roman"/>
                <w:color w:val="auto"/>
                <w:sz w:val="21"/>
                <w:szCs w:val="21"/>
                <w:highlight w:val="none"/>
                <w:u w:val="none" w:color="auto"/>
                <w:lang w:val="en-US" w:eastAsia="zh-CN"/>
              </w:rPr>
              <w:t>2</w:t>
            </w:r>
            <w:r>
              <w:rPr>
                <w:rFonts w:hint="default" w:ascii="Times New Roman" w:hAnsi="Times New Roman" w:cs="Times New Roman"/>
                <w:color w:val="auto"/>
                <w:sz w:val="21"/>
                <w:szCs w:val="21"/>
                <w:highlight w:val="none"/>
                <w:u w:val="none" w:color="auto"/>
              </w:rPr>
              <w:t>类标准</w:t>
            </w:r>
          </w:p>
        </w:tc>
      </w:tr>
      <w:tr w14:paraId="6067D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32" w:type="pct"/>
            <w:tcBorders>
              <w:top w:val="single" w:color="auto" w:sz="4" w:space="0"/>
              <w:left w:val="single" w:color="auto" w:sz="8" w:space="0"/>
              <w:bottom w:val="single" w:color="auto" w:sz="4" w:space="0"/>
              <w:right w:val="single" w:color="auto" w:sz="4" w:space="0"/>
            </w:tcBorders>
            <w:vAlign w:val="center"/>
          </w:tcPr>
          <w:p w14:paraId="6346ECEF">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固体废物</w:t>
            </w:r>
          </w:p>
        </w:tc>
        <w:tc>
          <w:tcPr>
            <w:tcW w:w="4367" w:type="pct"/>
            <w:gridSpan w:val="5"/>
            <w:tcBorders>
              <w:top w:val="single" w:color="auto" w:sz="4" w:space="0"/>
              <w:left w:val="single" w:color="auto" w:sz="4" w:space="0"/>
              <w:bottom w:val="single" w:color="auto" w:sz="4" w:space="0"/>
              <w:right w:val="single" w:color="auto" w:sz="8" w:space="0"/>
            </w:tcBorders>
            <w:vAlign w:val="center"/>
          </w:tcPr>
          <w:p w14:paraId="3A4177B8">
            <w:pPr>
              <w:keepNext w:val="0"/>
              <w:keepLines w:val="0"/>
              <w:pageBreakBefore w:val="0"/>
              <w:widowControl w:val="0"/>
              <w:numPr>
                <w:ilvl w:val="0"/>
                <w:numId w:val="4"/>
              </w:numPr>
              <w:kinsoku/>
              <w:overflowPunct/>
              <w:autoSpaceDE/>
              <w:autoSpaceDN/>
              <w:bidi w:val="0"/>
              <w:adjustRightInd/>
              <w:snapToGrid/>
              <w:spacing w:line="240" w:lineRule="auto"/>
              <w:ind w:left="0"/>
              <w:jc w:val="both"/>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生活垃圾：厂区设置分类收集垃圾桶，垃圾收集后交由环卫部门处置。</w:t>
            </w:r>
          </w:p>
          <w:p w14:paraId="0ED6BB0E">
            <w:pPr>
              <w:keepNext w:val="0"/>
              <w:keepLines w:val="0"/>
              <w:pageBreakBefore w:val="0"/>
              <w:widowControl w:val="0"/>
              <w:numPr>
                <w:ilvl w:val="0"/>
                <w:numId w:val="4"/>
              </w:numPr>
              <w:kinsoku/>
              <w:overflowPunct/>
              <w:autoSpaceDE/>
              <w:autoSpaceDN/>
              <w:bidi w:val="0"/>
              <w:adjustRightInd/>
              <w:snapToGrid/>
              <w:spacing w:line="240" w:lineRule="auto"/>
              <w:ind w:left="0"/>
              <w:jc w:val="both"/>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一般固废：废角阀</w:t>
            </w:r>
            <w:r>
              <w:rPr>
                <w:rFonts w:hint="eastAsia" w:ascii="Times New Roman" w:hAnsi="Times New Roman" w:eastAsia="宋体" w:cs="Times New Roman"/>
                <w:color w:val="auto"/>
                <w:spacing w:val="2"/>
                <w:kern w:val="2"/>
                <w:sz w:val="21"/>
                <w:szCs w:val="21"/>
                <w:highlight w:val="none"/>
                <w:u w:val="none" w:color="auto"/>
                <w:lang w:val="en-US" w:eastAsia="zh-CN" w:bidi="ar-SA"/>
              </w:rPr>
              <w:t>交由特定的回收厂家回收</w:t>
            </w:r>
            <w:r>
              <w:rPr>
                <w:rFonts w:hint="eastAsia" w:cs="Times New Roman"/>
                <w:color w:val="auto"/>
                <w:spacing w:val="2"/>
                <w:kern w:val="2"/>
                <w:sz w:val="21"/>
                <w:szCs w:val="21"/>
                <w:highlight w:val="none"/>
                <w:u w:val="none" w:color="auto"/>
                <w:lang w:val="en-US" w:eastAsia="zh-CN" w:bidi="ar-SA"/>
              </w:rPr>
              <w:t>；</w:t>
            </w:r>
            <w:r>
              <w:rPr>
                <w:rFonts w:hint="eastAsia" w:ascii="Times New Roman" w:hAnsi="Times New Roman" w:cs="Times New Roman"/>
                <w:color w:val="auto"/>
                <w:sz w:val="21"/>
                <w:szCs w:val="21"/>
                <w:highlight w:val="none"/>
                <w:u w:val="none" w:color="auto"/>
                <w:lang w:val="en-US" w:eastAsia="zh-CN"/>
              </w:rPr>
              <w:t>水膜除尘湿渣</w:t>
            </w:r>
            <w:r>
              <w:rPr>
                <w:rFonts w:hint="eastAsia" w:ascii="Times New Roman" w:hAnsi="Times New Roman" w:eastAsia="宋体" w:cs="Times New Roman"/>
                <w:color w:val="auto"/>
                <w:spacing w:val="2"/>
                <w:sz w:val="21"/>
                <w:szCs w:val="21"/>
                <w:highlight w:val="none"/>
                <w:u w:val="none" w:color="auto"/>
                <w:lang w:val="en-US" w:eastAsia="zh-CN"/>
              </w:rPr>
              <w:t>作为建筑材料综合利用（如制砖）</w:t>
            </w:r>
            <w:r>
              <w:rPr>
                <w:rFonts w:hint="eastAsia" w:cs="Times New Roman"/>
                <w:color w:val="auto"/>
                <w:spacing w:val="2"/>
                <w:sz w:val="21"/>
                <w:szCs w:val="21"/>
                <w:highlight w:val="none"/>
                <w:u w:val="none" w:color="auto"/>
                <w:lang w:val="en-US" w:eastAsia="zh-CN"/>
              </w:rPr>
              <w:t>；</w:t>
            </w:r>
          </w:p>
          <w:p w14:paraId="41F7EA2D">
            <w:pPr>
              <w:keepNext w:val="0"/>
              <w:keepLines w:val="0"/>
              <w:pageBreakBefore w:val="0"/>
              <w:widowControl w:val="0"/>
              <w:kinsoku/>
              <w:overflowPunct/>
              <w:autoSpaceDE/>
              <w:autoSpaceDN/>
              <w:bidi w:val="0"/>
              <w:adjustRightInd/>
              <w:snapToGrid/>
              <w:spacing w:line="240" w:lineRule="auto"/>
              <w:ind w:left="0"/>
              <w:jc w:val="both"/>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3</w:t>
            </w:r>
            <w:r>
              <w:rPr>
                <w:rFonts w:hint="default" w:ascii="Times New Roman" w:hAnsi="Times New Roman" w:cs="Times New Roman"/>
                <w:color w:val="auto"/>
                <w:sz w:val="21"/>
                <w:szCs w:val="21"/>
                <w:highlight w:val="none"/>
                <w:u w:val="none" w:color="auto"/>
              </w:rPr>
              <w:t>、危险废物：暂存于危废暂存间，定期委托有资质单位进行专业处置</w:t>
            </w:r>
            <w:r>
              <w:rPr>
                <w:rFonts w:hint="eastAsia" w:cs="Times New Roman"/>
                <w:color w:val="auto"/>
                <w:sz w:val="21"/>
                <w:szCs w:val="21"/>
                <w:highlight w:val="none"/>
                <w:u w:val="none" w:color="auto"/>
                <w:lang w:eastAsia="zh-CN"/>
              </w:rPr>
              <w:t>。</w:t>
            </w:r>
          </w:p>
        </w:tc>
      </w:tr>
      <w:tr w14:paraId="05FF0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32" w:type="pct"/>
            <w:tcBorders>
              <w:top w:val="single" w:color="auto" w:sz="4" w:space="0"/>
              <w:left w:val="single" w:color="auto" w:sz="8" w:space="0"/>
              <w:bottom w:val="single" w:color="auto" w:sz="4" w:space="0"/>
              <w:right w:val="single" w:color="auto" w:sz="4" w:space="0"/>
            </w:tcBorders>
            <w:vAlign w:val="center"/>
          </w:tcPr>
          <w:p w14:paraId="509F6C0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土壤及地下水污染防治措施</w:t>
            </w:r>
          </w:p>
        </w:tc>
        <w:tc>
          <w:tcPr>
            <w:tcW w:w="4367" w:type="pct"/>
            <w:gridSpan w:val="5"/>
            <w:tcBorders>
              <w:top w:val="single" w:color="auto" w:sz="4" w:space="0"/>
              <w:left w:val="single" w:color="auto" w:sz="4" w:space="0"/>
              <w:bottom w:val="single" w:color="auto" w:sz="4" w:space="0"/>
              <w:right w:val="single" w:color="auto" w:sz="8" w:space="0"/>
            </w:tcBorders>
            <w:vAlign w:val="center"/>
          </w:tcPr>
          <w:p w14:paraId="2F9D02DD">
            <w:pPr>
              <w:keepNext w:val="0"/>
              <w:keepLines w:val="0"/>
              <w:pageBreakBefore w:val="0"/>
              <w:widowControl w:val="0"/>
              <w:kinsoku/>
              <w:overflowPunct/>
              <w:autoSpaceDE/>
              <w:autoSpaceDN/>
              <w:bidi w:val="0"/>
              <w:adjustRightInd/>
              <w:snapToGrid w:val="0"/>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项目生产车间</w:t>
            </w:r>
            <w:r>
              <w:rPr>
                <w:rFonts w:hint="eastAsia" w:cs="Times New Roman"/>
                <w:color w:val="auto"/>
                <w:sz w:val="21"/>
                <w:szCs w:val="21"/>
                <w:highlight w:val="none"/>
                <w:u w:val="none" w:color="auto"/>
                <w:lang w:val="en-US" w:eastAsia="zh-CN"/>
              </w:rPr>
              <w:t>需对</w:t>
            </w:r>
            <w:r>
              <w:rPr>
                <w:rFonts w:hint="default" w:ascii="Times New Roman" w:hAnsi="Times New Roman" w:cs="Times New Roman"/>
                <w:color w:val="auto"/>
                <w:sz w:val="21"/>
                <w:szCs w:val="21"/>
                <w:highlight w:val="none"/>
                <w:u w:val="none" w:color="auto"/>
              </w:rPr>
              <w:t>水泥地面硬底化处理，厂区各区域均做好有效的防渗措施，正常生产情况对土壤和地下水无影响。</w:t>
            </w:r>
          </w:p>
        </w:tc>
      </w:tr>
      <w:tr w14:paraId="2A5B1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pct"/>
            <w:tcBorders>
              <w:top w:val="single" w:color="auto" w:sz="4" w:space="0"/>
              <w:left w:val="single" w:color="auto" w:sz="8" w:space="0"/>
              <w:bottom w:val="single" w:color="auto" w:sz="4" w:space="0"/>
              <w:right w:val="single" w:color="auto" w:sz="4" w:space="0"/>
            </w:tcBorders>
            <w:vAlign w:val="center"/>
          </w:tcPr>
          <w:p w14:paraId="657C2FB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生态保护措施</w:t>
            </w:r>
          </w:p>
        </w:tc>
        <w:tc>
          <w:tcPr>
            <w:tcW w:w="4367" w:type="pct"/>
            <w:gridSpan w:val="5"/>
            <w:tcBorders>
              <w:top w:val="single" w:color="auto" w:sz="4" w:space="0"/>
              <w:left w:val="single" w:color="auto" w:sz="4" w:space="0"/>
              <w:bottom w:val="single" w:color="auto" w:sz="4" w:space="0"/>
              <w:right w:val="single" w:color="auto" w:sz="8" w:space="0"/>
            </w:tcBorders>
            <w:vAlign w:val="center"/>
          </w:tcPr>
          <w:p w14:paraId="6F0844C4">
            <w:pPr>
              <w:keepNext w:val="0"/>
              <w:keepLines w:val="0"/>
              <w:pageBreakBefore w:val="0"/>
              <w:widowControl w:val="0"/>
              <w:kinsoku/>
              <w:overflowPunct/>
              <w:autoSpaceDE/>
              <w:autoSpaceDN/>
              <w:bidi w:val="0"/>
              <w:adjustRightInd/>
              <w:snapToGrid w:val="0"/>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做好厂区绿化措施</w:t>
            </w:r>
          </w:p>
        </w:tc>
      </w:tr>
      <w:tr w14:paraId="28575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32" w:type="pct"/>
            <w:tcBorders>
              <w:top w:val="single" w:color="auto" w:sz="4" w:space="0"/>
              <w:left w:val="single" w:color="auto" w:sz="8" w:space="0"/>
              <w:bottom w:val="single" w:color="auto" w:sz="4" w:space="0"/>
              <w:right w:val="single" w:color="auto" w:sz="4" w:space="0"/>
            </w:tcBorders>
            <w:vAlign w:val="center"/>
          </w:tcPr>
          <w:p w14:paraId="1C71E056">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环境风险</w:t>
            </w:r>
          </w:p>
          <w:p w14:paraId="4AF1CDE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防范措施</w:t>
            </w:r>
          </w:p>
        </w:tc>
        <w:tc>
          <w:tcPr>
            <w:tcW w:w="4367" w:type="pct"/>
            <w:gridSpan w:val="5"/>
            <w:tcBorders>
              <w:top w:val="single" w:color="auto" w:sz="4" w:space="0"/>
              <w:left w:val="single" w:color="auto" w:sz="4" w:space="0"/>
              <w:bottom w:val="single" w:color="auto" w:sz="4" w:space="0"/>
              <w:right w:val="single" w:color="auto" w:sz="8" w:space="0"/>
            </w:tcBorders>
            <w:vAlign w:val="center"/>
          </w:tcPr>
          <w:p w14:paraId="2ADD39EA">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1、危废暂存间应按规范设置，防止泄漏的危废污染地表水体。</w:t>
            </w:r>
          </w:p>
          <w:p w14:paraId="54A8161A">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2、加强管理，做好</w:t>
            </w:r>
            <w:r>
              <w:rPr>
                <w:rFonts w:hint="eastAsia" w:cs="Times New Roman"/>
                <w:color w:val="auto"/>
                <w:sz w:val="21"/>
                <w:szCs w:val="21"/>
                <w:highlight w:val="none"/>
                <w:u w:val="none" w:color="auto"/>
                <w:lang w:eastAsia="zh-CN"/>
              </w:rPr>
              <w:t>三级化粪池</w:t>
            </w:r>
            <w:r>
              <w:rPr>
                <w:rFonts w:hint="default" w:ascii="Times New Roman" w:hAnsi="Times New Roman" w:cs="Times New Roman"/>
                <w:color w:val="auto"/>
                <w:sz w:val="21"/>
                <w:szCs w:val="21"/>
                <w:highlight w:val="none"/>
                <w:u w:val="none" w:color="auto"/>
              </w:rPr>
              <w:t>防渗基础建设。</w:t>
            </w:r>
          </w:p>
          <w:p w14:paraId="41A51ECD">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3、日常加强废气处置设施的监管监控，定期维护和保养。</w:t>
            </w:r>
          </w:p>
          <w:p w14:paraId="72DA8EC2">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4、厂区内应按规范配置灭火器材、消防装备等应急物资</w:t>
            </w:r>
          </w:p>
        </w:tc>
      </w:tr>
      <w:tr w14:paraId="0491D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32" w:type="pct"/>
            <w:tcBorders>
              <w:top w:val="single" w:color="auto" w:sz="4" w:space="0"/>
              <w:left w:val="single" w:color="auto" w:sz="8" w:space="0"/>
              <w:bottom w:val="single" w:color="auto" w:sz="8" w:space="0"/>
              <w:right w:val="single" w:color="auto" w:sz="4" w:space="0"/>
            </w:tcBorders>
            <w:vAlign w:val="center"/>
          </w:tcPr>
          <w:p w14:paraId="243309EF">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其他环境</w:t>
            </w:r>
          </w:p>
          <w:p w14:paraId="1D8D5D5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管理要求</w:t>
            </w:r>
          </w:p>
        </w:tc>
        <w:tc>
          <w:tcPr>
            <w:tcW w:w="4367" w:type="pct"/>
            <w:gridSpan w:val="5"/>
            <w:tcBorders>
              <w:top w:val="single" w:color="auto" w:sz="4" w:space="0"/>
              <w:left w:val="single" w:color="auto" w:sz="4" w:space="0"/>
              <w:bottom w:val="single" w:color="auto" w:sz="8" w:space="0"/>
              <w:right w:val="single" w:color="auto" w:sz="8" w:space="0"/>
            </w:tcBorders>
            <w:vAlign w:val="center"/>
          </w:tcPr>
          <w:p w14:paraId="061AD52B">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1、设置厂区环保制度、加强员工环保培训，并定期做好自行监测、废气处理设施管理台账要求；</w:t>
            </w:r>
          </w:p>
          <w:p w14:paraId="387603F2">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2、项目竣工后，建设单位应当按照主管部门规定的标准和程序，对配套建设的环境保护设施进行验收，编制验收报告</w:t>
            </w:r>
          </w:p>
        </w:tc>
      </w:tr>
    </w:tbl>
    <w:p w14:paraId="65D86209">
      <w:pPr>
        <w:pStyle w:val="16"/>
        <w:jc w:val="center"/>
        <w:outlineLvl w:val="0"/>
        <w:rPr>
          <w:rStyle w:val="24"/>
          <w:rFonts w:hint="default" w:ascii="Times New Roman" w:hAnsi="Times New Roman" w:cs="Times New Roman"/>
          <w:b w:val="0"/>
          <w:bCs w:val="0"/>
          <w:color w:val="auto"/>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15287E">
      <w:pPr>
        <w:pStyle w:val="2"/>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pPr>
      <w:bookmarkStart w:id="105" w:name="_Toc5866"/>
      <w:bookmarkStart w:id="106" w:name="_Toc23329"/>
      <w:bookmarkStart w:id="107" w:name="_Toc27680"/>
      <w:r>
        <w:rPr>
          <w:rFonts w:hint="default" w:ascii="Times New Roman" w:hAnsi="Times New Roman" w:eastAsia="宋体" w:cs="Times New Roman"/>
          <w:b/>
          <w:bCs/>
          <w:color w:val="auto"/>
          <w:kern w:val="44"/>
          <w:sz w:val="28"/>
          <w:szCs w:val="44"/>
          <w:highlight w:val="none"/>
          <w:u w:val="none" w:color="auto"/>
          <w:lang w:val="en-US" w:eastAsia="zh-CN" w:bidi="ar-SA"/>
        </w:rPr>
        <w:t>六、结论</w:t>
      </w:r>
      <w:bookmarkEnd w:id="105"/>
      <w:bookmarkEnd w:id="106"/>
      <w:bookmarkEnd w:id="107"/>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EBA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CEE92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none" w:color="auto"/>
                <w:lang w:eastAsia="zh-CN"/>
              </w:rPr>
            </w:pPr>
            <w:r>
              <w:rPr>
                <w:rFonts w:hint="eastAsia"/>
                <w:sz w:val="24"/>
                <w:highlight w:val="none"/>
                <w:u w:val="none" w:color="auto"/>
              </w:rPr>
              <w:t>本项目</w:t>
            </w:r>
            <w:r>
              <w:rPr>
                <w:kern w:val="0"/>
                <w:sz w:val="24"/>
                <w:highlight w:val="none"/>
                <w:u w:val="none" w:color="auto"/>
              </w:rPr>
              <w:t>选址不占用生态红线，符合当地生态环境分区管控要求。</w:t>
            </w:r>
            <w:r>
              <w:rPr>
                <w:sz w:val="24"/>
                <w:highlight w:val="none"/>
                <w:u w:val="none" w:color="auto"/>
              </w:rPr>
              <w:t>通过严格落实报告表</w:t>
            </w:r>
            <w:r>
              <w:rPr>
                <w:bCs/>
                <w:kern w:val="0"/>
                <w:sz w:val="24"/>
                <w:highlight w:val="none"/>
                <w:u w:val="none" w:color="auto"/>
              </w:rPr>
              <w:t>提出的各项污染防治措施和环境风险防控措施前提下，排放的污染物均能达标排放，其对周边区域环境影响较小</w:t>
            </w:r>
            <w:r>
              <w:rPr>
                <w:sz w:val="24"/>
                <w:highlight w:val="none"/>
                <w:u w:val="none" w:color="auto"/>
              </w:rPr>
              <w:t>。</w:t>
            </w:r>
            <w:r>
              <w:rPr>
                <w:bCs/>
                <w:kern w:val="0"/>
                <w:sz w:val="24"/>
                <w:highlight w:val="none"/>
                <w:u w:val="none" w:color="auto"/>
              </w:rPr>
              <w:t>从环境保护的角度考虑，本项目建设可行</w:t>
            </w:r>
            <w:r>
              <w:rPr>
                <w:rFonts w:hint="eastAsia"/>
                <w:bCs/>
                <w:kern w:val="0"/>
                <w:sz w:val="24"/>
                <w:highlight w:val="none"/>
                <w:u w:val="none" w:color="auto"/>
                <w:lang w:eastAsia="zh-CN"/>
              </w:rPr>
              <w:t>。</w:t>
            </w:r>
          </w:p>
        </w:tc>
      </w:tr>
    </w:tbl>
    <w:p w14:paraId="4C0B6EF3">
      <w:pPr>
        <w:numPr>
          <w:ilvl w:val="0"/>
          <w:numId w:val="0"/>
        </w:numPr>
        <w:tabs>
          <w:tab w:val="left" w:pos="1021"/>
        </w:tabs>
        <w:jc w:val="center"/>
        <w:rPr>
          <w:rFonts w:hint="default" w:ascii="Times New Roman" w:hAnsi="Times New Roman" w:eastAsia="宋体" w:cs="Times New Roman"/>
          <w:b/>
          <w:bCs/>
          <w:color w:val="auto"/>
          <w:kern w:val="44"/>
          <w:sz w:val="28"/>
          <w:szCs w:val="4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4E30D33">
      <w:pPr>
        <w:keepNext/>
        <w:widowControl w:val="0"/>
        <w:overflowPunct w:val="0"/>
        <w:bidi w:val="0"/>
        <w:snapToGrid w:val="0"/>
        <w:spacing w:before="120" w:after="160" w:line="259" w:lineRule="auto"/>
        <w:ind w:left="432" w:hanging="432"/>
        <w:jc w:val="both"/>
        <w:outlineLvl w:val="0"/>
        <w:rPr>
          <w:rFonts w:hint="default" w:ascii="Times New Roman" w:hAnsi="Times New Roman" w:eastAsia="黑体" w:cs="Times New Roman"/>
          <w:b w:val="0"/>
          <w:bCs w:val="0"/>
          <w:color w:val="auto"/>
          <w:kern w:val="44"/>
          <w:sz w:val="30"/>
          <w:szCs w:val="30"/>
          <w:highlight w:val="none"/>
          <w:u w:val="none" w:color="auto"/>
          <w:lang w:val="en-US" w:eastAsia="zh-CN" w:bidi="ar-SA"/>
        </w:rPr>
      </w:pPr>
      <w:bookmarkStart w:id="108" w:name="_Toc13884"/>
      <w:bookmarkStart w:id="109" w:name="_Toc29194"/>
      <w:bookmarkStart w:id="110" w:name="_Toc13938"/>
      <w:bookmarkStart w:id="111" w:name="_Toc14074"/>
      <w:bookmarkStart w:id="112" w:name="_Toc17945"/>
      <w:bookmarkStart w:id="113" w:name="_Toc22499"/>
      <w:bookmarkStart w:id="114" w:name="_Toc23977"/>
      <w:bookmarkStart w:id="115" w:name="_Toc29458"/>
      <w:bookmarkStart w:id="116" w:name="_Toc23223"/>
      <w:bookmarkStart w:id="117" w:name="_Toc12351"/>
      <w:r>
        <w:rPr>
          <w:rFonts w:hint="default" w:ascii="Times New Roman" w:hAnsi="Times New Roman" w:eastAsia="黑体" w:cs="Times New Roman"/>
          <w:b w:val="0"/>
          <w:bCs w:val="0"/>
          <w:color w:val="auto"/>
          <w:kern w:val="44"/>
          <w:sz w:val="30"/>
          <w:szCs w:val="30"/>
          <w:highlight w:val="none"/>
          <w:u w:val="none" w:color="auto"/>
          <w:lang w:val="en-US" w:eastAsia="zh-CN" w:bidi="ar-SA"/>
        </w:rPr>
        <w:t>附表</w:t>
      </w:r>
      <w:bookmarkEnd w:id="108"/>
      <w:bookmarkEnd w:id="109"/>
      <w:bookmarkEnd w:id="110"/>
      <w:bookmarkEnd w:id="111"/>
      <w:bookmarkEnd w:id="112"/>
      <w:bookmarkEnd w:id="113"/>
      <w:bookmarkEnd w:id="114"/>
      <w:bookmarkEnd w:id="115"/>
      <w:bookmarkEnd w:id="116"/>
      <w:bookmarkEnd w:id="117"/>
    </w:p>
    <w:p w14:paraId="545C7284">
      <w:pPr>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jc w:val="center"/>
        <w:textAlignment w:val="auto"/>
        <w:outlineLvl w:val="0"/>
        <w:rPr>
          <w:rFonts w:hint="default" w:ascii="方正小标宋_GBK" w:hAnsi="黑体" w:eastAsia="方正小标宋_GBK" w:cs="Times New Roman"/>
          <w:snapToGrid w:val="0"/>
          <w:color w:val="auto"/>
          <w:kern w:val="0"/>
          <w:sz w:val="38"/>
          <w:szCs w:val="38"/>
          <w:highlight w:val="none"/>
          <w:u w:val="none" w:color="auto"/>
          <w:lang w:val="en-US" w:eastAsia="en-US" w:bidi="ar-SA"/>
        </w:rPr>
      </w:pPr>
      <w:bookmarkStart w:id="118" w:name="_Toc5974"/>
      <w:bookmarkStart w:id="119" w:name="_Toc20166"/>
      <w:bookmarkStart w:id="120" w:name="_Toc3126"/>
      <w:bookmarkStart w:id="121" w:name="_Toc29727"/>
      <w:bookmarkStart w:id="122" w:name="_Toc22134"/>
      <w:bookmarkStart w:id="123" w:name="_Toc23910"/>
      <w:bookmarkStart w:id="124" w:name="_Toc8703"/>
      <w:bookmarkStart w:id="125" w:name="_Toc27751"/>
      <w:bookmarkStart w:id="126" w:name="_Toc25687"/>
      <w:bookmarkStart w:id="127" w:name="_Toc7521"/>
      <w:r>
        <w:rPr>
          <w:rFonts w:hint="default" w:ascii="方正小标宋_GBK" w:hAnsi="黑体" w:eastAsia="方正小标宋_GBK" w:cs="Times New Roman"/>
          <w:snapToGrid w:val="0"/>
          <w:color w:val="auto"/>
          <w:kern w:val="0"/>
          <w:sz w:val="38"/>
          <w:szCs w:val="38"/>
          <w:highlight w:val="none"/>
          <w:u w:val="none" w:color="auto"/>
          <w:lang w:val="en-US" w:eastAsia="en-US" w:bidi="ar-SA"/>
        </w:rPr>
        <w:t>建设项目污染物排放量汇总表</w:t>
      </w:r>
      <w:bookmarkEnd w:id="118"/>
      <w:bookmarkEnd w:id="119"/>
      <w:bookmarkEnd w:id="120"/>
      <w:bookmarkEnd w:id="121"/>
      <w:bookmarkEnd w:id="122"/>
      <w:bookmarkEnd w:id="123"/>
      <w:bookmarkEnd w:id="124"/>
      <w:bookmarkEnd w:id="125"/>
      <w:bookmarkEnd w:id="126"/>
      <w:bookmarkEnd w:id="127"/>
    </w:p>
    <w:tbl>
      <w:tblPr>
        <w:tblStyle w:val="45"/>
        <w:tblW w:w="13792" w:type="dxa"/>
        <w:tblInd w:w="7"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fixed"/>
        <w:tblCellMar>
          <w:top w:w="0" w:type="dxa"/>
          <w:left w:w="0" w:type="dxa"/>
          <w:bottom w:w="0" w:type="dxa"/>
          <w:right w:w="0" w:type="dxa"/>
        </w:tblCellMar>
      </w:tblPr>
      <w:tblGrid>
        <w:gridCol w:w="1588"/>
        <w:gridCol w:w="1647"/>
        <w:gridCol w:w="1475"/>
        <w:gridCol w:w="1275"/>
        <w:gridCol w:w="1699"/>
        <w:gridCol w:w="1557"/>
        <w:gridCol w:w="1759"/>
        <w:gridCol w:w="1762"/>
        <w:gridCol w:w="1030"/>
      </w:tblGrid>
      <w:tr w14:paraId="7DF5E37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588" w:type="dxa"/>
            <w:tcBorders>
              <w:top w:val="single" w:color="000000" w:sz="6" w:space="0"/>
              <w:left w:val="single" w:color="000000" w:sz="6" w:space="0"/>
              <w:tl2br w:val="single" w:color="000000" w:sz="4" w:space="0"/>
            </w:tcBorders>
            <w:vAlign w:val="center"/>
          </w:tcPr>
          <w:p w14:paraId="092A2A6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6"/>
                <w:sz w:val="24"/>
                <w:szCs w:val="24"/>
                <w:highlight w:val="none"/>
                <w:u w:val="none" w:color="auto"/>
              </w:rPr>
              <w:t>项目</w:t>
            </w:r>
          </w:p>
          <w:p w14:paraId="2D6ED4F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7"/>
                <w:sz w:val="24"/>
                <w:szCs w:val="24"/>
                <w:highlight w:val="none"/>
                <w:u w:val="none" w:color="auto"/>
              </w:rPr>
              <w:t>分类</w:t>
            </w:r>
          </w:p>
        </w:tc>
        <w:tc>
          <w:tcPr>
            <w:tcW w:w="1647" w:type="dxa"/>
            <w:tcBorders>
              <w:top w:val="single" w:color="000000" w:sz="6" w:space="0"/>
            </w:tcBorders>
            <w:vAlign w:val="center"/>
          </w:tcPr>
          <w:p w14:paraId="7CFD515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1"/>
                <w:sz w:val="24"/>
                <w:szCs w:val="24"/>
                <w:highlight w:val="none"/>
                <w:u w:val="none" w:color="auto"/>
              </w:rPr>
              <w:t>污染物名称</w:t>
            </w:r>
          </w:p>
        </w:tc>
        <w:tc>
          <w:tcPr>
            <w:tcW w:w="1475" w:type="dxa"/>
            <w:tcBorders>
              <w:top w:val="single" w:color="000000" w:sz="6" w:space="0"/>
            </w:tcBorders>
            <w:vAlign w:val="center"/>
          </w:tcPr>
          <w:p w14:paraId="41F8DED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现有工程</w:t>
            </w:r>
          </w:p>
          <w:p w14:paraId="43C65A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2"/>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①</w:t>
            </w:r>
          </w:p>
        </w:tc>
        <w:tc>
          <w:tcPr>
            <w:tcW w:w="1275" w:type="dxa"/>
            <w:tcBorders>
              <w:top w:val="single" w:color="000000" w:sz="6" w:space="0"/>
            </w:tcBorders>
            <w:vAlign w:val="center"/>
          </w:tcPr>
          <w:p w14:paraId="7C8A728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现有工程</w:t>
            </w:r>
          </w:p>
          <w:p w14:paraId="4C66667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许可排放量</w:t>
            </w:r>
          </w:p>
          <w:p w14:paraId="6B2A624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en-US" w:bidi="ar-SA"/>
              </w:rPr>
              <w:t>②</w:t>
            </w:r>
          </w:p>
        </w:tc>
        <w:tc>
          <w:tcPr>
            <w:tcW w:w="1699" w:type="dxa"/>
            <w:tcBorders>
              <w:top w:val="single" w:color="000000" w:sz="6" w:space="0"/>
            </w:tcBorders>
            <w:vAlign w:val="center"/>
          </w:tcPr>
          <w:p w14:paraId="20312DBB">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9"/>
                <w:sz w:val="24"/>
                <w:szCs w:val="24"/>
                <w:highlight w:val="none"/>
                <w:u w:val="none" w:color="auto"/>
              </w:rPr>
              <w:t>在建工程</w:t>
            </w:r>
          </w:p>
          <w:p w14:paraId="705A131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2"/>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③</w:t>
            </w:r>
          </w:p>
        </w:tc>
        <w:tc>
          <w:tcPr>
            <w:tcW w:w="1557" w:type="dxa"/>
            <w:tcBorders>
              <w:top w:val="single" w:color="000000" w:sz="6" w:space="0"/>
            </w:tcBorders>
            <w:vAlign w:val="center"/>
          </w:tcPr>
          <w:p w14:paraId="4E76A01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8"/>
                <w:sz w:val="24"/>
                <w:szCs w:val="24"/>
                <w:highlight w:val="none"/>
                <w:u w:val="none" w:color="auto"/>
              </w:rPr>
              <w:t>本项目</w:t>
            </w:r>
          </w:p>
          <w:p w14:paraId="1DD779B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26"/>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④</w:t>
            </w:r>
          </w:p>
        </w:tc>
        <w:tc>
          <w:tcPr>
            <w:tcW w:w="1759" w:type="dxa"/>
            <w:tcBorders>
              <w:top w:val="single" w:color="000000" w:sz="6" w:space="0"/>
            </w:tcBorders>
            <w:vAlign w:val="center"/>
          </w:tcPr>
          <w:p w14:paraId="4BD713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21"/>
                <w:w w:val="97"/>
                <w:sz w:val="24"/>
                <w:szCs w:val="24"/>
                <w:highlight w:val="none"/>
                <w:u w:val="none" w:color="auto"/>
              </w:rPr>
              <w:t>以新带老削减量</w:t>
            </w:r>
          </w:p>
          <w:p w14:paraId="54F56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34"/>
                <w:sz w:val="24"/>
                <w:szCs w:val="24"/>
                <w:highlight w:val="none"/>
                <w:u w:val="none" w:color="auto"/>
              </w:rPr>
              <w:t>（新建项目不填）</w:t>
            </w:r>
          </w:p>
          <w:p w14:paraId="24F6B1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en-US" w:bidi="ar-SA"/>
              </w:rPr>
              <w:t>⑤</w:t>
            </w:r>
          </w:p>
        </w:tc>
        <w:tc>
          <w:tcPr>
            <w:tcW w:w="1762" w:type="dxa"/>
            <w:tcBorders>
              <w:top w:val="single" w:color="000000" w:sz="6" w:space="0"/>
            </w:tcBorders>
            <w:vAlign w:val="center"/>
          </w:tcPr>
          <w:p w14:paraId="3FD5023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28"/>
                <w:w w:val="99"/>
                <w:kern w:val="2"/>
                <w:sz w:val="24"/>
                <w:szCs w:val="24"/>
                <w:highlight w:val="none"/>
                <w:u w:val="none" w:color="auto"/>
                <w:lang w:val="en-US" w:eastAsia="en-US" w:bidi="ar-SA"/>
              </w:rPr>
              <w:t>本项目建成后</w:t>
            </w:r>
            <w:r>
              <w:rPr>
                <w:rFonts w:hint="default" w:ascii="Times New Roman" w:hAnsi="Times New Roman" w:eastAsia="黑体" w:cs="Times New Roman"/>
                <w:color w:val="auto"/>
                <w:spacing w:val="-26"/>
                <w:w w:val="97"/>
                <w:kern w:val="2"/>
                <w:sz w:val="24"/>
                <w:szCs w:val="24"/>
                <w:highlight w:val="none"/>
                <w:u w:val="none" w:color="auto"/>
                <w:lang w:val="en-US" w:eastAsia="en-US" w:bidi="ar-SA"/>
              </w:rPr>
              <w:t>全厂</w:t>
            </w:r>
            <w:r>
              <w:rPr>
                <w:rFonts w:hint="default" w:ascii="Times New Roman" w:hAnsi="Times New Roman" w:eastAsia="黑体" w:cs="Times New Roman"/>
                <w:color w:val="auto"/>
                <w:spacing w:val="-25"/>
                <w:w w:val="97"/>
                <w:kern w:val="2"/>
                <w:sz w:val="24"/>
                <w:szCs w:val="24"/>
                <w:highlight w:val="none"/>
                <w:u w:val="none" w:color="auto"/>
                <w:lang w:val="en-US" w:eastAsia="en-US" w:bidi="ar-SA"/>
              </w:rPr>
              <w:t>排放量（固</w:t>
            </w:r>
            <w:r>
              <w:rPr>
                <w:rFonts w:hint="default" w:ascii="Times New Roman" w:hAnsi="Times New Roman" w:eastAsia="黑体" w:cs="Times New Roman"/>
                <w:color w:val="auto"/>
                <w:spacing w:val="-15"/>
                <w:w w:val="97"/>
                <w:kern w:val="2"/>
                <w:sz w:val="24"/>
                <w:szCs w:val="24"/>
                <w:highlight w:val="none"/>
                <w:u w:val="none" w:color="auto"/>
                <w:lang w:val="en-US" w:eastAsia="en-US" w:bidi="ar-SA"/>
              </w:rPr>
              <w:t>体</w:t>
            </w:r>
            <w:r>
              <w:rPr>
                <w:rFonts w:hint="default" w:ascii="Times New Roman" w:hAnsi="Times New Roman" w:eastAsia="黑体" w:cs="Times New Roman"/>
                <w:color w:val="auto"/>
                <w:spacing w:val="-17"/>
                <w:kern w:val="2"/>
                <w:sz w:val="24"/>
                <w:szCs w:val="24"/>
                <w:highlight w:val="none"/>
                <w:u w:val="none" w:color="auto"/>
                <w:lang w:val="en-US" w:eastAsia="en-US" w:bidi="ar-SA"/>
              </w:rPr>
              <w:t>废物产生量）</w:t>
            </w:r>
            <w:r>
              <w:rPr>
                <w:rFonts w:hint="default" w:ascii="Times New Roman" w:hAnsi="Times New Roman" w:eastAsia="宋体" w:cs="Times New Roman"/>
                <w:color w:val="auto"/>
                <w:spacing w:val="-17"/>
                <w:kern w:val="2"/>
                <w:sz w:val="24"/>
                <w:szCs w:val="24"/>
                <w:highlight w:val="none"/>
                <w:u w:val="none" w:color="auto"/>
                <w:lang w:val="en-US" w:eastAsia="en-US" w:bidi="ar-SA"/>
              </w:rPr>
              <w:t>⑥</w:t>
            </w:r>
          </w:p>
        </w:tc>
        <w:tc>
          <w:tcPr>
            <w:tcW w:w="1030" w:type="dxa"/>
            <w:tcBorders>
              <w:top w:val="single" w:color="000000" w:sz="6" w:space="0"/>
              <w:right w:val="single" w:color="000000" w:sz="6" w:space="0"/>
            </w:tcBorders>
            <w:vAlign w:val="center"/>
          </w:tcPr>
          <w:p w14:paraId="3B19B41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4"/>
                <w:kern w:val="2"/>
                <w:sz w:val="24"/>
                <w:szCs w:val="24"/>
                <w:highlight w:val="none"/>
                <w:u w:val="none" w:color="auto"/>
                <w:lang w:val="en-US" w:eastAsia="en-US" w:bidi="ar-SA"/>
              </w:rPr>
              <w:t>变化量</w:t>
            </w:r>
            <w:r>
              <w:rPr>
                <w:rFonts w:hint="default" w:ascii="Times New Roman" w:hAnsi="Times New Roman" w:eastAsia="宋体" w:cs="Times New Roman"/>
                <w:color w:val="auto"/>
                <w:kern w:val="2"/>
                <w:sz w:val="24"/>
                <w:szCs w:val="24"/>
                <w:highlight w:val="none"/>
                <w:u w:val="none" w:color="auto"/>
                <w:lang w:val="en-US" w:eastAsia="en-US" w:bidi="ar-SA"/>
              </w:rPr>
              <w:t>⑦</w:t>
            </w:r>
          </w:p>
        </w:tc>
      </w:tr>
      <w:tr w14:paraId="6702BFC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8" w:type="dxa"/>
            <w:vMerge w:val="restart"/>
            <w:tcBorders>
              <w:left w:val="single" w:color="000000" w:sz="6" w:space="0"/>
            </w:tcBorders>
            <w:vAlign w:val="center"/>
          </w:tcPr>
          <w:p w14:paraId="4A94E5A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废气</w:t>
            </w:r>
          </w:p>
        </w:tc>
        <w:tc>
          <w:tcPr>
            <w:tcW w:w="1647" w:type="dxa"/>
            <w:vAlign w:val="center"/>
          </w:tcPr>
          <w:p w14:paraId="18626C9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颗粒物</w:t>
            </w:r>
          </w:p>
        </w:tc>
        <w:tc>
          <w:tcPr>
            <w:tcW w:w="1475" w:type="dxa"/>
            <w:vAlign w:val="center"/>
          </w:tcPr>
          <w:p w14:paraId="4B5150C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211CEA1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5622E0D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29A3E8A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0.28545t/a</w:t>
            </w:r>
          </w:p>
        </w:tc>
        <w:tc>
          <w:tcPr>
            <w:tcW w:w="1759" w:type="dxa"/>
            <w:vAlign w:val="center"/>
          </w:tcPr>
          <w:p w14:paraId="526ECA6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762" w:type="dxa"/>
            <w:vAlign w:val="center"/>
          </w:tcPr>
          <w:p w14:paraId="50F62AE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0.28545t/a</w:t>
            </w:r>
          </w:p>
        </w:tc>
        <w:tc>
          <w:tcPr>
            <w:tcW w:w="1030" w:type="dxa"/>
            <w:tcBorders>
              <w:right w:val="single" w:color="000000" w:sz="6" w:space="0"/>
            </w:tcBorders>
            <w:vAlign w:val="center"/>
          </w:tcPr>
          <w:p w14:paraId="18469C5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r>
      <w:tr w14:paraId="3326980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8" w:type="dxa"/>
            <w:vMerge w:val="continue"/>
            <w:tcBorders>
              <w:left w:val="single" w:color="000000" w:sz="6" w:space="0"/>
            </w:tcBorders>
            <w:vAlign w:val="center"/>
          </w:tcPr>
          <w:p w14:paraId="7516D54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en-US" w:bidi="ar-SA"/>
              </w:rPr>
            </w:pPr>
          </w:p>
        </w:tc>
        <w:tc>
          <w:tcPr>
            <w:tcW w:w="1647" w:type="dxa"/>
            <w:vAlign w:val="center"/>
          </w:tcPr>
          <w:p w14:paraId="4016EE1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kern w:val="2"/>
                <w:sz w:val="24"/>
                <w:szCs w:val="24"/>
                <w:highlight w:val="none"/>
                <w:u w:val="none" w:color="auto"/>
                <w:lang w:val="en-US" w:eastAsia="zh-CN" w:bidi="ar-SA"/>
              </w:rPr>
            </w:pPr>
            <w:r>
              <w:rPr>
                <w:rFonts w:hint="eastAsia" w:ascii="Times New Roman" w:hAnsi="Times New Roman" w:eastAsia="宋体" w:cs="Times New Roman"/>
                <w:color w:val="auto"/>
                <w:spacing w:val="-3"/>
                <w:kern w:val="2"/>
                <w:sz w:val="24"/>
                <w:szCs w:val="24"/>
                <w:highlight w:val="none"/>
                <w:u w:val="none" w:color="auto"/>
                <w:lang w:val="en-US" w:eastAsia="zh-CN" w:bidi="ar-SA"/>
              </w:rPr>
              <w:t>SO</w:t>
            </w:r>
            <w:r>
              <w:rPr>
                <w:rFonts w:hint="eastAsia" w:ascii="Times New Roman" w:hAnsi="Times New Roman" w:eastAsia="宋体" w:cs="Times New Roman"/>
                <w:color w:val="auto"/>
                <w:spacing w:val="-3"/>
                <w:kern w:val="2"/>
                <w:sz w:val="24"/>
                <w:szCs w:val="24"/>
                <w:highlight w:val="none"/>
                <w:u w:val="none" w:color="auto"/>
                <w:vertAlign w:val="subscript"/>
                <w:lang w:val="en-US" w:eastAsia="zh-CN" w:bidi="ar-SA"/>
              </w:rPr>
              <w:t>2</w:t>
            </w:r>
          </w:p>
        </w:tc>
        <w:tc>
          <w:tcPr>
            <w:tcW w:w="1475" w:type="dxa"/>
            <w:vAlign w:val="center"/>
          </w:tcPr>
          <w:p w14:paraId="4F45C277">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437C45A0">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6AF3C73E">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450EDDA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0.03484t/a</w:t>
            </w:r>
          </w:p>
        </w:tc>
        <w:tc>
          <w:tcPr>
            <w:tcW w:w="1759" w:type="dxa"/>
            <w:vAlign w:val="center"/>
          </w:tcPr>
          <w:p w14:paraId="5A185B19">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762" w:type="dxa"/>
            <w:vAlign w:val="center"/>
          </w:tcPr>
          <w:p w14:paraId="4C8CA21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0.03484t/a</w:t>
            </w:r>
          </w:p>
        </w:tc>
        <w:tc>
          <w:tcPr>
            <w:tcW w:w="1030" w:type="dxa"/>
            <w:tcBorders>
              <w:right w:val="single" w:color="000000" w:sz="6" w:space="0"/>
            </w:tcBorders>
            <w:vAlign w:val="center"/>
          </w:tcPr>
          <w:p w14:paraId="6BAA912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r>
      <w:tr w14:paraId="2135555C">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1588" w:type="dxa"/>
            <w:vMerge w:val="continue"/>
            <w:tcBorders>
              <w:left w:val="single" w:color="000000" w:sz="6" w:space="0"/>
            </w:tcBorders>
            <w:vAlign w:val="center"/>
          </w:tcPr>
          <w:p w14:paraId="2EA6BE3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en-US" w:bidi="ar-SA"/>
              </w:rPr>
            </w:pPr>
          </w:p>
        </w:tc>
        <w:tc>
          <w:tcPr>
            <w:tcW w:w="1647" w:type="dxa"/>
            <w:vAlign w:val="center"/>
          </w:tcPr>
          <w:p w14:paraId="04AE868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3"/>
                <w:kern w:val="2"/>
                <w:sz w:val="24"/>
                <w:szCs w:val="24"/>
                <w:highlight w:val="none"/>
                <w:u w:val="none" w:color="auto"/>
                <w:lang w:val="en-US" w:eastAsia="zh-CN" w:bidi="ar-SA"/>
              </w:rPr>
            </w:pPr>
            <w:r>
              <w:rPr>
                <w:rFonts w:hint="eastAsia" w:ascii="Times New Roman" w:hAnsi="Times New Roman" w:eastAsia="宋体" w:cs="Times New Roman"/>
                <w:color w:val="auto"/>
                <w:spacing w:val="-3"/>
                <w:kern w:val="2"/>
                <w:sz w:val="24"/>
                <w:szCs w:val="24"/>
                <w:highlight w:val="none"/>
                <w:u w:val="none" w:color="auto"/>
                <w:lang w:val="en-US" w:eastAsia="zh-CN" w:bidi="ar-SA"/>
              </w:rPr>
              <w:t>氮氧化物</w:t>
            </w:r>
          </w:p>
        </w:tc>
        <w:tc>
          <w:tcPr>
            <w:tcW w:w="1475" w:type="dxa"/>
            <w:vAlign w:val="center"/>
          </w:tcPr>
          <w:p w14:paraId="121A5345">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6B6F32B9">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739BD4A2">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36FD9B0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0.32594t/a</w:t>
            </w:r>
          </w:p>
        </w:tc>
        <w:tc>
          <w:tcPr>
            <w:tcW w:w="1759" w:type="dxa"/>
            <w:vAlign w:val="center"/>
          </w:tcPr>
          <w:p w14:paraId="7A9F4757">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762" w:type="dxa"/>
            <w:vAlign w:val="center"/>
          </w:tcPr>
          <w:p w14:paraId="3CC34EF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0.32594t/a</w:t>
            </w:r>
          </w:p>
        </w:tc>
        <w:tc>
          <w:tcPr>
            <w:tcW w:w="1030" w:type="dxa"/>
            <w:tcBorders>
              <w:right w:val="single" w:color="000000" w:sz="6" w:space="0"/>
            </w:tcBorders>
            <w:vAlign w:val="center"/>
          </w:tcPr>
          <w:p w14:paraId="199618E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p>
        </w:tc>
      </w:tr>
      <w:tr w14:paraId="07544B4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1D9659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废水</w:t>
            </w:r>
          </w:p>
        </w:tc>
        <w:tc>
          <w:tcPr>
            <w:tcW w:w="1647" w:type="dxa"/>
            <w:vAlign w:val="center"/>
          </w:tcPr>
          <w:p w14:paraId="1A0B978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化学需氧量</w:t>
            </w:r>
          </w:p>
        </w:tc>
        <w:tc>
          <w:tcPr>
            <w:tcW w:w="1475" w:type="dxa"/>
            <w:vAlign w:val="center"/>
          </w:tcPr>
          <w:p w14:paraId="4034449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489916C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2A346B8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3AFF708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65BE02A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66834CF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4202449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7F7B23A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10C2815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647" w:type="dxa"/>
            <w:vAlign w:val="center"/>
          </w:tcPr>
          <w:p w14:paraId="68AB6E0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五日生化</w:t>
            </w:r>
            <w:r>
              <w:rPr>
                <w:rFonts w:hint="eastAsia" w:ascii="Times New Roman" w:hAnsi="Times New Roman" w:eastAsia="宋体" w:cs="Times New Roman"/>
                <w:color w:val="auto"/>
                <w:spacing w:val="-3"/>
                <w:kern w:val="2"/>
                <w:sz w:val="24"/>
                <w:szCs w:val="24"/>
                <w:highlight w:val="none"/>
                <w:u w:val="none" w:color="auto"/>
                <w:lang w:val="en-US" w:eastAsia="zh-CN" w:bidi="ar-SA"/>
              </w:rPr>
              <w:t>需氧量</w:t>
            </w:r>
          </w:p>
        </w:tc>
        <w:tc>
          <w:tcPr>
            <w:tcW w:w="1475" w:type="dxa"/>
            <w:vAlign w:val="center"/>
          </w:tcPr>
          <w:p w14:paraId="2DBDA81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420CF07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787CE2A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12AE3D6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569FF61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24C8A68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0184E89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47EB6EE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6ABCA43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647" w:type="dxa"/>
            <w:vAlign w:val="center"/>
          </w:tcPr>
          <w:p w14:paraId="53CB81D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悬浮物</w:t>
            </w:r>
          </w:p>
        </w:tc>
        <w:tc>
          <w:tcPr>
            <w:tcW w:w="1475" w:type="dxa"/>
            <w:vAlign w:val="center"/>
          </w:tcPr>
          <w:p w14:paraId="0B19FD9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1BB89B5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0B5B74F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16E5EDC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5ED4B63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79E0045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72808AD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40B566B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588" w:type="dxa"/>
            <w:vMerge w:val="continue"/>
            <w:tcBorders>
              <w:left w:val="single" w:color="000000" w:sz="6" w:space="0"/>
            </w:tcBorders>
            <w:vAlign w:val="center"/>
          </w:tcPr>
          <w:p w14:paraId="7461FE2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647" w:type="dxa"/>
            <w:vAlign w:val="center"/>
          </w:tcPr>
          <w:p w14:paraId="4ECB9B6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氨氮</w:t>
            </w:r>
          </w:p>
        </w:tc>
        <w:tc>
          <w:tcPr>
            <w:tcW w:w="1475" w:type="dxa"/>
            <w:vAlign w:val="center"/>
          </w:tcPr>
          <w:p w14:paraId="6B7D630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0055925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6A82EA6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10C570D6">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1DEA65B1">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7F5CD9EA">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732AE60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4B99AEE6">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0BB33A0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647" w:type="dxa"/>
            <w:vAlign w:val="center"/>
          </w:tcPr>
          <w:p w14:paraId="00D4BCE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8"/>
                <w:kern w:val="2"/>
                <w:sz w:val="24"/>
                <w:szCs w:val="24"/>
                <w:highlight w:val="none"/>
                <w:u w:val="none" w:color="auto"/>
                <w:lang w:val="en-US" w:eastAsia="zh-CN" w:bidi="ar-SA"/>
              </w:rPr>
            </w:pPr>
            <w:r>
              <w:rPr>
                <w:rFonts w:hint="default" w:ascii="Times New Roman" w:hAnsi="Times New Roman" w:eastAsia="宋体" w:cs="Times New Roman"/>
                <w:color w:val="auto"/>
                <w:spacing w:val="-8"/>
                <w:kern w:val="2"/>
                <w:sz w:val="24"/>
                <w:szCs w:val="24"/>
                <w:highlight w:val="none"/>
                <w:u w:val="none" w:color="auto"/>
                <w:lang w:val="en-US" w:eastAsia="en-US" w:bidi="ar-SA"/>
              </w:rPr>
              <w:t>总磷</w:t>
            </w:r>
          </w:p>
        </w:tc>
        <w:tc>
          <w:tcPr>
            <w:tcW w:w="1475" w:type="dxa"/>
            <w:vAlign w:val="center"/>
          </w:tcPr>
          <w:p w14:paraId="38DACD1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6E9E706E">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331F4F8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521B715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3B88513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70F9933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2A11A8F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2D1DB82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1EE8C36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647" w:type="dxa"/>
            <w:vAlign w:val="center"/>
          </w:tcPr>
          <w:p w14:paraId="663FDD4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8"/>
                <w:kern w:val="2"/>
                <w:sz w:val="24"/>
                <w:szCs w:val="24"/>
                <w:highlight w:val="none"/>
                <w:u w:val="none" w:color="auto"/>
                <w:lang w:val="en-US" w:eastAsia="zh-CN" w:bidi="ar-SA"/>
              </w:rPr>
            </w:pPr>
            <w:r>
              <w:rPr>
                <w:rFonts w:hint="eastAsia" w:ascii="Times New Roman" w:hAnsi="Times New Roman" w:eastAsia="宋体" w:cs="Times New Roman"/>
                <w:color w:val="auto"/>
                <w:spacing w:val="-8"/>
                <w:kern w:val="2"/>
                <w:sz w:val="24"/>
                <w:szCs w:val="24"/>
                <w:highlight w:val="none"/>
                <w:u w:val="none" w:color="auto"/>
                <w:lang w:val="en-US" w:eastAsia="zh-CN" w:bidi="ar-SA"/>
              </w:rPr>
              <w:t>石油类</w:t>
            </w:r>
          </w:p>
        </w:tc>
        <w:tc>
          <w:tcPr>
            <w:tcW w:w="1475" w:type="dxa"/>
            <w:vAlign w:val="center"/>
          </w:tcPr>
          <w:p w14:paraId="36E1DF8F">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Times New Roman" w:cs="Times New Roman"/>
                <w:color w:val="auto"/>
                <w:sz w:val="24"/>
                <w:szCs w:val="24"/>
                <w:highlight w:val="none"/>
                <w:u w:val="none" w:color="auto"/>
              </w:rPr>
              <w:t>/</w:t>
            </w:r>
          </w:p>
        </w:tc>
        <w:tc>
          <w:tcPr>
            <w:tcW w:w="1275" w:type="dxa"/>
            <w:vAlign w:val="center"/>
          </w:tcPr>
          <w:p w14:paraId="3D7E7D92">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7BD6AC52">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55677C4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6DDFACD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5E67ABE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030" w:type="dxa"/>
            <w:tcBorders>
              <w:right w:val="single" w:color="000000" w:sz="6" w:space="0"/>
            </w:tcBorders>
            <w:vAlign w:val="center"/>
          </w:tcPr>
          <w:p w14:paraId="3556855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229DCF4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593EA8F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zh-CN" w:bidi="ar-SA"/>
              </w:rPr>
            </w:pPr>
            <w:r>
              <w:rPr>
                <w:rFonts w:hint="eastAsia" w:cs="Times New Roman"/>
                <w:color w:val="auto"/>
                <w:spacing w:val="-4"/>
                <w:kern w:val="2"/>
                <w:sz w:val="24"/>
                <w:szCs w:val="24"/>
                <w:highlight w:val="none"/>
                <w:u w:val="none" w:color="auto"/>
                <w:lang w:val="en-US" w:eastAsia="zh-CN" w:bidi="ar-SA"/>
              </w:rPr>
              <w:t>一般固废</w:t>
            </w:r>
          </w:p>
        </w:tc>
        <w:tc>
          <w:tcPr>
            <w:tcW w:w="1647" w:type="dxa"/>
            <w:vAlign w:val="center"/>
          </w:tcPr>
          <w:p w14:paraId="440FE1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5"/>
                <w:kern w:val="2"/>
                <w:sz w:val="24"/>
                <w:szCs w:val="24"/>
                <w:highlight w:val="none"/>
                <w:u w:val="none" w:color="auto"/>
                <w:lang w:val="en-US" w:eastAsia="zh-CN" w:bidi="ar-SA"/>
              </w:rPr>
            </w:pPr>
            <w:r>
              <w:rPr>
                <w:rFonts w:hint="eastAsia" w:cs="Times New Roman"/>
                <w:color w:val="auto"/>
                <w:spacing w:val="-5"/>
                <w:kern w:val="2"/>
                <w:sz w:val="24"/>
                <w:szCs w:val="24"/>
                <w:highlight w:val="none"/>
                <w:u w:val="none" w:color="auto"/>
                <w:lang w:val="en-US" w:eastAsia="zh-CN" w:bidi="ar-SA"/>
              </w:rPr>
              <w:t>废角阀</w:t>
            </w:r>
          </w:p>
        </w:tc>
        <w:tc>
          <w:tcPr>
            <w:tcW w:w="1475" w:type="dxa"/>
            <w:vAlign w:val="center"/>
          </w:tcPr>
          <w:p w14:paraId="6B1D34D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275" w:type="dxa"/>
            <w:vAlign w:val="center"/>
          </w:tcPr>
          <w:p w14:paraId="77BF9B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699" w:type="dxa"/>
            <w:vAlign w:val="center"/>
          </w:tcPr>
          <w:p w14:paraId="4C55711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57" w:type="dxa"/>
            <w:vAlign w:val="center"/>
          </w:tcPr>
          <w:p w14:paraId="3729BB9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12万只</w:t>
            </w:r>
          </w:p>
        </w:tc>
        <w:tc>
          <w:tcPr>
            <w:tcW w:w="1759" w:type="dxa"/>
            <w:vAlign w:val="center"/>
          </w:tcPr>
          <w:p w14:paraId="4D4E1BF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038BE79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12万只</w:t>
            </w:r>
          </w:p>
        </w:tc>
        <w:tc>
          <w:tcPr>
            <w:tcW w:w="1030" w:type="dxa"/>
            <w:tcBorders>
              <w:right w:val="single" w:color="000000" w:sz="6" w:space="0"/>
            </w:tcBorders>
            <w:vAlign w:val="center"/>
          </w:tcPr>
          <w:p w14:paraId="6FBF38C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0823BBF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5708AFE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cs="Times New Roman"/>
                <w:color w:val="auto"/>
                <w:spacing w:val="-4"/>
                <w:kern w:val="2"/>
                <w:sz w:val="24"/>
                <w:szCs w:val="24"/>
                <w:highlight w:val="none"/>
                <w:u w:val="none" w:color="auto"/>
                <w:lang w:val="en-US" w:eastAsia="zh-CN" w:bidi="ar-SA"/>
              </w:rPr>
            </w:pPr>
          </w:p>
        </w:tc>
        <w:tc>
          <w:tcPr>
            <w:tcW w:w="1647" w:type="dxa"/>
            <w:vAlign w:val="center"/>
          </w:tcPr>
          <w:p w14:paraId="5413AB8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5"/>
                <w:kern w:val="2"/>
                <w:sz w:val="24"/>
                <w:szCs w:val="24"/>
                <w:highlight w:val="none"/>
                <w:u w:val="none" w:color="auto"/>
                <w:lang w:val="en-US" w:eastAsia="zh-CN" w:bidi="ar-SA"/>
              </w:rPr>
            </w:pPr>
            <w:r>
              <w:rPr>
                <w:rFonts w:hint="eastAsia" w:ascii="Times New Roman" w:hAnsi="Times New Roman" w:eastAsia="宋体" w:cs="Times New Roman"/>
                <w:color w:val="auto"/>
                <w:spacing w:val="-5"/>
                <w:kern w:val="2"/>
                <w:sz w:val="24"/>
                <w:szCs w:val="24"/>
                <w:highlight w:val="none"/>
                <w:u w:val="none" w:color="auto"/>
                <w:lang w:val="en-US" w:eastAsia="zh-CN" w:bidi="ar-SA"/>
              </w:rPr>
              <w:t>水膜除尘湿渣</w:t>
            </w:r>
          </w:p>
        </w:tc>
        <w:tc>
          <w:tcPr>
            <w:tcW w:w="1475" w:type="dxa"/>
            <w:vAlign w:val="center"/>
          </w:tcPr>
          <w:p w14:paraId="61A383D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275" w:type="dxa"/>
            <w:vAlign w:val="center"/>
          </w:tcPr>
          <w:p w14:paraId="7DA39D0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699" w:type="dxa"/>
            <w:vAlign w:val="center"/>
          </w:tcPr>
          <w:p w14:paraId="45AEA6F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57" w:type="dxa"/>
            <w:vAlign w:val="center"/>
          </w:tcPr>
          <w:p w14:paraId="7553B1D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3.81t/a</w:t>
            </w:r>
          </w:p>
        </w:tc>
        <w:tc>
          <w:tcPr>
            <w:tcW w:w="1759" w:type="dxa"/>
            <w:vAlign w:val="center"/>
          </w:tcPr>
          <w:p w14:paraId="5239459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061B5DA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3.81t/a</w:t>
            </w:r>
          </w:p>
        </w:tc>
        <w:tc>
          <w:tcPr>
            <w:tcW w:w="1030" w:type="dxa"/>
            <w:tcBorders>
              <w:right w:val="single" w:color="000000" w:sz="6" w:space="0"/>
            </w:tcBorders>
            <w:vAlign w:val="center"/>
          </w:tcPr>
          <w:p w14:paraId="63A14EF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6B28F1D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28D6072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zh-CN" w:bidi="ar-SA"/>
              </w:rPr>
            </w:pPr>
            <w:r>
              <w:rPr>
                <w:rFonts w:hint="default" w:ascii="Times New Roman" w:hAnsi="Times New Roman" w:eastAsia="宋体" w:cs="Times New Roman"/>
                <w:color w:val="auto"/>
                <w:spacing w:val="-4"/>
                <w:kern w:val="2"/>
                <w:sz w:val="24"/>
                <w:szCs w:val="24"/>
                <w:highlight w:val="none"/>
                <w:u w:val="none" w:color="auto"/>
                <w:lang w:val="en-US" w:eastAsia="zh-CN" w:bidi="ar-SA"/>
              </w:rPr>
              <w:t>危险废物</w:t>
            </w:r>
          </w:p>
        </w:tc>
        <w:tc>
          <w:tcPr>
            <w:tcW w:w="1647" w:type="dxa"/>
            <w:vAlign w:val="center"/>
          </w:tcPr>
          <w:p w14:paraId="12D48C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zh-CN" w:bidi="ar-SA"/>
              </w:rPr>
            </w:pPr>
            <w:r>
              <w:rPr>
                <w:rFonts w:hint="eastAsia" w:ascii="Times New Roman" w:hAnsi="Times New Roman" w:eastAsia="宋体" w:cs="Times New Roman"/>
                <w:color w:val="auto"/>
                <w:spacing w:val="-5"/>
                <w:kern w:val="2"/>
                <w:sz w:val="24"/>
                <w:szCs w:val="24"/>
                <w:highlight w:val="none"/>
                <w:u w:val="none" w:color="auto"/>
                <w:lang w:val="en-US" w:eastAsia="zh-CN" w:bidi="ar-SA"/>
              </w:rPr>
              <w:t>废机油</w:t>
            </w:r>
          </w:p>
        </w:tc>
        <w:tc>
          <w:tcPr>
            <w:tcW w:w="1475" w:type="dxa"/>
            <w:vAlign w:val="center"/>
          </w:tcPr>
          <w:p w14:paraId="50739E8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275" w:type="dxa"/>
            <w:vAlign w:val="center"/>
          </w:tcPr>
          <w:p w14:paraId="4D4890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699" w:type="dxa"/>
            <w:vAlign w:val="center"/>
          </w:tcPr>
          <w:p w14:paraId="28404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57" w:type="dxa"/>
            <w:vAlign w:val="center"/>
          </w:tcPr>
          <w:p w14:paraId="49925F0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vAlign w:val="center"/>
          </w:tcPr>
          <w:p w14:paraId="6F97C12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vAlign w:val="center"/>
          </w:tcPr>
          <w:p w14:paraId="73CF2BD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t/a</w:t>
            </w:r>
          </w:p>
        </w:tc>
        <w:tc>
          <w:tcPr>
            <w:tcW w:w="1030" w:type="dxa"/>
            <w:tcBorders>
              <w:right w:val="single" w:color="000000" w:sz="6" w:space="0"/>
            </w:tcBorders>
            <w:vAlign w:val="center"/>
          </w:tcPr>
          <w:p w14:paraId="3270C0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r>
      <w:tr w14:paraId="6FA858E2">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269E02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zh-CN" w:bidi="ar-SA"/>
              </w:rPr>
            </w:pPr>
          </w:p>
        </w:tc>
        <w:tc>
          <w:tcPr>
            <w:tcW w:w="1647" w:type="dxa"/>
            <w:vAlign w:val="center"/>
          </w:tcPr>
          <w:p w14:paraId="31D90AE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zh-CN" w:bidi="ar-SA"/>
              </w:rPr>
            </w:pPr>
            <w:r>
              <w:rPr>
                <w:rFonts w:hint="eastAsia" w:ascii="Times New Roman" w:hAnsi="Times New Roman" w:eastAsia="宋体" w:cs="Times New Roman"/>
                <w:color w:val="auto"/>
                <w:spacing w:val="-5"/>
                <w:kern w:val="2"/>
                <w:sz w:val="24"/>
                <w:szCs w:val="24"/>
                <w:highlight w:val="none"/>
                <w:u w:val="none" w:color="auto"/>
                <w:lang w:val="en-US" w:eastAsia="zh-CN" w:bidi="ar-SA"/>
              </w:rPr>
              <w:t>废机油桶</w:t>
            </w:r>
          </w:p>
        </w:tc>
        <w:tc>
          <w:tcPr>
            <w:tcW w:w="1475" w:type="dxa"/>
            <w:vAlign w:val="center"/>
          </w:tcPr>
          <w:p w14:paraId="6E2E476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275" w:type="dxa"/>
            <w:vAlign w:val="center"/>
          </w:tcPr>
          <w:p w14:paraId="0131B36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699" w:type="dxa"/>
            <w:vAlign w:val="center"/>
          </w:tcPr>
          <w:p w14:paraId="6AB8268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57" w:type="dxa"/>
            <w:vAlign w:val="center"/>
          </w:tcPr>
          <w:p w14:paraId="0B7346F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0.05</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shd w:val="clear" w:color="auto" w:fill="auto"/>
            <w:vAlign w:val="center"/>
          </w:tcPr>
          <w:p w14:paraId="5C49902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shd w:val="clear" w:color="auto" w:fill="auto"/>
            <w:vAlign w:val="center"/>
          </w:tcPr>
          <w:p w14:paraId="7E28CBF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sz w:val="24"/>
                <w:szCs w:val="24"/>
                <w:highlight w:val="none"/>
                <w:u w:val="none" w:color="auto"/>
                <w:lang w:val="en-US" w:eastAsia="zh-CN"/>
              </w:rPr>
              <w:t>0.05</w:t>
            </w:r>
            <w:r>
              <w:rPr>
                <w:rFonts w:hint="default" w:ascii="Times New Roman" w:hAnsi="Times New Roman" w:eastAsia="宋体" w:cs="Times New Roman"/>
                <w:color w:val="auto"/>
                <w:sz w:val="24"/>
                <w:szCs w:val="24"/>
                <w:highlight w:val="none"/>
                <w:u w:val="none" w:color="auto"/>
                <w:lang w:val="en-US" w:eastAsia="zh-CN"/>
              </w:rPr>
              <w:t>t/a</w:t>
            </w:r>
          </w:p>
        </w:tc>
        <w:tc>
          <w:tcPr>
            <w:tcW w:w="1030" w:type="dxa"/>
            <w:tcBorders>
              <w:right w:val="single" w:color="000000" w:sz="6" w:space="0"/>
            </w:tcBorders>
            <w:shd w:val="clear" w:color="auto" w:fill="auto"/>
            <w:vAlign w:val="center"/>
          </w:tcPr>
          <w:p w14:paraId="36F1345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r w14:paraId="6BDCF76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tcBorders>
              <w:left w:val="single" w:color="000000" w:sz="6" w:space="0"/>
            </w:tcBorders>
            <w:vAlign w:val="center"/>
          </w:tcPr>
          <w:p w14:paraId="6002D96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zh-CN" w:bidi="ar-SA"/>
              </w:rPr>
            </w:pPr>
            <w:r>
              <w:rPr>
                <w:rFonts w:hint="eastAsia" w:ascii="Times New Roman" w:hAnsi="Times New Roman" w:eastAsia="宋体" w:cs="Times New Roman"/>
                <w:color w:val="auto"/>
                <w:spacing w:val="-4"/>
                <w:kern w:val="2"/>
                <w:sz w:val="24"/>
                <w:szCs w:val="24"/>
                <w:highlight w:val="none"/>
                <w:u w:val="none" w:color="auto"/>
                <w:lang w:val="en-US" w:eastAsia="zh-CN" w:bidi="ar-SA"/>
              </w:rPr>
              <w:t>生活垃圾</w:t>
            </w:r>
          </w:p>
        </w:tc>
        <w:tc>
          <w:tcPr>
            <w:tcW w:w="1647" w:type="dxa"/>
            <w:vAlign w:val="center"/>
          </w:tcPr>
          <w:p w14:paraId="1305DC9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zh-CN" w:bidi="ar-SA"/>
              </w:rPr>
            </w:pPr>
            <w:r>
              <w:rPr>
                <w:rFonts w:hint="eastAsia" w:ascii="Times New Roman" w:hAnsi="Times New Roman" w:eastAsia="宋体" w:cs="Times New Roman"/>
                <w:color w:val="auto"/>
                <w:spacing w:val="-5"/>
                <w:kern w:val="2"/>
                <w:sz w:val="24"/>
                <w:szCs w:val="24"/>
                <w:highlight w:val="none"/>
                <w:u w:val="none" w:color="auto"/>
                <w:lang w:val="en-US" w:eastAsia="zh-CN" w:bidi="ar-SA"/>
              </w:rPr>
              <w:t>生活垃圾</w:t>
            </w:r>
          </w:p>
        </w:tc>
        <w:tc>
          <w:tcPr>
            <w:tcW w:w="1475" w:type="dxa"/>
            <w:vAlign w:val="center"/>
          </w:tcPr>
          <w:p w14:paraId="6983FA0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275" w:type="dxa"/>
            <w:vAlign w:val="center"/>
          </w:tcPr>
          <w:p w14:paraId="7A9C8B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699" w:type="dxa"/>
            <w:vAlign w:val="center"/>
          </w:tcPr>
          <w:p w14:paraId="48656E7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57" w:type="dxa"/>
            <w:vAlign w:val="center"/>
          </w:tcPr>
          <w:p w14:paraId="36C7FC7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Style w:val="35"/>
                <w:highlight w:val="none"/>
                <w:u w:val="none" w:color="auto"/>
              </w:rPr>
              <w:t>0.</w:t>
            </w:r>
            <w:r>
              <w:rPr>
                <w:rStyle w:val="35"/>
                <w:rFonts w:hint="eastAsia"/>
                <w:highlight w:val="none"/>
                <w:u w:val="none" w:color="auto"/>
                <w:lang w:val="en-US" w:eastAsia="zh-CN"/>
              </w:rPr>
              <w:t>75</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shd w:val="clear" w:color="auto" w:fill="auto"/>
            <w:vAlign w:val="center"/>
          </w:tcPr>
          <w:p w14:paraId="6AA1F27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c>
          <w:tcPr>
            <w:tcW w:w="1762" w:type="dxa"/>
            <w:shd w:val="clear" w:color="auto" w:fill="auto"/>
            <w:vAlign w:val="center"/>
          </w:tcPr>
          <w:p w14:paraId="3BF5BA9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Style w:val="35"/>
                <w:highlight w:val="none"/>
                <w:u w:val="none" w:color="auto"/>
              </w:rPr>
              <w:t>0.</w:t>
            </w:r>
            <w:r>
              <w:rPr>
                <w:rStyle w:val="35"/>
                <w:rFonts w:hint="eastAsia"/>
                <w:highlight w:val="none"/>
                <w:u w:val="none" w:color="auto"/>
                <w:lang w:val="en-US" w:eastAsia="zh-CN"/>
              </w:rPr>
              <w:t>75</w:t>
            </w:r>
            <w:r>
              <w:rPr>
                <w:rFonts w:hint="default" w:ascii="Times New Roman" w:hAnsi="Times New Roman" w:eastAsia="宋体" w:cs="Times New Roman"/>
                <w:color w:val="auto"/>
                <w:sz w:val="24"/>
                <w:szCs w:val="24"/>
                <w:highlight w:val="none"/>
                <w:u w:val="none" w:color="auto"/>
                <w:lang w:val="en-US" w:eastAsia="zh-CN"/>
              </w:rPr>
              <w:t>t/a</w:t>
            </w:r>
          </w:p>
        </w:tc>
        <w:tc>
          <w:tcPr>
            <w:tcW w:w="1030" w:type="dxa"/>
            <w:tcBorders>
              <w:right w:val="single" w:color="000000" w:sz="6" w:space="0"/>
            </w:tcBorders>
            <w:shd w:val="clear" w:color="auto" w:fill="auto"/>
            <w:vAlign w:val="center"/>
          </w:tcPr>
          <w:p w14:paraId="11B8DAF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w:t>
            </w:r>
          </w:p>
        </w:tc>
      </w:tr>
    </w:tbl>
    <w:p w14:paraId="09B70311">
      <w:pPr>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b/>
          <w:bCs/>
          <w:highlight w:val="none"/>
          <w:u w:val="none" w:color="auto"/>
          <w:lang w:val="en-US" w:eastAsia="zh-CN"/>
        </w:rPr>
      </w:pPr>
      <w:r>
        <w:rPr>
          <w:rFonts w:hint="default" w:ascii="Times New Roman" w:hAnsi="Times New Roman" w:eastAsia="宋体" w:cs="Times New Roman"/>
          <w:snapToGrid w:val="0"/>
          <w:color w:val="auto"/>
          <w:kern w:val="21"/>
          <w:sz w:val="21"/>
          <w:szCs w:val="21"/>
          <w:highlight w:val="none"/>
          <w:u w:val="none" w:color="auto"/>
          <w:lang w:val="en-US" w:eastAsia="zh-CN" w:bidi="ar-SA"/>
        </w:rPr>
        <w:t>注：</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⑥</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①</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=3\*GB3\*MERGEFORMAT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③</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=4\*GB3\*MERGEFORMAT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④</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=5\*GB3\*MERGEFORMAT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⑤</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=7\*GB3\*MERGEFORMAT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⑦</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⑥</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①</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bookmarkStart w:id="128" w:name="_GoBack"/>
      <w:bookmarkEnd w:id="128"/>
    </w:p>
    <w:sectPr>
      <w:footerReference r:id="rId4" w:type="default"/>
      <w:pgSz w:w="16838" w:h="11906" w:orient="landscape"/>
      <w:pgMar w:top="567" w:right="567" w:bottom="567" w:left="56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1EF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E21C4">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C8E21C4">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BEEB4">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F7677"/>
    <w:multiLevelType w:val="singleLevel"/>
    <w:tmpl w:val="8DCF7677"/>
    <w:lvl w:ilvl="0" w:tentative="0">
      <w:start w:val="1"/>
      <w:numFmt w:val="chineseCounting"/>
      <w:suff w:val="nothing"/>
      <w:lvlText w:val="%1、"/>
      <w:lvlJc w:val="left"/>
      <w:rPr>
        <w:rFonts w:hint="eastAsia"/>
      </w:rPr>
    </w:lvl>
  </w:abstractNum>
  <w:abstractNum w:abstractNumId="1">
    <w:nsid w:val="C4B8F6FF"/>
    <w:multiLevelType w:val="singleLevel"/>
    <w:tmpl w:val="C4B8F6FF"/>
    <w:lvl w:ilvl="0" w:tentative="0">
      <w:start w:val="1"/>
      <w:numFmt w:val="decimal"/>
      <w:suff w:val="nothing"/>
      <w:lvlText w:val="%1、"/>
      <w:lvlJc w:val="left"/>
    </w:lvl>
  </w:abstractNum>
  <w:abstractNum w:abstractNumId="2">
    <w:nsid w:val="FD788B64"/>
    <w:multiLevelType w:val="singleLevel"/>
    <w:tmpl w:val="FD788B64"/>
    <w:lvl w:ilvl="0" w:tentative="0">
      <w:start w:val="4"/>
      <w:numFmt w:val="chineseCounting"/>
      <w:suff w:val="nothing"/>
      <w:lvlText w:val="%1、"/>
      <w:lvlJc w:val="left"/>
      <w:rPr>
        <w:rFonts w:hint="eastAsia"/>
      </w:rPr>
    </w:lvl>
  </w:abstractNum>
  <w:abstractNum w:abstractNumId="3">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39"/>
      <w:lvlText w:val="%3."/>
      <w:lvlJc w:val="right"/>
      <w:pPr>
        <w:tabs>
          <w:tab w:val="left" w:pos="1260"/>
        </w:tabs>
        <w:ind w:left="1260" w:hanging="420"/>
      </w:pPr>
    </w:lvl>
    <w:lvl w:ilvl="3" w:tentative="0">
      <w:start w:val="1"/>
      <w:numFmt w:val="decimal"/>
      <w:pStyle w:val="3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6068CF"/>
    <w:rsid w:val="00F76805"/>
    <w:rsid w:val="016B7DD3"/>
    <w:rsid w:val="018D077E"/>
    <w:rsid w:val="01C81F7D"/>
    <w:rsid w:val="02DA6C45"/>
    <w:rsid w:val="02EA454C"/>
    <w:rsid w:val="036C5B4A"/>
    <w:rsid w:val="038C3624"/>
    <w:rsid w:val="04293179"/>
    <w:rsid w:val="0AFD6C4E"/>
    <w:rsid w:val="0B255755"/>
    <w:rsid w:val="0C2251C4"/>
    <w:rsid w:val="0C6D6E67"/>
    <w:rsid w:val="0CBF4BF8"/>
    <w:rsid w:val="0D887256"/>
    <w:rsid w:val="0F3D3B7C"/>
    <w:rsid w:val="0F9A050E"/>
    <w:rsid w:val="10213C41"/>
    <w:rsid w:val="1080201B"/>
    <w:rsid w:val="11270A41"/>
    <w:rsid w:val="1283439D"/>
    <w:rsid w:val="13713698"/>
    <w:rsid w:val="13DB5DA8"/>
    <w:rsid w:val="14136A2F"/>
    <w:rsid w:val="15F10E36"/>
    <w:rsid w:val="18926812"/>
    <w:rsid w:val="196329A9"/>
    <w:rsid w:val="1997703B"/>
    <w:rsid w:val="19D6781C"/>
    <w:rsid w:val="1B293607"/>
    <w:rsid w:val="1E080F5F"/>
    <w:rsid w:val="1FBA6F24"/>
    <w:rsid w:val="203767C6"/>
    <w:rsid w:val="205540A8"/>
    <w:rsid w:val="209F6845"/>
    <w:rsid w:val="247C5FA0"/>
    <w:rsid w:val="26F274AC"/>
    <w:rsid w:val="28976054"/>
    <w:rsid w:val="294A1318"/>
    <w:rsid w:val="299B7DC6"/>
    <w:rsid w:val="2A164F5A"/>
    <w:rsid w:val="2A955787"/>
    <w:rsid w:val="2B0F5E31"/>
    <w:rsid w:val="2B425B7F"/>
    <w:rsid w:val="2B807273"/>
    <w:rsid w:val="2C5E06D8"/>
    <w:rsid w:val="2F2148C9"/>
    <w:rsid w:val="339F17B8"/>
    <w:rsid w:val="33A3013E"/>
    <w:rsid w:val="33E742B2"/>
    <w:rsid w:val="36931098"/>
    <w:rsid w:val="37BA3812"/>
    <w:rsid w:val="388A7983"/>
    <w:rsid w:val="391F6732"/>
    <w:rsid w:val="3A506484"/>
    <w:rsid w:val="3B0B5885"/>
    <w:rsid w:val="3B464B1F"/>
    <w:rsid w:val="3B6521FE"/>
    <w:rsid w:val="3B720A8F"/>
    <w:rsid w:val="3CA1704A"/>
    <w:rsid w:val="3E771BB7"/>
    <w:rsid w:val="3EF31D11"/>
    <w:rsid w:val="3F786788"/>
    <w:rsid w:val="40BF2108"/>
    <w:rsid w:val="41232723"/>
    <w:rsid w:val="41354204"/>
    <w:rsid w:val="42D80564"/>
    <w:rsid w:val="443D1D4E"/>
    <w:rsid w:val="45AE0F60"/>
    <w:rsid w:val="46BD4A69"/>
    <w:rsid w:val="47A11767"/>
    <w:rsid w:val="4801120B"/>
    <w:rsid w:val="48405BD4"/>
    <w:rsid w:val="48523EE0"/>
    <w:rsid w:val="49A60395"/>
    <w:rsid w:val="49E93603"/>
    <w:rsid w:val="4A3A219D"/>
    <w:rsid w:val="4A9D4000"/>
    <w:rsid w:val="4B812CB1"/>
    <w:rsid w:val="4BD61A4D"/>
    <w:rsid w:val="4DFB264D"/>
    <w:rsid w:val="4E487C6D"/>
    <w:rsid w:val="504428BE"/>
    <w:rsid w:val="518979CC"/>
    <w:rsid w:val="51967C91"/>
    <w:rsid w:val="52545CF4"/>
    <w:rsid w:val="528262A3"/>
    <w:rsid w:val="52BF27B0"/>
    <w:rsid w:val="52E96395"/>
    <w:rsid w:val="533B7DA0"/>
    <w:rsid w:val="536068CF"/>
    <w:rsid w:val="541609D6"/>
    <w:rsid w:val="553B4087"/>
    <w:rsid w:val="55855303"/>
    <w:rsid w:val="55F04368"/>
    <w:rsid w:val="56201CD8"/>
    <w:rsid w:val="569146DE"/>
    <w:rsid w:val="580764A3"/>
    <w:rsid w:val="58B13C92"/>
    <w:rsid w:val="59906A15"/>
    <w:rsid w:val="59EF7675"/>
    <w:rsid w:val="5A372441"/>
    <w:rsid w:val="5D1A27D4"/>
    <w:rsid w:val="5DFB3E7E"/>
    <w:rsid w:val="5F880136"/>
    <w:rsid w:val="60002155"/>
    <w:rsid w:val="6019331E"/>
    <w:rsid w:val="609A08A8"/>
    <w:rsid w:val="61D440D0"/>
    <w:rsid w:val="62400DDA"/>
    <w:rsid w:val="625D436D"/>
    <w:rsid w:val="643C6D1D"/>
    <w:rsid w:val="6462317D"/>
    <w:rsid w:val="66306078"/>
    <w:rsid w:val="66C743B7"/>
    <w:rsid w:val="6AB2229E"/>
    <w:rsid w:val="6AD55BB2"/>
    <w:rsid w:val="6BA61654"/>
    <w:rsid w:val="6CE14A3F"/>
    <w:rsid w:val="6D7C6B93"/>
    <w:rsid w:val="6DA265FA"/>
    <w:rsid w:val="6E1F7C4B"/>
    <w:rsid w:val="6EF21014"/>
    <w:rsid w:val="7180288D"/>
    <w:rsid w:val="72BD41BA"/>
    <w:rsid w:val="73DF0290"/>
    <w:rsid w:val="73FF10F6"/>
    <w:rsid w:val="75022074"/>
    <w:rsid w:val="781833E4"/>
    <w:rsid w:val="78A70F68"/>
    <w:rsid w:val="78E977D3"/>
    <w:rsid w:val="7A57778E"/>
    <w:rsid w:val="7C812849"/>
    <w:rsid w:val="7D935D11"/>
    <w:rsid w:val="7DE71122"/>
    <w:rsid w:val="7E0D60C0"/>
    <w:rsid w:val="7F006526"/>
    <w:rsid w:val="7F460BEC"/>
    <w:rsid w:val="7F80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autoRedefine/>
    <w:qFormat/>
    <w:uiPriority w:val="0"/>
    <w:pPr>
      <w:keepNext/>
      <w:keepLines/>
      <w:tabs>
        <w:tab w:val="left" w:pos="1021"/>
      </w:tabs>
      <w:spacing w:line="240" w:lineRule="auto"/>
      <w:ind w:firstLine="0" w:firstLineChars="0"/>
      <w:jc w:val="left"/>
      <w:outlineLvl w:val="0"/>
    </w:pPr>
    <w:rPr>
      <w:rFonts w:ascii="Calibri" w:hAnsi="Calibri" w:eastAsia="宋体" w:cs="Times New Roman"/>
      <w:b/>
      <w:kern w:val="44"/>
      <w:sz w:val="28"/>
      <w:szCs w:val="44"/>
    </w:rPr>
  </w:style>
  <w:style w:type="paragraph" w:styleId="3">
    <w:name w:val="heading 2"/>
    <w:basedOn w:val="1"/>
    <w:next w:val="1"/>
    <w:link w:val="22"/>
    <w:autoRedefine/>
    <w:semiHidden/>
    <w:unhideWhenUsed/>
    <w:qFormat/>
    <w:uiPriority w:val="0"/>
    <w:pPr>
      <w:keepNext/>
      <w:keepLines/>
      <w:tabs>
        <w:tab w:val="left" w:pos="1021"/>
      </w:tabs>
      <w:spacing w:line="360" w:lineRule="auto"/>
      <w:outlineLvl w:val="1"/>
    </w:pPr>
    <w:rPr>
      <w:rFonts w:ascii="Arial" w:hAnsi="Arial" w:eastAsia="宋体" w:cs="Times New Roman"/>
      <w:b/>
      <w:sz w:val="28"/>
      <w:szCs w:val="32"/>
    </w:rPr>
  </w:style>
  <w:style w:type="paragraph" w:styleId="4">
    <w:name w:val="heading 3"/>
    <w:basedOn w:val="1"/>
    <w:next w:val="1"/>
    <w:link w:val="23"/>
    <w:semiHidden/>
    <w:unhideWhenUsed/>
    <w:qFormat/>
    <w:uiPriority w:val="0"/>
    <w:pPr>
      <w:keepNext/>
      <w:keepLines/>
      <w:tabs>
        <w:tab w:val="left" w:pos="1021"/>
      </w:tabs>
      <w:adjustRightInd w:val="0"/>
      <w:snapToGrid w:val="0"/>
      <w:spacing w:line="240" w:lineRule="auto"/>
      <w:ind w:firstLine="0" w:firstLineChars="0"/>
      <w:outlineLvl w:val="2"/>
    </w:pPr>
    <w:rPr>
      <w:rFonts w:ascii="Times New Roman" w:hAnsi="Times New Roman" w:eastAsia="宋体" w:cs="Times New Roman"/>
      <w:b/>
      <w:sz w:val="28"/>
      <w:szCs w:val="21"/>
    </w:rPr>
  </w:style>
  <w:style w:type="paragraph" w:styleId="5">
    <w:name w:val="heading 4"/>
    <w:basedOn w:val="1"/>
    <w:next w:val="1"/>
    <w:autoRedefine/>
    <w:semiHidden/>
    <w:unhideWhenUsed/>
    <w:qFormat/>
    <w:uiPriority w:val="0"/>
    <w:pPr>
      <w:keepNext/>
      <w:keepLines/>
      <w:tabs>
        <w:tab w:val="left" w:pos="1021"/>
      </w:tabs>
      <w:spacing w:beforeLines="0" w:beforeAutospacing="0" w:afterLines="0" w:afterAutospacing="0" w:line="360" w:lineRule="auto"/>
      <w:ind w:firstLine="602" w:firstLineChars="200"/>
      <w:outlineLvl w:val="3"/>
    </w:pPr>
    <w:rPr>
      <w:rFonts w:ascii="Times New Roman" w:hAnsi="Times New Roman" w:eastAsia="宋体" w:cs="Times New Roman"/>
      <w:b/>
      <w:sz w:val="24"/>
      <w:szCs w:val="24"/>
    </w:rPr>
  </w:style>
  <w:style w:type="character" w:default="1" w:styleId="20">
    <w:name w:val="Default Paragraph Font"/>
    <w:autoRedefine/>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customStyle="1" w:styleId="8">
    <w:name w:val="Date1"/>
    <w:next w:val="1"/>
    <w:qFormat/>
    <w:uiPriority w:val="0"/>
    <w:pPr>
      <w:widowControl w:val="0"/>
      <w:adjustRightInd w:val="0"/>
      <w:jc w:val="left"/>
      <w:textAlignment w:val="baseline"/>
    </w:pPr>
    <w:rPr>
      <w:rFonts w:ascii="宋体" w:hAnsi="宋体" w:eastAsia="宋体" w:cs="Times New Roman"/>
      <w:kern w:val="2"/>
      <w:sz w:val="28"/>
      <w:szCs w:val="20"/>
      <w:lang w:val="en-US" w:eastAsia="zh-CN" w:bidi="ar-SA"/>
    </w:rPr>
  </w:style>
  <w:style w:type="paragraph" w:styleId="9">
    <w:name w:val="Body Text Indent"/>
    <w:basedOn w:val="1"/>
    <w:next w:val="10"/>
    <w:qFormat/>
    <w:uiPriority w:val="0"/>
    <w:pPr>
      <w:spacing w:after="120"/>
      <w:ind w:left="420" w:leftChars="200"/>
    </w:pPr>
    <w:rPr>
      <w:kern w:val="0"/>
      <w:sz w:val="24"/>
      <w:szCs w:val="20"/>
    </w:rPr>
  </w:style>
  <w:style w:type="paragraph" w:styleId="10">
    <w:name w:val="toc 3"/>
    <w:basedOn w:val="1"/>
    <w:next w:val="1"/>
    <w:qFormat/>
    <w:uiPriority w:val="0"/>
    <w:pPr>
      <w:ind w:left="840" w:leftChars="400"/>
    </w:pPr>
  </w:style>
  <w:style w:type="paragraph" w:styleId="11">
    <w:name w:val="Plain Text"/>
    <w:basedOn w:val="1"/>
    <w:next w:val="1"/>
    <w:qFormat/>
    <w:uiPriority w:val="0"/>
    <w:rPr>
      <w:rFonts w:ascii="宋体" w:hAnsi="Courier New"/>
      <w:szCs w:val="21"/>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2"/>
    <w:basedOn w:val="9"/>
    <w:next w:val="1"/>
    <w:qFormat/>
    <w:uiPriority w:val="0"/>
    <w:pPr>
      <w:ind w:firstLine="210" w:firstLineChars="200"/>
    </w:pPr>
    <w:rPr>
      <w:kern w:val="2"/>
      <w:sz w:val="21"/>
      <w:szCs w:val="24"/>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customStyle="1" w:styleId="22">
    <w:name w:val="标题 2 Char"/>
    <w:link w:val="3"/>
    <w:qFormat/>
    <w:uiPriority w:val="0"/>
    <w:rPr>
      <w:rFonts w:ascii="Arial" w:hAnsi="Arial" w:eastAsia="宋体" w:cs="Times New Roman"/>
      <w:b/>
      <w:color w:val="auto"/>
      <w:sz w:val="30"/>
      <w:szCs w:val="28"/>
      <w:lang w:eastAsia="en-US"/>
    </w:rPr>
  </w:style>
  <w:style w:type="character" w:customStyle="1" w:styleId="23">
    <w:name w:val="标题 3 Char"/>
    <w:link w:val="4"/>
    <w:qFormat/>
    <w:uiPriority w:val="0"/>
    <w:rPr>
      <w:rFonts w:ascii="Times New Roman" w:hAnsi="Times New Roman" w:eastAsia="宋体" w:cs="Times New Roman"/>
      <w:b/>
      <w:color w:val="auto"/>
      <w:sz w:val="28"/>
      <w:szCs w:val="21"/>
      <w:lang w:eastAsia="en-US"/>
    </w:rPr>
  </w:style>
  <w:style w:type="character" w:customStyle="1" w:styleId="24">
    <w:name w:val="标题 1 Char"/>
    <w:link w:val="2"/>
    <w:autoRedefine/>
    <w:qFormat/>
    <w:uiPriority w:val="0"/>
    <w:rPr>
      <w:rFonts w:ascii="Calibri" w:hAnsi="Calibri" w:eastAsia="宋体" w:cs="Times New Roman"/>
      <w:b/>
      <w:kern w:val="44"/>
      <w:sz w:val="28"/>
    </w:rPr>
  </w:style>
  <w:style w:type="paragraph" w:customStyle="1" w:styleId="25">
    <w:name w:val="报告正文"/>
    <w:basedOn w:val="1"/>
    <w:link w:val="35"/>
    <w:autoRedefine/>
    <w:qFormat/>
    <w:uiPriority w:val="0"/>
    <w:pPr>
      <w:tabs>
        <w:tab w:val="left" w:pos="1021"/>
      </w:tabs>
      <w:wordWrap w:val="0"/>
      <w:topLinePunct/>
      <w:adjustRightInd/>
      <w:snapToGrid/>
      <w:spacing w:line="360" w:lineRule="auto"/>
      <w:ind w:firstLine="200" w:firstLineChars="200"/>
    </w:pPr>
    <w:rPr>
      <w:rFonts w:ascii="Times New Roman" w:hAnsi="Times New Roman" w:eastAsia="宋体" w:cs="Times New Roman"/>
      <w:kern w:val="0"/>
      <w:sz w:val="24"/>
      <w:szCs w:val="24"/>
    </w:rPr>
  </w:style>
  <w:style w:type="paragraph" w:customStyle="1" w:styleId="26">
    <w:name w:val="样式1"/>
    <w:basedOn w:val="1"/>
    <w:autoRedefine/>
    <w:qFormat/>
    <w:uiPriority w:val="0"/>
    <w:pPr>
      <w:pBdr>
        <w:top w:val="single" w:color="auto" w:sz="12" w:space="1"/>
        <w:left w:val="single" w:color="auto" w:sz="12" w:space="4"/>
        <w:bottom w:val="single" w:color="auto" w:sz="12" w:space="1"/>
        <w:right w:val="single" w:color="auto" w:sz="12" w:space="4"/>
      </w:pBdr>
      <w:tabs>
        <w:tab w:val="left" w:pos="1021"/>
      </w:tabs>
      <w:jc w:val="center"/>
    </w:pPr>
    <w:rPr>
      <w:rFonts w:hint="eastAsia" w:ascii="Times New Roman" w:hAnsi="Times New Roman" w:eastAsia="Times New Roman" w:cs="Times New Roman"/>
      <w:color w:val="000000"/>
      <w:sz w:val="21"/>
      <w:szCs w:val="21"/>
      <w:shd w:val="clear" w:color="auto" w:fill="auto"/>
      <w:lang w:eastAsia="zh-CN" w:bidi="en-US"/>
    </w:rPr>
  </w:style>
  <w:style w:type="paragraph" w:customStyle="1" w:styleId="27">
    <w:name w:val="表的正文"/>
    <w:basedOn w:val="1"/>
    <w:link w:val="52"/>
    <w:autoRedefine/>
    <w:qFormat/>
    <w:uiPriority w:val="0"/>
    <w:pPr>
      <w:pBdr>
        <w:top w:val="none" w:color="auto" w:sz="0" w:space="1"/>
        <w:left w:val="none" w:color="auto" w:sz="0" w:space="4"/>
        <w:bottom w:val="none" w:color="auto" w:sz="0" w:space="1"/>
        <w:right w:val="none" w:color="auto" w:sz="0" w:space="4"/>
      </w:pBdr>
      <w:tabs>
        <w:tab w:val="left" w:pos="1021"/>
      </w:tabs>
      <w:spacing w:line="240" w:lineRule="auto"/>
      <w:jc w:val="center"/>
    </w:pPr>
    <w:rPr>
      <w:rFonts w:hint="eastAsia" w:ascii="Times New Roman" w:hAnsi="Times New Roman" w:eastAsia="Times New Roman" w:cs="Arial"/>
      <w:snapToGrid w:val="0"/>
      <w:color w:val="000000"/>
      <w:kern w:val="0"/>
      <w:sz w:val="21"/>
      <w:szCs w:val="21"/>
      <w:shd w:val="clear" w:color="auto" w:fill="auto"/>
      <w:lang w:bidi="en-US"/>
    </w:rPr>
  </w:style>
  <w:style w:type="character" w:customStyle="1" w:styleId="28">
    <w:name w:val="报告正文 Char"/>
    <w:link w:val="25"/>
    <w:autoRedefine/>
    <w:qFormat/>
    <w:uiPriority w:val="0"/>
    <w:rPr>
      <w:rFonts w:hint="eastAsia" w:ascii="Times New Roman" w:hAnsi="Times New Roman" w:eastAsia="宋体" w:cs="Times New Roman"/>
      <w:color w:val="000000"/>
      <w:sz w:val="24"/>
      <w:szCs w:val="24"/>
      <w:shd w:val="clear" w:color="auto" w:fill="auto"/>
      <w:lang w:eastAsia="zh-CN" w:bidi="en-US"/>
    </w:rPr>
  </w:style>
  <w:style w:type="character" w:customStyle="1" w:styleId="29">
    <w:name w:val="表的正文 Char"/>
    <w:link w:val="27"/>
    <w:autoRedefine/>
    <w:qFormat/>
    <w:uiPriority w:val="0"/>
    <w:rPr>
      <w:rFonts w:hint="eastAsia" w:ascii="Times New Roman" w:hAnsi="Times New Roman" w:eastAsia="Times New Roman" w:cs="Arial"/>
      <w:snapToGrid w:val="0"/>
      <w:color w:val="000000"/>
      <w:kern w:val="0"/>
      <w:sz w:val="21"/>
      <w:szCs w:val="21"/>
      <w:shd w:val="clear" w:color="auto" w:fill="auto"/>
      <w:lang w:eastAsia="zh-CN" w:bidi="en-US"/>
    </w:rPr>
  </w:style>
  <w:style w:type="paragraph" w:customStyle="1" w:styleId="30">
    <w:name w:val="表格内容"/>
    <w:basedOn w:val="31"/>
    <w:next w:val="1"/>
    <w:link w:val="32"/>
    <w:autoRedefine/>
    <w:qFormat/>
    <w:uiPriority w:val="0"/>
    <w:pPr>
      <w:tabs>
        <w:tab w:val="left" w:pos="1021"/>
      </w:tabs>
      <w:spacing w:line="240" w:lineRule="auto"/>
      <w:ind w:firstLine="0" w:firstLineChars="0"/>
    </w:pPr>
    <w:rPr>
      <w:rFonts w:ascii="Times New Roman" w:hAnsi="Times New Roman" w:eastAsia="宋体" w:cs="Times New Roman"/>
      <w:kern w:val="0"/>
      <w:sz w:val="21"/>
    </w:rPr>
  </w:style>
  <w:style w:type="paragraph" w:customStyle="1" w:styleId="31">
    <w:name w:val="填表内容"/>
    <w:basedOn w:val="1"/>
    <w:autoRedefine/>
    <w:qFormat/>
    <w:uiPriority w:val="0"/>
    <w:pPr>
      <w:adjustRightInd w:val="0"/>
      <w:spacing w:line="240" w:lineRule="auto"/>
      <w:ind w:firstLine="0" w:firstLineChars="0"/>
      <w:jc w:val="left"/>
      <w:textAlignment w:val="baseline"/>
    </w:pPr>
    <w:rPr>
      <w:rFonts w:ascii="楷体_GB2312" w:hAnsi="楷体_GB2312" w:eastAsia="宋体"/>
      <w:sz w:val="21"/>
      <w:szCs w:val="20"/>
    </w:rPr>
  </w:style>
  <w:style w:type="character" w:customStyle="1" w:styleId="32">
    <w:name w:val="表格内容 Char"/>
    <w:link w:val="30"/>
    <w:qFormat/>
    <w:uiPriority w:val="0"/>
    <w:rPr>
      <w:rFonts w:ascii="Times New Roman" w:hAnsi="Times New Roman" w:eastAsia="宋体" w:cs="Times New Roman"/>
      <w:kern w:val="0"/>
      <w:sz w:val="21"/>
      <w:vertAlign w:val="superscript"/>
    </w:rPr>
  </w:style>
  <w:style w:type="paragraph" w:customStyle="1" w:styleId="33">
    <w:name w:val="表格表头"/>
    <w:basedOn w:val="1"/>
    <w:autoRedefine/>
    <w:unhideWhenUsed/>
    <w:qFormat/>
    <w:uiPriority w:val="0"/>
    <w:pPr>
      <w:adjustRightInd w:val="0"/>
      <w:snapToGrid w:val="0"/>
      <w:spacing w:beforeLines="0" w:afterLines="0" w:line="240" w:lineRule="auto"/>
      <w:ind w:firstLine="0" w:firstLineChars="0"/>
      <w:jc w:val="center"/>
    </w:pPr>
    <w:rPr>
      <w:rFonts w:hint="eastAsia"/>
      <w:b/>
      <w:kern w:val="0"/>
      <w:sz w:val="21"/>
      <w:szCs w:val="20"/>
    </w:rPr>
  </w:style>
  <w:style w:type="paragraph" w:customStyle="1" w:styleId="34">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报告正文 Char1"/>
    <w:link w:val="25"/>
    <w:autoRedefine/>
    <w:qFormat/>
    <w:uiPriority w:val="0"/>
    <w:rPr>
      <w:rFonts w:hint="eastAsia" w:ascii="Times New Roman" w:hAnsi="Times New Roman" w:eastAsia="宋体" w:cs="Times New Roman"/>
      <w:color w:val="000000"/>
      <w:sz w:val="24"/>
      <w:szCs w:val="24"/>
      <w:shd w:val="clear" w:color="auto" w:fill="auto"/>
      <w:lang w:bidi="en-US"/>
    </w:rPr>
  </w:style>
  <w:style w:type="paragraph" w:customStyle="1" w:styleId="36">
    <w:name w:val="四级条标题"/>
    <w:basedOn w:val="37"/>
    <w:next w:val="41"/>
    <w:autoRedefine/>
    <w:qFormat/>
    <w:uiPriority w:val="0"/>
    <w:pPr>
      <w:tabs>
        <w:tab w:val="left" w:pos="1260"/>
      </w:tabs>
      <w:outlineLvl w:val="5"/>
    </w:pPr>
    <w:rPr>
      <w:szCs w:val="20"/>
    </w:rPr>
  </w:style>
  <w:style w:type="paragraph" w:customStyle="1" w:styleId="37">
    <w:name w:val="三级条标题"/>
    <w:basedOn w:val="38"/>
    <w:next w:val="41"/>
    <w:autoRedefine/>
    <w:qFormat/>
    <w:uiPriority w:val="0"/>
    <w:pPr>
      <w:numPr>
        <w:ilvl w:val="0"/>
        <w:numId w:val="0"/>
      </w:numPr>
      <w:tabs>
        <w:tab w:val="left" w:pos="1260"/>
      </w:tabs>
      <w:outlineLvl w:val="4"/>
    </w:pPr>
  </w:style>
  <w:style w:type="paragraph" w:customStyle="1" w:styleId="38">
    <w:name w:val="二级条标题"/>
    <w:basedOn w:val="39"/>
    <w:next w:val="41"/>
    <w:autoRedefine/>
    <w:qFormat/>
    <w:uiPriority w:val="0"/>
    <w:pPr>
      <w:numPr>
        <w:ilvl w:val="3"/>
      </w:numPr>
      <w:tabs>
        <w:tab w:val="left" w:pos="1260"/>
      </w:tabs>
      <w:outlineLvl w:val="3"/>
    </w:pPr>
  </w:style>
  <w:style w:type="paragraph" w:customStyle="1" w:styleId="39">
    <w:name w:val="一级条标题"/>
    <w:basedOn w:val="40"/>
    <w:next w:val="41"/>
    <w:autoRedefine/>
    <w:qFormat/>
    <w:uiPriority w:val="0"/>
    <w:pPr>
      <w:numPr>
        <w:ilvl w:val="2"/>
        <w:numId w:val="1"/>
      </w:numPr>
      <w:spacing w:beforeLines="0" w:afterLines="0"/>
      <w:outlineLvl w:val="2"/>
    </w:pPr>
  </w:style>
  <w:style w:type="paragraph" w:customStyle="1" w:styleId="40">
    <w:name w:val="章标题"/>
    <w:next w:val="41"/>
    <w:autoRedefine/>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41">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2">
    <w:name w:val="Table Text"/>
    <w:basedOn w:val="1"/>
    <w:autoRedefine/>
    <w:semiHidden/>
    <w:qFormat/>
    <w:uiPriority w:val="0"/>
    <w:rPr>
      <w:rFonts w:ascii="宋体" w:hAnsi="宋体" w:eastAsia="宋体" w:cs="宋体"/>
      <w:sz w:val="20"/>
      <w:szCs w:val="20"/>
      <w:lang w:val="en-US" w:eastAsia="en-US" w:bidi="ar-SA"/>
    </w:rPr>
  </w:style>
  <w:style w:type="paragraph" w:customStyle="1" w:styleId="43">
    <w:name w:val="加粗"/>
    <w:basedOn w:val="44"/>
    <w:next w:val="1"/>
    <w:autoRedefine/>
    <w:qFormat/>
    <w:uiPriority w:val="0"/>
    <w:pPr>
      <w:ind w:firstLine="480" w:firstLineChars="200"/>
    </w:pPr>
  </w:style>
  <w:style w:type="paragraph" w:customStyle="1" w:styleId="44">
    <w:name w:val="加粗顶头"/>
    <w:next w:val="1"/>
    <w:autoRedefine/>
    <w:qFormat/>
    <w:uiPriority w:val="0"/>
    <w:pPr>
      <w:adjustRightInd w:val="0"/>
      <w:snapToGrid w:val="0"/>
      <w:spacing w:line="360" w:lineRule="auto"/>
      <w:ind w:firstLine="0" w:firstLineChars="0"/>
    </w:pPr>
    <w:rPr>
      <w:rFonts w:ascii="Calibri" w:hAnsi="Calibri" w:eastAsia="宋体" w:cs="Times New Roman"/>
      <w:b/>
      <w:sz w:val="24"/>
    </w:rPr>
  </w:style>
  <w:style w:type="table" w:customStyle="1" w:styleId="45">
    <w:name w:val="Table Normal"/>
    <w:autoRedefine/>
    <w:unhideWhenUsed/>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46">
    <w:name w:val="A正文1"/>
    <w:basedOn w:val="1"/>
    <w:autoRedefine/>
    <w:qFormat/>
    <w:uiPriority w:val="0"/>
    <w:pPr>
      <w:spacing w:line="360" w:lineRule="auto"/>
      <w:ind w:firstLine="200" w:firstLineChars="200"/>
    </w:pPr>
    <w:rPr>
      <w:sz w:val="24"/>
      <w:szCs w:val="28"/>
    </w:rPr>
  </w:style>
  <w:style w:type="paragraph" w:customStyle="1" w:styleId="47">
    <w:name w:val="表字体"/>
    <w:next w:val="1"/>
    <w:autoRedefine/>
    <w:unhideWhenUsed/>
    <w:qFormat/>
    <w:uiPriority w:val="0"/>
    <w:pPr>
      <w:jc w:val="center"/>
    </w:pPr>
    <w:rPr>
      <w:rFonts w:ascii="Times New Roman" w:hAnsi="Times New Roman" w:eastAsia="宋体" w:cs="Times New Roman"/>
      <w:sz w:val="21"/>
      <w:lang w:bidi="ar-SA"/>
    </w:rPr>
  </w:style>
  <w:style w:type="paragraph" w:customStyle="1" w:styleId="48">
    <w:name w:val="报告书正文"/>
    <w:basedOn w:val="1"/>
    <w:autoRedefine/>
    <w:qFormat/>
    <w:uiPriority w:val="0"/>
    <w:pPr>
      <w:spacing w:line="300" w:lineRule="auto"/>
      <w:ind w:firstLine="200" w:firstLineChars="200"/>
    </w:pPr>
    <w:rPr>
      <w:sz w:val="24"/>
      <w:szCs w:val="20"/>
    </w:rPr>
  </w:style>
  <w:style w:type="paragraph" w:customStyle="1" w:styleId="49">
    <w:name w:val="Default"/>
    <w:basedOn w:val="50"/>
    <w:next w:val="17"/>
    <w:autoRedefine/>
    <w:qFormat/>
    <w:uiPriority w:val="0"/>
    <w:pPr>
      <w:autoSpaceDE w:val="0"/>
      <w:autoSpaceDN w:val="0"/>
      <w:adjustRightInd w:val="0"/>
    </w:pPr>
    <w:rPr>
      <w:rFonts w:ascii="宋体"/>
      <w:color w:val="000000"/>
      <w:sz w:val="24"/>
    </w:rPr>
  </w:style>
  <w:style w:type="paragraph" w:customStyle="1" w:styleId="50">
    <w:name w:val="纯文本1"/>
    <w:basedOn w:val="1"/>
    <w:autoRedefine/>
    <w:qFormat/>
    <w:uiPriority w:val="0"/>
    <w:rPr>
      <w:rFonts w:ascii="宋体" w:hAnsi="Courier New"/>
    </w:rPr>
  </w:style>
  <w:style w:type="paragraph" w:customStyle="1" w:styleId="51">
    <w:name w:val="List Paragraph"/>
    <w:basedOn w:val="1"/>
    <w:autoRedefine/>
    <w:qFormat/>
    <w:uiPriority w:val="1"/>
    <w:pPr>
      <w:ind w:left="277"/>
    </w:pPr>
    <w:rPr>
      <w:rFonts w:ascii="宋体" w:hAnsi="宋体" w:cs="宋体"/>
      <w:lang w:val="zh-CN" w:bidi="zh-CN"/>
    </w:rPr>
  </w:style>
  <w:style w:type="character" w:customStyle="1" w:styleId="52">
    <w:name w:val="表的正文 Char1"/>
    <w:link w:val="27"/>
    <w:autoRedefine/>
    <w:qFormat/>
    <w:uiPriority w:val="0"/>
    <w:rPr>
      <w:rFonts w:hint="eastAsia" w:ascii="Times New Roman" w:hAnsi="Times New Roman" w:eastAsia="Times New Roman" w:cs="Arial"/>
      <w:snapToGrid w:val="0"/>
      <w:color w:val="000000"/>
      <w:kern w:val="0"/>
      <w:sz w:val="21"/>
      <w:szCs w:val="21"/>
      <w:shd w:val="clear" w:color="auto" w:fill="auto"/>
      <w:lang w:eastAsia="zh-CN" w:bidi="en-US"/>
    </w:rPr>
  </w:style>
  <w:style w:type="paragraph" w:customStyle="1" w:styleId="53">
    <w:name w:val="正文_11"/>
    <w:autoRedefine/>
    <w:qFormat/>
    <w:uiPriority w:val="0"/>
    <w:pPr>
      <w:widowControl w:val="0"/>
      <w:jc w:val="both"/>
    </w:pPr>
    <w:rPr>
      <w:rFonts w:ascii="Calibri" w:hAnsi="Calibri" w:eastAsia="宋体" w:cs="Times New Roman"/>
      <w:kern w:val="2"/>
      <w:sz w:val="21"/>
      <w:lang w:val="en-US" w:eastAsia="zh-CN" w:bidi="ar-SA"/>
    </w:rPr>
  </w:style>
  <w:style w:type="paragraph" w:customStyle="1" w:styleId="54">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cyMjA4NTM4NDQ3IiwKCSJHcm91cElkIiA6ICIyNzIzNzE5MzMiLAoJIkltYWdlIiA6ICJpVkJPUncwS0dnb0FBQUFOU1VoRVVnQUFCVXdBQUFNbkNBWUFBQURsR3hodEFBQUFBWE5TUjBJQXJzNGM2UUFBSUFCSlJFRlVlSnpzM1h0OFhGVzkvLy8zWjgva1Z0SlNTc3UxUXNSQVMyblQyVHR5a1FPbElBb0hVVlNxNGdXQkt2b1Y5WWdjanNDUmkxY0VRVVRFZzZBSWNwRUtjdFRmS1lnY0VBcElFY3pzU1pzR0tCVXFsR3NMTGIzbU1yTS92eit5MDVPbVNacTBhVlBDNi9sNDlERXphNjI5OW1kTkgxbkpmR2J0dFNV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cks1WEwvRW9iaGU3WlMzeDhMdy9EeXJkRTNBQUFBQUF3MzJhRU9BQUFBU0daMnJabTFTSHAzMS9Jb2lyNllKTWs3K25IOHEzRWMvN1NudWlBSS9rWFNaeVNkdmFsK0RqamdnREhsNWVXUnBQbzBsbnBKQjhkeHZIU0FROW9pVVJSOTFOMi9LaWtuS1d0bUN5UmRuYy9uYnhsQU45a3dERTgzczg5SzJ0L2RLODFzY1pJa2YyeHZiNzkwd1lJRmIyeXFnNmxUcHg0VUJNRnYzZjM3aFVMaGwxczJLZ0FBQUFCdkJTUk1BUURZdnAxbVpnZEtXdGRIbXlwSlQwcnFNV0hhazZsVHArNW5adjlxWnU4d3MzZTQrenNrN1dWbWUzWnJ1alpKa2dNa1BiajVReGlZTUF3dmtYU09tVW5TbSs0dVNRZExPamlLb3JwOFB2K05UZlZSWDErL283dlBsblJZV3JReWZad1FCTUUzS2lvcVRxcXZyeis4b2FIaCtaNk9ueng1OHE3bDVlVVh1UHVYekN4SVl3QUFBQUR3TmtEQ0ZBQ0E3ZC84T0k1enZWV0dZZmlJcE5HZHJ3ODQ0SUF4WldWbE03czBpU1JWNVhLNTlTdE0zZjE1TXp0RzBtdVMvbWxtN1pMZTQrNlh1UHRzZDErYXpXWmZiV2hvZUhOckRxeUhzWHpJek02UjFDTHAxSHcrLzl0MHBlaS9tOWtsa3Y0akRNTzc0amllMDFjL3BWSXBESUxnTUhlL0tVbVNIelkyTmk2UWxBbkQ4RWhKdnpTenZkMzlGNUtPNlhwY1hWMWRsTWxrdnBDdVNxMUtrN1lBQUFBQTNrWkltQUlBaHEyYW1wcks2dXJxZHpZMU5UMHRLUm5xZUxxcnE2dWJiR2FkaWM0UmtySlRwMDQ5VEpLeTJleXlob2FHcHphbjMydzJPOWJNdnRXbHFGeFNXZGV5SUFobTVQUDU0enBmaDJFNHc4dytMYW1oVUNqOGRRdUd0YVcrbzQ2RTdyZmpPUDV0V2xhTTQvalNLSW9Pa2ZSaE16dGJVcDhKVTBudDd2NnBPSTV2NjFKV2l1UDR2aWlLVHBiMGtLVDNUNTQ4ZWRlbXBxWlhPeHRrTXBuL05MTVRKYlVuU2ZKOU0vc1hNNXUrVlVZS0FBQUFZTHRFd2hRQU1HeU5HalZxYkRhYm5SdUc0U0ozdnlVSWd0bEpraXdyRkFxckpKV0dPcjVNSm5PbG1iMjNXOW5Ea3BRa3laMlNacVRGNWJsY3JxYVByaXE2dm1oc2JGd29xYnJ6ZFJSRlYwcjZUQnpIWXdkNUNJT3FycTV1Z3BsTmRmZTJZckY0YlE5TnJwWDBZVW52cmFtcHFWeThlSEZMYjMybFNkOGVFNy81ZlA2UktJcFdTUnBaWGw3K1RrbXZkcWxlN3U3WG10bmxoVUpoVVJpRzl3M0s0QUFBQUFDOFpaQXdCUUFNZDRHWjFVdUszUDBpTXl1RVlmZzNkMzhzazhuOHJhR2g0ZVdoQ2l4Smt2OElnbURuOU9VdkpMVkorcklrRll2RjlVazhNOXZmeko3cnF5OTNYOUQxZFUxTlRlV0lFU002ZjgrWFNkS2tTWk9xSmFtcXFpcHBhR2hZdTZuNEprMmFWSjNKWkhZcEx5OWYyZERRc0t5bk5sRVVIZVB1SHphenEvTDUvSlA5R0hhdnN0bnNkSFdNTjU0L2YvN3k3dlV0TFMyUFZGUlVKR1pXTlhyMDZDbVNudGpNVTdtN1crY2VxVjByNGpnK2ZUUDdCQUFBQURCTWtEQUZBQXhybllteE5EczJXdEowZDU5bVppdmNmV2tZaG8rNys4MXRiVzF6bXB1YjI3WmxiSTJOalhIbjh6QU0xNWhaU3o2ZjMyaEZvN3YvVTlLNXZmWFQ3Zko3U2RKT08rMDB5OHhPNkZwV1dWbTVTaDJKMmhmcjZ1b095V2F6QjdyN2JtYTJxN3NmblBaMVNSaUdQelN6WGROdEF1VHVaMG42Y1MrbnY5M01Sa25hVDlKN2UyblRYeFBUeCthZUtwdWJtMWVIWWZpU3BQRm1WcnU1Q2RNcFU2Wk1NYk5xU2UxbTlzOHRpaGdBQUFEQXNFUENGQUF3ckptWnF5UHAxN1U0a0RSRzBoZ3ptMkJtSjFkVVZMd1lodUZ2M1gxV1MwdkxzMEVRck5yV0NkU2VGSXZGR1VtU1dGTlQwd3U5dFltaTZPK2xVaW5UcmZqSGtuNlhQditNdS8rTG1YMUpIZS9KbW13Mit3RkpQemV6enVXVzY5SzJheVV0U0pMazVTQUlYbmIzVjRJZ2VMU1BFT2RLT3NiZCsyclRMKzcrRGpOVGtpUXY5ZEhzbFRSaHVuTWZiZnFVeldhL2xaN3Z6bncrdjhtVnRnQUFBQURlWGtpWUFnQTJhZkxreWUvSVpESjdGNHZGNWdVTEZyelJXVDVod29ROXFxcXE5dXRuTnl2YTJ0cWF1eVloRHpqZ2dOcXlzckx4L1R6K3hVS2g4RXlYMTlsY0xqZTU2OTNoZXpDdTYrKzZ6anVlZDAyZWRubStwNW1kWldabmpCZ3g0a2xKVCtSeXVYbWxVdW1oK2ZQbk4wbnlqWHJmeW5LNTNLY2tUUXFDUUxsY3J0ZDJTWklvQ0FLRllkZ1V4L0VzZFZ4YXZ2Nm1TRkVVdmR2TTNwM1A1Mi9wTEpzMGFkSnVGUlVWRGFWUzZaV3lzckpYa3lRNXdjenVjUGZ2eEhIOHU5N08xVjArbno5dTh1VEo0N3JlT0drTDdLQ09HMUwxbXNUc1RPeTYrdzZiYzRJd0RDODJzNDlLYXBIMDNTMklGUUFBQU1Bd1JjSVVBTkNudXJxNjhabE01aVl6MjEzU2x5UTkwRmszWXNTSW84M3MwdjcwNCs2UFZsUlUvRDlKU3p2THlzdkxQMnRtL2RvejB0MS8zZld5OU5yYTJoRm1kb0daSGRySE1ZRzdWM1FtU2p0MWY5Mmx2U1JWbWxubzdya2dDRnJON05WY0x2ZTBwTnRXckZqeGg4V0xGNi9vVDd5YmE4cVVLZnRrTXBsamd5QjQzdDAvYm1ZbnVQdWFUUjFuWmp1NCs1MlNaa1ZSZEVpU0pJZDFxWTRrVmVWeXViTTdDNElnK0ZzK24zKzQ4M1VZaHBzYmNqSkl5VktaV1huNnROaGJHM2N2cFZzc0pBUHB1NzYrZm9TN1g1dXV0bTF6OTVNS2hVS1BsLzREQUFBQWVIc2pZUW9BMkpUeFpqYlIzU3N6bWN3R2QyTlBraVFUQkVGbGZ6b3hzL0ppc2RnOVU1bDE5MzRkMzNuam9pN25Oak1yNyt0NE16TjM3ems3Mm9jdXEwNno2VjZYdTBrYXVjTU9Pd1FEN1d0VEprMmF0RnRaV2RrMFNlUGNmVnhaV2RrLzBoaCtsRFo1dmR2ZDdiTzVYSzY2cmExdGJkZlZ1bEVVZFUza1RqT3pDNVcrQjUxN2tYYmQ2elR0LzJGdFg5YXFJN2ErL2srcjBqYXIrOXRwRkVYN0owbHloNWtkNE81TGt5VDVSR05qNHdQOU9CUUFBQURBMnhBSlV3REFabXRwYWZselZWWFZSL3JUMXQxWEZJdkZEVlpudHJXMS9hcXNyT3plZnA3dXhhNHZubjMyMlRXNVhPNkN2aTdKZC9keFpuWmpaOEt3UzduVXcwclQ5SFhSM1JlNSs5K1RKSW5kL2EvejVzMXI2R3ZWNCtZS3cvQlJNM3RQbDZLVjd2NExNN3U3dGJYMWtZcUtpdHU3SHhORjBYc2wzVk5aV2ZsVlNWZjMxRzgrbi8raHBCK203VDhoYVZZUGlkY05KRWtTWkRJWlNab1lSZEZIM1gxUFNYdWsvL1kwczN2VGZyY2FkMStlL2grTTY2UE5ybW1iRjN0cjAxVVVSY2RJdXNQTVJycjdnMG1TZktheHNiRmZ4d0lBQUFCNGV5SmhDZ0RZYkU4Ly9mUkxrdnE2UVUrZkZpeFlzRWpTb3MwOHZGZ29GQXA5TlVpM0UxaC82WGEzR3o5SkcrNXJ1dHpkWjd2N2I1TWthVzV0YlYzMjlOTlByOXJNMlBvcmNmZjd6V3kydTMvTnpGNlA0M2o5WmZNOVhTYWZKRWxsRUFSeTkzVWJWZmJBM1QvYk9jWXBVNmJzTkgvKy9PWDE5ZlZqa3lTNXZFdENkSGN6RzZPTzkrTzcydkI5YVpYMFVwSWszVzhxdFRVc1RNL2Q0NzY0TlRVMWxXWTJQbzNyeVUxMUZrWFJVZTcrLzBrcWMvZnZGd3FGQ3lVTjZGSitBQUFBQUc4L0pFd0JBTU5hMTcwdXV5UUJQYjM4ZTJXU0pQUGQvZnFsUzVmT2Z1bWxsN2JwSGRQak9ENUNVa2tkeWRIUDkrY1lNeHVyampFczIxVGJ1cnE2Q1pMK1ZkTGZKTldWbFpVdHlPVnlGN1czdC84eG04MSsydDFmU3hQZWYwMXZ1SFNVcEorNSsxMW05cUtadlpUUDV6ZDVua0gwV1BwNFNHMXRiY1dpUll0YXUxYU9HVFBtMEhRYmh5WGRiZ0Mya1lrVEorN3M3clBTclJ3K1h5Z1VmclZWSXdjQUFBQXdiSkF3QlFBTWQ2Yi9TNWF1bEZTUTlJU2t4OXo5aVVLaDhNOGhqSzAwMEFQTWJHTDYyR2ZDVUpLeTJleTVrcDVPeDdxdnBBZk43T2RtOW1ZK242L291dG95RE1NWlpuYVV1ejhZeC9HZnV2WlRYMTgvb3FHaFlhc25rMXRiV3grcXFLaDR3OHpHakJ3NTh0T1NOa2h5dXZ1WDBocyszYmFwdmthTUdQSFZkRi9ZbStNNEpsa0tBQUFBb044Ry9lWVZBQUJzWjl6ZDU3bjdoVzF0YmU5dGFXbjVSQkFFNThWeC9MczRqb2N5V2JvNUFra2ZVY2VnRHVxcllTNlh5N243WjkzOUorcElzUHFxVmF0T2svUklFQVEzVDUwNjllaitualJKa3A5R1VYVFBoQWtUUnZad251UENNUHpGMUtsVEQ5aThJZjJmNXVibU5uZS9QSDM1b3pBTU8yUE01SEs1czgxc2hxUTNpOFhpNVYwT0M4SXd2QzJLb2tXNVhPN1FMdVhIcEk5M2IybGNBQUFBQU41ZVdHRUtBQmkyM25qampkZDMzbm5uUXhzYkc1OThLKzVkNmU2M1NucW84M1VVUmY4bTZWMlMyb01ndUNHS29rOFdpOFgvTjIvZXZPZmMvVHgzZno1dEdwalpmNW5aYTIrODhjYU5ZOGFNdVVTU0ZpMWExRnBYVi9leFRDYlRFQVRCa1pMNmRjT3RkTi9ROTFaWFY3ZDByd3VDWUpha2tabE1aaDlKNzkzU01SY0toY3ZDTUR6U3pONG42WC9ETUh6TnpDb2xqWkxVSXVta2VmUG12ZGJsUGRsSDBrbHBuRE1sUFpwVzdaMlczUlpGVWE4clV0MzlyM0VjSDdhbGNRTUFBQUFZUGxoaENnQVl0cFlzV2JLdXNiRnh3VnN4V2FxTzVPRWRjUnhmb1k1TDVtZEt1dHpkRjdoN2pidi9XdEw3czlsc1V4UkZaOFp4L1BOQ29YQ1hPbFo5ZnRYTTN1UHU1eTlldkhpREpPZThlZk5lUzVMa2tEaU96eHRBS0h0SSttZERRME43RDNXUHFpUHgrTWdXRHJkVE1ZN2o0OXo5M1BUR1RqdTZlNHVrMjR2RjRvSDVmUDZlcm8zeitmeGlkNy9mM2Q5dzk5OTJscnQ3MVNERkF3QUFBT0J0aGhXbUFBQnNIM2FRdExwNzRkU3BVdzhMZ3VDYlpuYXNwSCs0KzBjS2hjSkxrazdONVhKM21ObDFadmJqS0lvK1pHYW5OalEwUEI4RXdVcDNmelNPNHh0Nk9sRmpZK09MUFJTdlNSL0hkaTJzcjYvZk1VbVMvY3lzeDlXbytYeit1TW1USjQ5cmFtcDZkVFBIM1pOaUhNZVhTcnEwbjIwMzJsNGdqdU9kQmlPUW52b0dBQUFBTUx5Uk1BVUE5Q21UeVJRbHZTbXAxZDE3V21HSXpSU0c0UVdTOWpXemtaSnEzSDJ1T2xhSWZzck1qcFQwUGpQYjJ6dk1jdmN2RlFxRkZaM0hGd3FGdXc0NDRJQXA1ZVhsdDVqWnY3cjcvRnd1OTltVksxZmVPV3JVcUljSHNySTJDSUlGN2w2UzlKMHdESE5tVmxUSFNzMzNtRm01dS9lMkYyZ3l5TWxTQUFBQUFCaFNKRXdCQUgxYXRXclZ3dXJxNnBudUhoU0x4ZWFoam1lWUdXMW1KNnNqTWJuSXpDN3BVdjU1U2NzazNaQWt5WS9TclFVMnNtREJnamNrZlNBTXcvUE43R3RKa2p5MWFOR2lsWkpXRGlTUWhvYUc1OE13UEV2U2Y1clpGN3RVdmVudXY0emorTG90R1NnQUFBQUFBQUFBOUVlbWh5OHdNM1YxZFFjUGRLL3grdnI2SFFjM05BQUFBQUFBQUFBQUFBQUFBQUFBQUFBQUFBQUEzdTVzcUFNQUFHemY2dXJxZHNsa01zY21TWklwbFVyM05UVTF2VERVTVFFQUFBQUFzTFZ3MHljQXdLYnNZMmFYQmtGUW1jbGtQaW1KaENrQUFBQUFZTmdhME0wa0FBQUFBQUFBQUdBNEkyRUtBQUFBQUFBQUFDa1NwZ0FBQUFBQUFBQ1FJbUVLQUFBQUFBQUFBQ2tTcGdBQUFBQUFBQUNRSW1FS0FBQUFBQUFBQUNrU3BnQUFBQUFBQUFDUUltRUtBQUFBQUFBQUFDa1NwZ0FBQUFBQUFBQ1F5ZzUxQUFDQTdWc21rMW5wN28rYVdYbXBWSHBqcU9NQkFBQUFBR0Jyc3FFT0FBQ3czU3NMdzNCMHFWU3lZckc0b3JtNXVXMm9Bd0lBQUFBQUFBQUFBQUFBQUFBQUFBQUFBQUFBQUFBQUFBQUFBQUFBYkZQc1lRb0E2TlArKysrL2QyVmw1ZWNrWll2RjRrM3o1ODkvYXFoakFnQUFBQUJnYThrT2RRQUFnTzFiV1ZuWjdtWjJ1cnRYbHBXVlBTU0poQ2tBQUFBQVlOZ0toam9BQUFBQUFBQUFBTmhla0RBRkFBQUFBQUFBZ0JRSlV3QUFBQUFBQUFCSWtUQUZBQUFBQUFBQWdCUUpVd0FBQUFBQUFBQklrVEFGQUFBQUFBQUFnQlFKVXdBQUFBQUFBQUJJa1RBRkFBQUFBQUFBZ0JRSlV3QUFBQUFBQUFCSVpZYzZBQURBZHUvVkpFbHVrbFFtNmZtaERnWUFBQUFBQUFBQUFBQUFBQUFBQUFBQUFBQUFBQUFBQUFBQUFBQUFzTTFsaGpvQUFNQjJMMU5iV3p0eTlPalJsY3VYTHk5SlNvWTZJQUFBQUFBQXRoWVNwZ0NBUG9WaHVIOUZSY1ZQcXFxcVByYkxMcnM4OCtxcnI3NDQxREVCQUFBQUFMQzFaSWM2QUFEQTlxMVVLbzNLWnJPSHVudGxKcE1aTTlUeEFBQUFBQUN3TlFWREhRQUFBQUFBQUFBQWJDOUltQUlBQUFBQUFBQkFpb1FwQUFBQUFBQUFBS1JJbUFJQUFBQUFBQUJBaW9RcEFBQUFBQUFBQUtSSW1BSUFBQUFBQUFCQWlvUXBBQUFBQUFBQUFLUkltQUlBQUFBQUFBQkFpb1FwQUFBQUFBQUFBS1N5UXgwQUFHRDdWaXdXRndkQmNLR1paZGV0Vy9ma1VNY0RBQUFBQUFBQUFBQUFBQUFBQUFBQUFBQUFBQUFBQUFBQUFBQUFBTmptYktnREFBQnMzMnByYTBkVlYxZFBkdmVnV0N3MkwxaXc0STJoamdrQUFBQUFnSzBsR09vQUFBRGJ0eEVqUnRRR1FYQk5KcFA1WlRhYm5UclU4UUFBQUFBQXNEVmxoem9BQU1CMnIxelNMdTVlbWNsa0tvWTZHQUFBQUFBQXRpWldtQUlBQUFBQUFBQkFpb1FwQUFBQUFBQUFBS1JJbUFJQUFBQUFBQUJBaW9RcEFBQUFBQUFBQUtSSW1BSUFBQUFBQUFCQWlvUXBBQUFBQUFBQUFLUkltQUlBQUFBQUFBQkFpb1FwQUFBQUFBQUFBS1N5UXgwQUFHRDdsc2xraXBMZWxOVHE3dTFESFE4QUFBQUFBRnNUQ1ZNQVFKOVdyVnExc0xxNmVxYTdCOFZpc1htbzR3RUFBQUFBQUFBQUFBQUFBQUFBQUFBQUFBQUFBQUFBQUFBQUFBQUFiSE0yMUFFQUFMWnZkWFYxdTJReW1XT1RKTW1VU3FYN21wcWFYaGpxbUFBQUFBQUEyRnE0NlJNQVlGUDJNYk5MZ3lDb3pHUXluNVJFd2hRQUFBQUFNR3dGUXgwQUFBQUFBQUFBQUd3dldHRUtERS9aWEM1M1poQUVKMHVxbGJSTzBseEozOC9uODQ4TnRMUDYrdnF4U1pKOFRkSkh6YXhHVXNuZFg1RDAwemlPZjk2MWJSaUcwOHpzQys3K0w1TDJrTlJtWmsyU3Jzdm44emNNNmlnQjlHVlE1b0V3RE9lWTJiVGU2a3VsMHVHTmpZMlA5TlZITHBjN0pRaUMvNUkwTlovUEx4cm9RQUFBQUFCZ1d5SmhDZ3d6dGJXMUZTTkhqcnkzTThIaDdrdk5iTFNrNHlVZG04dmxaaFFLaFQvMnQ3OG9pZzV4OS84MnM5M1RvbVdTeXN4c2tyc2ZLNmxyd2pSalpuTWt5Y3pXdWZ0eVNidElPa1RTSVZFVVRjdm44NmNOOXBnQmJHZ3c1d0V6RzVQMjBkcExmZExic1ZFVTFibjc1V2IydnMwZkRRQUFBQUJzVzF5U0R3d3oxZFhWUHpDemFlNitPRW1TTUk3alhaSWsyY1hkZnljcGEyWTMxdGZYNzlpZnZ1cnI2OThsYWJhazNkMzlWKzVlazgvbngrWHorZEZ0YlcyN1NicWkyeUVtNlRGM1B6cWZ6NCtNNDNpMzF0YldVVW1TL0RDdFB6V1h5eDAzK0tNRzBOVmd6Z1B1UGthU1ZxMWF0VXNjeDVYZC94VUtoVWU3SDVQTDVVNklvdWgvM0wxQXNoUUFBQURBV3cwSlUyQVltVHg1OHE1bWRvWTZWbjE5c2xBb0ZDU3BVQ2lzQ0lMZ0ZIZC95Y3hHSjBueStmNzBseVRKMVpKMmxuUjVITWVmaStQNG41MTFUVTFOcjhaeC9GQzNRNHI1ZlA2d09JN3ZsMVNTcE9ibTV0V0ZRdUVjU1grVHBDQUlUaGpVUVFQWXdHRFBBMmEyazZUMlJZc1dyZXh2REVFUVhDL3BlRE43WGRKSm5mTUJBQUFBQUx3VmtEQUZocEh5OHZJUG0xbUZ1Lys5K3g2RkRRME5heVhkbkw0OGZsTjlSVkYwaUprZEsra2ZMUzB0M3h4QUdEMG1SdHo5YituanlBSDBCV0NBQm5NZXFLMnRyWkJVbFc2djBXL3UvcHk3WDVBa3liNzVmUDYzQXgwREFBQUFBQXdsOWpBRmhoRjNuMjVta25SL0wwM21TRHJIekE3cVIxK2ZOak81K3krYW01dmJ0alEyTTZ0TUg1L2IwcjRBOUc0dzU0R1JJMGZ1ckk2ZjJ6Y0dFa01jeHdjT3BEMEFBQUFBYkU5SW1BTER5OFQwc2JtbnlpQUlGcnE3Skkyb3I2L2Z2YUdoNGVVKytqcEtIWmZsUDFCZlh6OHhTWkt6elN6cXlNZjQzNHJGNHVYejU4OS90ajlCMWRmWDcranVIM0ozTHhhTHN6WmpYQUQ2YjlEbWdTUkpkc3BrTW5MM0FTVk1BUUFBQU9DdGpJUXBNSXlZMlR2U3B5LzFWTi9lM3Y1S05wdnRmTDZ6cEI0VEpiVzF0UlZtTmlIdGMyeVNKUGViV1hXWDgwVFpiUGJrS0lxT3krZnpEL2NTVGxCZlh6K21WQ29kNXU3ZmtiU2JwUFBtejU4L2Y0c0hDcUJYZ3pVUFNGSW1reG1UOW5sb0ZFVXVxU2hwcWJzL0x1bmFPSTcvdEhWR0FRQUFBQUJEaDRRcE1MenNvSTRsb0d0N3FwdzNiOTdhS0lvMmFOdVRrU05IN2lZcG80N1ZhRmRKdWt2UytTMHRMYytYbDVkUE5iUC9Nck4zdS91c3VycTYvZWJObTdlbTYvRmhHTGFrZXlncUNBS2x5WlhwY1J6UEdkVFJEcUk5M2pYNUhlVmwyWGNOZFJ6Ym81YVM5cTRNa29XQldkbmFsbEpOemNUYzlLR09hWHZVMnRyNjNNdlBQZm5QZmpUZDJnWmxIbERIQ3RNeFFSQzB1L3RxTTB2Y2ZZeVo3VzVtSjBnNklRekRhK0k0UG1NcmpHRzd3ZHlBTFRYRWMwTTJsOHVkR1FUQnlaSnFKYTJUTkZmUzk3dnZjZHlYTUF6bm1ObTAzdXBMcGRMaGpZMk5qL1RWUnk2WE95VUlnditTTkRXZnp5OGE2RUFBQUFDMkpSS213RERpN3VYcHZxUEYzcHU0bTVrRlFaRDAxayt4V0J4VlZsYlcrWEpaUHAvL3BDUlBYejh4YWRLa0QxWldWajVuWm50a01wbVRKRjNmcll0L1NLcVVORXJTMkhTdnhHdkRNUHhXSE1mYjNTWDVOVFc1R3BYNURUS2YySS9tYnp1dEpWZDd5UUxKNWVZWHlZWTZvdTFUUldYNTh6VTF1VThzWGx4WVBKUnhETlk4SUVtRlFtRzJwUExPMXpVMU5aV2pSNCtPZ2lDNFNOTDd6ZXhMWVJnMnhISGNmUTRZRnBnYk1CaUdhbTZvcmEydEdEbHk1TDJkaVU1M1gycG1vOU1idmgyYnkrVm1GQXFGUC9hbkx6TWJrL2JSMmt0OXIzTkpGRVYxN242NW1iMXY4MGNEQUFDd2JaRXdCWWFYdFpLcWd5Q283S215cHFhbTB0Szd3UVJCc0xxM1Rzckt5dGFueE56OXNpN0pVa2xTYzNQeksyRVkvc0hNVHBKMGVQZUVhUnpIQjNRK0Q4TnduSmw5V3RMM3pleTJNQXhyNGppK1pFc0hPcWdxVlNQVFJKUHROcUtxU3Bsc1pxZ2p3bHRJcVZqU3VwWVdKZTZWcWxTTnBDRk5tQTdXUEpBcWRYMnhlUEhpRmttUFNqbzJpcUwvbHZSaFNWL3Q0VXVUNFlHNUFWdGdxT2VHNnVycUg1alpOSGRmN080ZktSUUtoVnd1TjlyTWZtRm1NOHpzeHZyNitwcUdob1kzTjlWWHVycGNxMWF0Mm1YUm9rVXIrM1ArWEM1M1FoQUVuM2YzRDNUT09RQUFBRzhWSkV5QlljVE1sa3VxbGpTdXAvcWRkdHBwMXk1dGU5emZVQjByVEZkMTduRW82Y2xlbWoyVDlyTjdYekhGY2J4VTBwVmhHQzR4c3p2TTdLTDYrdnByK3ZNQmJWc2JVVldscy83dHk1cTAvNFNoRGdWdkljMVBQcTJmWG5PZFZxenNWdzVocXh1c2VXQVQzTjEvYkdZZmxsU1gvajNSMjRyV3R6em1CbXlPb1p3YkprK2V2S3VabmFHT24vTlB4bkZjVU1lcThSWDE5ZlduSkVseXFKbnRrU1RKNXlYOWFGUDltZGxPa3RyN215eFZ4eGN5MTB2YTJjeVdTZnFLcEZzN3Qvc0JBQURZM3BFd0JZWVJkMTlvWnU5dzkvMTZhYkp2MnU2bGZEN2ZhOEt5ckt4c2lidTNTeXB6OTUxNmFWWlVINWZuZFJmSDhlL0RNR3cxczhva1NhWktlcWcveDIxTG1XeEdrL2Fmb0VNT2V2ZFFoNEszbUM1YldBeTV3Wm9ITnFWWUxDNHBLeXVUbWRtRUNST3Fubjc2NlZXYkhmUjJqcmtCbTJ1bzVvYnk4dklQUzZwdzk3L0hjYnpCWHFVTkRRMXJ3ekM4V2RJNTZlWDVmU1pNYTJ0ckt5UlZ1ZnRyQTRuQjNaK1RkS1c3WDEwb0ZGWkVVWFRyNW80SEFBQmdXd3VHT2dBQWc4ZmRIMVBIcW80amVta3lUUjByUmY3U1Z6OE5EUTN0a3VhbGJhT2UycGpaZnVrNSszdmpCamN6VDQ5dDYrY3hBQVpvc09hQlRjbG1zKzlNbjY0YXpzbFM0SzNJM1R0dnpuZC9MMDNtcUdNZU9HaFRmWTBjT1hMbnRPMGJBNGtoanVNRDR6aitYcUZRV0RHUTR3QUFBTFlISkV5QllTUUlndCtuVDQvTzVYTDdkcTFMOXkwOFJSMTN2cjV0VTMyNSsrL1NwMS90ZmduZDVNbVRkNVgwMGZTY3N6dkxKMDJhVk42OW4wNjVYTzVENlkyZ1dvckY0dnlCamcxQS93em1QTkFIazNTMk91YUtlN2NrWGdCYlJlZU55cHA3cWd5Q1lHSDZkRVI5ZlgyZlcrc2tTYktUT243V0I1UXdCUUFBZUN2amtueGdHTW5uOHcxUkZOMmIzcjM2anZyNitoTWJHaHIrVVY5ZnY2TzdYeXRwTDNkL3RGQW8zTjE1ektSSmszYXJxS2o0SHpNcm10a0hHeG9hbHFuanc5UTE3djd2WnJadkZFVy9Ock12TnpRMHZEbDE2dFE5Z3lDNE5iMDg3NkU0anRldlVxdXNyTHcyRE1ObjI5dmJiMnhxYW5wQmtzYVBIMTgxZHV6WTA0SWcrRUhhN0tmejVzMWJNd1J2RC9DMk1KanpRQmlHMzNiM044enNOK2wreE1ybGN2dWEyUS9NN0ZoM2IzUDM3dzNsZUFGc3pNemVrVDd0Y1ovaTl2YjJWenIzS205dmI5OVowc3U5OVpYSlpNYWtmUjRhUlpHblcvSXNkZmZISlYwYngvR2Z0czRvQUFBQWhnNHJUSUZocGxRcXpYVDNKV1kyTlVtU2hXRVlMa21TNUZWSm41RDBRbnQ3KzBsZDI1ZVhseDl2WnUrV2RJaTdIOXRaM3REUThHYXBWUHE0cEJaSm4wNlM1TlVvaXA3UFpETC9OTE1qM0gxaGtpU2Y2dHFYdTQ4MHMrK1VsNWMvSDBYUjBqQU1YeHczYnR5YUlBaCtKbW1VdTgvSzUvUC91UzNmRCtEdGFMRG1BVW03QmtGd3BhUlh3ekI4SllxaXBVRVFMRFN6RXlXdGMvZlBGQXFGd3JZZklZQk4yRUVkdjVmWDlsUTViOTY4dGQzYjlpWkprakdTMnQxOXVhVFgzVDBqYVhjek84SE03ZzdEOEw4R08zZ0FBSUNoUnNJVUdHWWFHeHRmbEJTNSt6WHB5cEt4NmNxUksxdGJXM09kS3orN3VNL2RuM1AzaGU3K2wyNTlQWkQyTlV2U20rNitxNlRGN241SkVBUUhwZWRhcjFnc2ZzUGRmK1R1alIyTFVXeGNldTQvU1BwZ0hNZWZITTUzMGdhMkY0TTFEeVJKY291Ny80K1p2V0ptTzZlSmxhZmQvV296bTFJb0ZPN1k5cU1Ec0NudVhwNCs5dlk3MTkzZDFYRkZTZEpYWDRWQ1lYWStueStQNDNoTVBwOGZ1M3o1OGhGSmt2eUxwSHVoSktoZUFBQWdBRWxFUVZUVjhjditTMkVZZm00ckRBTUFBR0RJY0VrK01BeWxsODZla2Y3clU2RlFXQ3hwbjk3cTgvbjhrNUkrMlovenpwOC8vOW5PZlEwQkRLM0JtQWNhR3hzZmtmVElsc2FTeitmNWV3UFl0dFpLcWc2Q29MS255blEvWTFOSHduVDFKdm9xZFgyeGVQSGlGa21QU2pvMmlxTC9sdlRoZEwvejZ3ZHpBQUFBQUVPSkZhWUFBQURBTUdKbXk5T240M3FxMzJtbm5YYnQwcmJIZlU3N3dkMzl4K256T2haaUFBQ0E0WVNFS1FBQUFEQ011UHZDOUhHL1hwcnNtOWEvMU5EUThPYm1ucWRZTEM1UnVnZlBoQWtUcWphM0h3QUFnTzBOQ1ZNQUFBQmdHSEgzeDlSeHVmMFJ2VFNacG81RTUxOTZxZStYYkRiN3p2VHBxcWVmZm5yVmx2UUZBQUN3UFNGaENnQUFBQXdqUVJEOFBuMTZkQzZYMjdkclhicC82U25xdUxIYmJWdHdHdXZjdDl6ZDc5MlNlQUVBQUxZMzdEVUVBQUFBRENQNWZMNGhpcUo3SmIzZnpPNm9yNjgvc2FHaDRSLzE5ZlU3dXZ1MWt2Wnk5MGNMaGNMZG5jZE1talJwdDRxS2l2OHhzNktaZmJDaG9XR1pKSVZoK0cxM2Y4UE1mcFBlVEU2NVhHNWZNL3VCbVIzcjdtM3UvcjJoSEM4QUFNQmdJMkVLQUFBQURET2xVbWxtRUFTUG1kblVKRWtXaG1INGNwSWtZODJzUXRJTDdlM3RKM1Z0WDE1ZWZyeVp2VnNkSzBhUGxYUkxXclZyRUFRWHV2dVB3ekI4emN3eWtzYW1kZXZjL1pSQ29WRFk1Z01FQUFEWWlyZ2tId0FBQUJobUdoc2JYNVFVdWZzMWtsNUtrNXd2UzdxeXRiVTExOVRVOUVLM1ErNXo5K2ZjZmFHN3I5L2JORW1TVzl6OWY4enNGVFBiV2RJT2twNTI5NnZOYkVxaFVMaGoyNDhPQUFCZzYyS0ZLUUFBQURBTXBaZlFuNUgrNjFPaFVGZ3NhWi91NVkyTmpZOUllbVJMWThubjgzenVBQUFBYnhtc01BVUFBQUFBQUFDQUZBbFRBQUFBQUFBQUFFaVJNQVVBQUFBQUFBQ0FGQWxUQUFBQUFBQUFBRWlSTUFVQUFBQUFBQUNBRkFsVEFBQUFBQUFBQUVobGh6b0FZQmdLZG4xWDNkaHlTMGFxTEtoU2tsUys4SFRUMzRjNktBQUFBQUFBQUd3YUNWTmdrT3hSTTJWaWVaVWRLN2RqSkwxVHlwU2JsSFhMWmlUdE9kVHhBUUFBQUFBQVlOTkltQUpib3JhMllpL3RVSnZKNmp4SkowcFdLWlBjVlpMVUpubkpwTkpRaHdrQUFBQUFBSUQrSVdFS2JLWTlhK3ZHbDJmMUpabitUYkpxU1hMM1JwbWVUbVQvQ09UL1REeFpsYml0SHVwWUFRQUFBQUFBMEQ4a1RJSE5NS2EyZGxSWjFxNlMyZkh1bnBFMHQ1ajRaWkllVDFZdlhmN1NTeSt0aytSREhTY0FBQUFBQUFBR2hvUXBNRkNUSnBXUFRNclBNZE5ISkxYTC9aNWtYZktaSmMvUFh6N1VvUUVBQUFBQUFHRExrREFGQm1pdlV2YU1JTkIvU3Q2bXhIKzU1bzJYejFtNmRDbVgzUU1BQUFBQUFBd0R3VkFIQUx5VnZLTjI4cnNDc3krNnU3djB4M1dsdGQ4aVdZcXQ2ZUdISDliTW1UUDF4ei8rY1VESFBmUE1NeW9XaTFzdHJxSFEwdEtpNXVabXZmTEtLME1kQ3JEZGV1NjU1M1RUVFRkcDhlTEZHNVN2V3JWS0R6endnT2JQbno5bzUzcnp6VGNWeDdIZWZQUE5IdXRMcGQ3dmVmamtrMC8yK3p4bm5ubW16anZ2dk0yS0VYZ0x5a1pSOVBXNnVyb0pYUXR6dWR5SGM3bmNlV0VZN2ozWUp3ekQ4T2d3REMvc2ZzNmhObVhLbENsMWRYV1QrMXJrTTJuU3BPcGNMamM5aXFMOXQyMTBBSURoamhXbXdBQmtnc3lIVEhxbm0xYVVTdjdUVnhZdFdqclVNV0Y0S0JhTCt2blBmNjRERHp4UUJ4OTg4UHJ5WmN1V3FiR3hjWU95VFZtOGVMRm16cHlwdmZmZVd4ZGZmTEgyMm11dkRlcVRKRkZiVzV0YVdscTBldlZxclZtelJtdldyTkhLbFN1MWN1VktyVml4UXN1WEw5ZXlaY3YwK3V1dnE3NitYcC83M09mV0g3OXUzVHBkZGRWVld6em1jZVBHYWViTW1mMXUvK3l6eitya2swL1d4ei8rY1oxenpqbGJmSDVnT0xyenpqdDEyMjIzYWZueTVmcmExNzYydnZ5RkYxN1EyV2VmclNPT09FSlhYSEZGdi9zckZvczY0NHd6dFAvKysrdjAwMDlYZFhYMStycDhQcSt6eno1YmwxOSt1WTQ4OHNqMTVlNnUyMjY3VGJmZGRwdXV1ZVlhalI4L2ZvTStaODJhcGNzdXUwd25uM3l5dnZyVnJ5cVR5ZlFad3pQUFBLTVJJMGIwTzJaZ2E4cmxjaDhMZ3VDSUxlMG5TWkpmRmdxRlFnLzlIeW5waW13Mk8wM1NSenJMZ3lBNDE5MFBDb0xnMWkwOWQzZG1kcmFrWTRJZ3VLMi94OVRYMTA5TWt1VE1IcXFlaU9QNCtpaUtqa3FTNUtqKzlCVUV3Vi95K2Z4ZnVwZVhsWlg5Uk5LUlVSVHRtOC9uRi9WMGJIbDVlVzBRQkE5SXVsWFNaL29iZjNlVEprMnFMaTh2bjlIZjltYjJRaHpIOTIvdStRQUEyejhTcGtBL2pSOC92a3FCSFNoVGhTWCt5QXZKMnNlSE9pWU1IM1Btek5FTk45eWd4WXNYRHlnNTJwUGRkOTlkUngxMWxHYlBucTFQZmVwVHV1aWlpL1MrOTcxUHQ5eHlpNjYrK21xMXQ3Y1BxTDlTcWJSQndyUzF0VlczMzM3N0ZzVW9TZnZzczgrQUVxWUErbFlzRm5YUFBmZkl6RFJqUnI4LzkvZHA5ZXJWMm5ubm5YWExMYmZvcnJ2dTBwZS8vR1dkY01JSkNvS2VMMUo2OWRWWGRkRkZGK21KSjU3UStQSGp0WExseW8zYVRKOCtYWGZlZWFkdXZ2bG1MVnEwU0pkY2NvbXFxNnUxWnMwYUxWMjZWR1BIanQwZ01RdHNUOUprNlplM3RCOHplMURTUmdsVE0vdW9Pbjczcms5ZVRwNDgrUjN1ZnBDa2h4c2FHcDdmMG5OM05XblNwR3Azbnk3cHlVS2g4RXgvajB1U1pMeDFYSFgxb3BsMVhtMVZLMm0wcE9zbFRRdUM0SnY5N0s0b3FYdkNOQ3ZwWUhkZkVzZHhqOG5TZ1FqRDhFTm05djdlNnR2YjI2OElndUNHQVhSNWx5UVNwZ0F3akpFd0Jmb3BHVEZpQjBrSFNGSml5YSswYUZIclVNZjBkbFpUVTFOWlhWMzl6cWFtcHFjbEpVTWR6NWE2NDQ0N0pHbFFraHdWRlJYNjlyZS9yWWtUSitxS0s2N1F1ZWVlSzNkWFhWMmREanJvSUZWV1ZxcXlzbEpWVlZVYU1XS0VYbmpoQlQzd3dBTTY3cmpqZE1RUlIyalVxRkVhTldxVVJvOGVyZEdqUjZ1eXNyTEg4eHgrK09HNitPS0xOeXAvODgwM2Rmenh4MnY2OU9uNjduZS8yK094eHg5Ly9CYVBFK2hKR0lialNxVlM5Yng1ODU0YjZsaTJ0UWNmZkZETGx5L1hZWWNkcGozMzNMUGZ4N203dnZ2ZDcrcnd3dy9mWUtXb0pJMGVQVm8vK01FUE5HUEdESDMvKzkvWFZWZGRwY01PTzB6anhvM2JxSjhrU2ZUVnIzNVZ6ejc3ckU0NjZTUjk1U3RmVVZWVjFVYnRkdHR0Ti8zcVY3L1NtV2VlcWJsejUrcTAwMDdUelRmZnJMbHo1K3FjYzg3UitlZWZyNDk4NUNNYkhRZDBOV1hLbFByNTgrYzNwc20yYmM3ZEQyMXRiZDFvajR2S3lzb2ZTZnBDa2lRSHRiVzFiYlQzUkVWRnhSZk03RWU5ZEp0TlY1V3V5bWF6c3pzTHk4cktQbTltNXU1M1RwbzBxVi9mSmpRM042K1dwQ2lLUHVQdWgvWFJkRGN6cTVBVWhHSDQ4MDMxdTJyVnFtOHNXclJvL1RjaDd2NlZPSTcva0o1cldmZjI3bDdUMnRyNnVqcmVtOFdTN210cGFmbThPdDZMbmMxc2NmZGoxTEhTTnBRMFF0S2QvUmx2UDlTNys2bnFTRXFYU3lwejl6V2RsZVhsNVQ5MmQwbjZTWklrVjNhV0IwR3dTTkwvSkVueTljNHlNOHViMlNDRkJRRFlYcEV3QmZvcEtKV050b3p2NzI2bFZjVjFzL3R4Q0xhaVVhTkdqYzFtczNQRE1Gems3cmNFUVRBN1NaSmxoVUpobGFUZU44N2JEc1Z4ckNlZWVFSjc3TEdIcGt5Wm9yVnIxNjZ2NjF3TjJ0N2V2a0Y1ZDBFUWJKVFkvT1FuUDZueDQ4ZnJ4aHR2MUxScDAxUlpXZG5qcGZSMzMzMjNIbmpnQVUyZVBGbEhIMzEwditNT2dxREh5MlRiMnRyNnJOOVNTNVlzNmJHOHZiMWRQL3poRC9XWnozeEdlKzg5NkZ1ODRTM0N6T296bWN3ZFlSak9NN09iaXNYaXZXdlhybjE5MGFKRnE0ZkRseXQ5dWZIR0d5VkpwNTU2Nm9DTys5blBmcVkvL3ZHUGV2REJCMVZmWDY5Um8wWnA3dHk1ZXZIRkZ6ZG9OMlBHREQzLy9QT2FNMmVPSkduaHdvV1NwTGx6NStyMTExK1hPaExXbWpoeG90NzV6bmZxcnJ2dVduL3NubnZ1cWZlODV6M3JYNDhjT1ZJLys5blBkUGJaWit2Z2d3L3U5WXVabnBSS0pUM3p6RE5xYkd6VW1ERmo5TDczdlc5QTQ4WHdrTTFtNzQyaTZMVWtTVzRLZ3VBUDdlM3RyOHlmUDMvbHR2b2J3TjNYZFNZbHU0cWlxRjBkWHlEMFZ0L1dXNTlSRkgxUTBxNlNybXRvYUZpcmpoV2c1WksrcUk3NTdTZVZsWlUvNlU5OHVWeHVwMEtoc01MZHA1dlo1N29tQjdzeXN4M1M4WXp2NjVMMnppUmplWG41dHlSdHZIUzhGMEVRck9tU3ZKV2tZdWZyK3ZyNnlqUkoyZFA1amsyZlB0amZjL1VsanVPTEpGMlV4bkdscEsrMXRyYnUxaGxMTHBlclNWZk9yeWdVQ3V1VHVHbk1hN3FWRGV2ZkpRQ0FEaVJNZ1g0eXMzMGtLM1A1b2plNmZMT09JUldZV2Iya3lOMHZNck5DR0laL2MvZkhNcG5NM3hvYUdsNGU2Z0Q3NDJjLys1a2s2YVdYWHRLMGFkTjZiSFBERFRmb2hodDZ2MUpzM0xoeHV1ZWVlellxUC96d3czWDQ0WWNQWXJSYlIzdDdlNTliQlhSTnZIWW1jcnF1b0V1U1JOLzg1amQxLy8zM2ErSENoZnIxcjMrOTFXUEc5c3ZNQWttSHV2dDdzdG5zNnlOSGpvelR1V0Z1SnBONXZLR2hZYU5WVUc5MVR6enhoSjU4OGtubGNqbUZZZGp2NDJiUG5xMGJicmhCUVJEb2trc3UwYWhSbzZSMDFYdG5ZblJUN3J4ejR3VmdYWk9sa25URUVVZHNrREJWeDJvelhYWFZWYjFlM3QvVjZ0V3JkZDExMTZsUUtHaisvUG5ydjBDYU9YTW1DZE8zTDVNME1RaUNpOTM5L0xLeXNubGhHRDVxWm8rYjJkekJ2blI5Ry9taU9yNFV1TDZ6b0xLeThqUkp1N3I3UFdiMk4wa2ZsVFRGM1M4MXM1YmVPbHF4WXNVR2RlNCt2bEFvck9oYVZsZFhGMlV5bWI5TGFsKzFhdFhPaS9xNGVpcUtvcXNIWXl1Qy9qS3pFOUxIbjRkaCtGL2Q2NU1rZVZkalkrT0xQUjY4QmR3OTZQNFoyZDJOejgwQThQYkR4QS8wa3dXWlhkWHgxM25QeTl1d3pibTdtWm1zNDdxbzBaS211L3MwTTF2aDdrdkRNSHpjM1c5dWEydWIwOXpjM091S2pxRjAxMTEzS1k1ampSMDd0bk1Wd3dhV0xGbWk1dVptN2JQUFBxcXRyZTIxbngxMzNISDk4d2NlZUVCVHAwN1ZtREZqdGxyY2crMktLNjdvYzEvVWhvYUc5Yy9kWFhmY2NZZk9QUFBNOWErLys5M3Y2djc3NzlkZWUrMmx5eSsvZkp2RWpPMmFxZU9EdGtrYWEyYnZrM1NVbVMxMzk2VlJGRDFjS3BWbU5UWTJ6aGtPcTA3ZFhWZGZmYlgwZjZ1aCttWHUzTG5ydDgwNDk5eHpkZEJCQjYydjYrM0dVT3ZXcmRQdHQ5K3VtMjY2U2UzdDdWcXpabzJ5MmF4MjJXVVhmZUVMWDlCeHh4M1g1MDJjVnE5ZXJldXZ2MTVmK01JWFZGVlYxV095ZE9uU3Bicjc3cnRWS0JUVTJOaW9WMTU1UlpKMDdiWFhhdXpZc1RyMDBFTTFac3dZM1g3NzdTb3ZMKy8zZURGOG1ka0lTWWVZMlNHUzNreVM1TFVvaWdxbFVtbVd1Lzk1M3J4NVBhNnUzSjdVMWRWTmNQZjNtNW15MmV5ejZsaUJPY0xkTDVLMHRyMjkvZFNtcHFaWG95aXFUUk9tbDhSeHZHTFRQZmN1bTgxZW5NNlg1U05Iamp4YzBuMkROcUF0VUZkWE4xNVN2YVNYSlcxdytidTd2OXZNZHMxbXMxdGw3amF6QzZJb3VxQmIyYWVpS1ByVTFqZ2ZBR0Q3UmNJVTZDL1RIcElrMTlLaERnVWR6TXlWSmd1NkNDU05rVFRHekNhWTJja1ZGUlV2aG1INFczZWYxZExTOG13UUJLdTJod1RxNjYrL3ZqNjU5NzN2ZlU4SEhuamdSbTErLy92ZnE3bTVXVWNmZmJTKytNVXZickxQSjU5OFV0LzR4amRVWFYydHIzLzk2L3JRaHo2MHZyeHpKV3QzeTVaMUxMYTcvZmJiOWZEREQvZlladHEwYWZyNHh6KytRZGxUVHoybGl5NjZhS08yblpma056YzM5MWd2U1d2WHJ0WE9PKys4L25YM3JRZzZ6Wmt6UnkwdEd5K2crZDN2ZnFkVFR6MVZPK3l3Z3k2ODhFTGRlKys5Mm52dnZYWGRkZGRwN05peFBaNFRieHVlL3VzK04yVFM1T2xZU2Z0bk1wa3ZoR0g0VDNlL0pVbVMvMjVyYS92bkRqdnNzTEtob1dGZ2QwWGJEdHgxMTExcWFtb2EwREgvKzcvL3EvUFBQMS9GWWxILzltLy9waE5QUExIUDlnc1hMdFFmL3ZBSDNYWFhYV3B0YmRYTW1UTlZVMU9qODg0N1R4ZGVlS0htelp1bmIzM3JXN3JtbW12MHIvLzZyenJtbUdPMDc3NzdxdnMrZjcvNXpXOTAwMDAzNlpGSEh0SGxsMSt1dmZmZVc2Kzg4b3J1dmZkZVBmVFFRMUthR08yMDExNTdxYnk4WEdQR2pORzExMTZyOGVQSFM1THkrYnh1di8xMlZWUlVER2pjR0ZaNitqbVhwQjNOYkVkSisyWXltWSs1KzZ0aEdQNjN1OTlxWmd0WHJWcTFzcStWbFAxbFp0OEp3L0NOSHFvT2xxUk1Kdk85TUF4N1NtaE83S20vYkRaN1FlZVhQWjJTSkRuWHpIWlBrdVNIVFUxTnIyNXB6RjJGWVRoTjBqR1NucFkwUWRJSmZTVk1reVM1ejh4YVNxWFNCc2xuTTdzemlxTE8vNFRldnkwWmdHdzIrOW4wNldYNWZQN0hYZXVpS0hwTTBvNE5EUTNkMzQ4UlVSVDl4ZDF2aWVQNFYxdHcrajlMV24vSmpydi95TXhpU2JkMEtmc2VlNWdDd1BCSHdoVG9Kd3RzWjBseTh6Ni96Yy9sY3RPM1dWQnZiK082em1HZGY3aDIvZURVNWZtZVpuYVdtWjB4WXNTSUp5VTlrY3ZsNXBWS3BZZm16NTgvc0N6RElDa1dpenIzM0hPMWN1Vkt6Wmd4bzhkazZlYVlNR0dDdnZLVnIraWFhNjdSdDcvOWJmM2xMMy9SaFJkZXFKVXJWeXFPNHg2UEtaVTZ0bnRic21USitwVmMzZTJ6eno0YmxTMWR1bFQzM2RmN1lwVFhYbnV0MS9ydWw5OGZkOXh4T3U2NDR6WW9XNzE2dGU2NTU1Nk5MdVBkWTQ4OTlOSkxMK25hYTYvVjRzV0w5ZmpqajJ2eTVNbTY4c29ydGROT08vVWF6OWJtaWFzOGs3d3psOHNOV1F5UWtpU1phbWFaempsaEUzUEQza0VRZkRNSWdyT3kyV3l6dS84dERNT210cmEyT1FzV0xOam9aaTNibzlXclYrdW5QLzNwZ0k3NTNlOStwMHN1dVVUdXJxOTg1U3M2NVpSVE5tcXpZc1VLelo4L1g0OC8vcmdlZXVnaExWbXlSSmxNUmgvNHdBZDArdW1uYTQ4OTl0QUREendncFZ0bW5IZmVlVHJ4eEJOMS9mWFg2OWUvL3JWdXZQRkc3YmpqamdyRFVMVzF0ZHBycjcxMDhNRUg2L09mLzd4V3IxNnRXMis5VlNlZmZMSysvZTF2cTdxNldqLzV5Zjl0eXpodDJqU2RjTUlKeXVWeUdqMTZ0RDd3Z1E5b3hJZ1I2NU9sNnZMRnpFRDJQaDA2cnZKTXNpOXp3K0F5czdJdXo2WGVmODUzTmJNdlNmcWNtUzBjT1hMa1k3bGNycWxZTFA2MXFhbXBvVFB4dWhublA5cmRlMXJsV0o3V3Y3K25lbmN2NjU1c3krVnkrMG82cVd0WkdJWlR6ZXhjZDEvYTN0NSs2ZWJFS0VtdHJhM25WMVZWWFY0b0ZOWnZKMVZiVzF0aFpqLzFqa3QxVHBWMHBabWRWRjlmZjFaUFh4clYxTlJVTGx1MjdNOUxsaXo1UXcrbnVOWGRtOU14WDlCRC9VQ1p1My9lek9UdUc5MVVTOUs3M0wybkczN3VLMmwzTTdzK2lxTGoxNjVkZS9wVFR6MzErbWFjLzdGOFByLytwazlSRkYwdTZhbHVaZWR2UnI4QWdMY1lFcVpBUDFtaU1nV1N1ZlY1TTRFZ0NHN2JkbEc5ZmJsNzRPNFYzVDkwOVBhTmYvckJxZExNUW5mUEJVSFFhbWF2NW5LNXA5ZTFlOXlhYUpzdUZmakZMMzZoZkQ2di9mZmZYMS8vK3RmN2NVVC9CRUdnVTA0NVJZY2VlcWpPT2VjY1Bmend3NW8xYTViT09PTU0vZld2ZiszeG1MdnZ2bHNYWEhDQnpqcnJMSDNpRTUvbzk3bW1UNSt1eXk2N2JLUHlGU3RXNkwzdmZXK3Y5WkowMUZGSGJiTC9oeDU2U01WaWNhTzJoeDEybUFxRnd2cEwrSTg0NGdoZGZQSEZRNTQ0TVVranlySWZEd0lqS3pLRTNMMjhNMkhSMVNibWhpb3pxM2YzeU14YXlzdkxYd25EOE1rMXJhVkNtMi9meTRndXUrd3lMVnUyVEh2dHRaZWVmMzdUV3pZMk5EUm96cHc1Q29KQTU1OS92ajc4NFE5djFHYlpzbVg2d0FjK29HS3g0K2JqTysyMGswNDk5VlNkZU9LSjJtT1BQWHJ0ZTcvOTl0T2xsMTZxbDE5K1dYLzYwNS8wNXovL1dROCsrS0FlZlBCQlpiTlp6WjQ5VzBFUTZLeXp6dEplZSsybFN5KzlWTmRlZTYydXUrNDYzWERERFhyeHhSZDEvdm5uYTlxMGFabyt2ZS92SGp1L2RCbnFuL3YrTURlcnltWm5Cb0hWREhVc3c0bTc3ekRBdndIS0pVMldkSUNadFpXWGw3OFdodUV6a3U1WXQyN2RIUU5OcmhXTHhZUG16WnUzMFpldW5YdDk5bEgvRlVrYmZNdGhaajlLVjJlK0xtbm50T3dvU1dXUy9uM0JnZ1VicldRTmd1Q0h2ZDFBcWxRcS9hQnpmOC9tNXVaWEpHM3diZWlvVWFOK0pLbk96RzdJNS9PUGhXRjRxNWxkbFNUSlNaSnU3dHEycnE3dTRHdzJlNk83UDdGa3laTFBkaitYdS85M29WRDRRenEyczd2WEowbXl3NlJKazdwZUtwS2ROR2xTZFdkZDkvK3pLSXFPa2ZUTzlEMDRyT3VxMS9yNityM2NmYXlrUC9VdzdNYTJ0cmJqeXNyS1pwblpSNnFxcWc0S3cvQmpjUnpQVlVjQytqMW1kbEVhODBRelUwVkZ4ZStqS0NxNSt3dnUvdjJlM2tzQXdOc1hDVk5na0xuNzl2L3BiUmd3TTBzMzRSK1FMaXRPc21aV0xXazNNNjhhOUFBMzRZTWYvS0Rtekptaks2KzhjcXQ4NE45MzMzMTE2NjIzYXRhc1dmcnNaemY2ZkxORk9wTW9aV1ZsbTJ5N0pmNzg1ejhyQ0lJZWI0UjErdW1uNnovKzR6L1c3MW5hbjV2R2JBdHV5aklIRExuTit0dW0yOXd3eXQxM3kyU0NLaFUzYS9IWk52SGdndzlxOXV6WjJtZWZmWFRhYWFmcGdndDZYOXpWdWVYRjZ0V3JOWHIwYUYxODhjVTYrT0NEZTJ3N2R1eFl6Wmd4UXkwdExUcnFxS04wOE1FSEs1dk42cW1ubnRMcHA1K3VMMy81eXpydXVPTTBhdFFvN2IvLy91dHZGSFhmZmZmcHh6LytzUzY1NUJMTm5EbFRNMmZPMU5LbFMvWEVFMDlvelpvMUdqZHUzUHB6ekpneFE3dnR0cHYyMjI4L2pSbzFTblYxZFhydHRkZjZQZmJPOGJ3VkVxYXBNdWFHb2RmNWMyNW1XWGV2bHJTYnBCM0x5OHY3ZlNtNXUyZlQvZE1IWld1Zk1Bdy9aR1lmZFBkSHpldzVTWjlXeDdZVFA0NmlhSEVjeDcvdkpZNWU5OVJNa3VSYVNUM2VFQ2tNd3c5SitySzdMMTYxYXRXWjZ2aDV1bkhFaUJIZmtYU3VwTjlJS3FYN3AzNUwwbGxwTWpldXFhbXBYTHg0Y2E4M211cUptUzN1OW5QNmljckt5bDYvblhYM0M5TFZwYXNsdlYvU3R6cnJTcVhTa1VFUXlOM3Y3K25ZcHFhbUZ5UWRFWWJocFdaMmxxUTVZUmorZXh6SFAwMlNwRElJZ3QzU21IWklIM2QxOThUTTFuWDVIWEJVTHBkYi8zdkUzUU16bTVyTDViN1g1VlFqQkFBWTlraVlBb1BNM1Q4eTFERzhIYmo3T0RPN3Nmc2ZyVjArREczUVBuMWRkUGRGN3Y3M0pFbGlkLy9ydkhuekdtb201ZzZUK1lZYmRHNWw0OGVQMXkyMzNLSVZLMWIwZVpPaWYvempINUtrUng5OVZLdFdyZXExM1l3Wk0xUlRzK0hpcGFxcUtwMTIybW1ER0hXSHprdjR0MmJDOUpsbm50RWpqenlpNmRPbmEvVG8wUnZWSDNua2tabzRjYUtlZXVvcDNYUFBQUnRkemo4VVhOSzZ0dUp2ZGlqUHNFcGxhQjFvWnQrVnRNSG1sbjNORGU3ZUx1a1pkLytidTg4cmxVb1B6NTgvdjdGamJ0QW50MjM0L2ZmWVk0OHBtODNxZTkvNzN2L1AzcDNIeDFYWCt4OS9mODVNa3JiUTBvV1dyV0FLaFpZdXlad1RGRkc4Q2hlUlJYRzllcEZGRkN1Z29pSmVxYUxnZ3BleVhFSHhYZ1ZGNUlxeS9SQkI5SXBhTnRreGN5WnBHeWdVQ0ZEV1FvRlMycWFaT1ovZkgvbW1wc20wVGR1VXRPWDFmRHo2U09ZczMvTTVrMlNhdk9lNzZLbW5ucXA2VEpabHV2YmFhMWN0Q2pWKy9IaGRmUEhGMm5ISEhkZmE5bi84eDMvMDJkYloyYW5ubm50dVZWaloxTlNrSzY1WU5hMmZsaTFicHVlZWUwNGRIZitjSG5MczJMRnIvUG5jZi8vOSszbW5mVDMvZk5mMGhjT0hEOS9nTnQ0b2J1N0x5NVdMaDlYa0hobnNXcll5TjVyWmF0OEE2L2dkb09MdTdaTHV5N0tzSmN1eWUxcGJXKytSVkY3UDYrWkRtd00xRi9wbnUvNXJyWnljeitlLzJuTkhzVmlzR3BacURhdmVyMHREUThPK1p0YjlRL3UxQlFzV0xKR2srZlBudjVZa3lmOUkrbWFoVURqQjNWOTA5L01sN1JwK2IvcDhxVlQ2NjRiY25Mdi8wTjJYVjl0blprTkRzQ2xKYW14c1BOak0zaUhwVGpOcmR2Y3ZOVFEwakc5dGJWMFlqbjkvYUhOdGkxT1YwelE5dFZBb3RKclpKWkpPblRoeDR1VXRMUzIzU2lxb3F4ZnJoWksrdkdMRmluZTB0YlV0VmRlMENQV2g3ZjJqS0hwSHp6TGRmV29VUlh2MzJEWWdjN1VDQURadkJLYkFBQ3VWU3JjTmRnMXZCZzBORGVOenVkeXErYXVxTFByUWMwNnpsOTM5Sm5lL09zdXl0bzZPamhmbno1Ky81dlR4RFpMUDUvWEtLNi9veWl2WFBZdkQzTGx6MTdxb3l6dmU4WTQrZ1dtNVhOYUtGU3UwN2JiYnJ0cDI1WlZYYXRHaTFkY3RlK3l4eDZTd3dGSjNDTkZ0NU1pUmZYcW9MbC9lOVhmUHBneE1mL0dMWDBoUzFia1ZGYjYyMy83MnQzWHNzY2ZxbkhQT1VaSWs2d3lBTmpXTFRKMVo3bkZlQXdaWGtpUkRlczV0dDdiWEJra3ZabG4ydXl6THJvK2k2S0VzeXhadENhdHBkL3Y0eHordW5YZmVXWk1tVGFvYW1LWnBxZ3N2dkhDMTE0NDk5dGlqWHo4cnJhMnRPdW1razFiYjF2MWNubi8rK2JyZ2dndjZuTlA5WnNySko1L2NwOWYzZGRkZDErZTZDeFlzVUgxOXZmTDUvdjA2K3RoamorbisrKy9Yc0dIRGRPMjExMHFTSmt5WTBLOXpCNWRwWlNYM3lNUHplRzBZU0hFY2wvWFBOejM2N08veGM3NGt5N0tiM2YycVNxWFNzbUxGaWtYZFFlR0dDS05UQmpJd3ZkemQ1N2EydGhhVEpCbWdKdnRLa3FRcExHZzBYRjAvejZ0TlFmRDY2Ni9QMm1hYmJUNWpaaGRGWFQvQXI3bjdOem82T242NHRvVXlveWc2TEVtUzhhSE5JYjNENmlpS3ptNXVibjZ4MnJuMTlmVkRSbzhlL1hpbFVyay9uUCtpdTcrdXJsNmxaVFA3Y2xnQTZqOG5UNTQ4UnRJUjduNVg5M1FEYTFNcWxTNHZGQW9Mc2l4YjNwK3ZkeTZYNjNEM1pqTzdwRmdzWHRMamVTdWIyVlhGWXZIbzdtMXhIUC9OekhnREJBQzJjZ1NtQUxaWVpwYjErRnpxK21YYkpTMExmeUROY2ZkTEZ5MWFkTk16enp6VGR3bjJ6VUI5ZmIzKzhJYy9ySEgvWC83eUYxMTAwVVU2OHNnajljbFBybkgwblVhUEh0MW5XNmxVMHFtbm5xcmpqejkrVmVoNXd3MDM2SkZIcXYrT2Y5OTk5K20rKys1YmJkdjQ4ZVA3QkthdnY5NlZKMTEvL2ZXNjRZWWIxbGpUTGJmY3NzYkZyTElzMDVneFk2cnVhMnRyMCt6WnN4WEhzUm9hR3RiWS91VEprM1hjY2NmcDBrc3YxU21ubktKZi92S1hHanIwRFo5ZEFadVpTcVhpVVJSNWxVV2ZNak43UFlRQUQyUlpkbmxMUzh1Tmt0WTZML1htYlBmZGQ2KzZJTnRqanoybUN5NjRRSGZmZmJjVUZsRjY3M3ZmdTlZaCs3M3R1T09PT3VHRUUxYmI5dHh6eitucXE2L1d1OTcxTGsyZlByM1BPUTgrK0tEKzhwZS82QU1mK01CcUN6UkpXdTJObTI2bm4zNjZsaTFicHAvKzlLZDlqcS9tOWRkZlgyMWU1QU1QUEhEUTN5akJvTW9VZ3Z4ZUlkMXlkMThpNmVFUVJsNjN2ajB4MThiZGg0Y2grVTlXQ3pqREVHN2w4L25TR3ZaYnozclROUDM5bENsVDF2eUx3QUJJa3VUdDd2NG5NOXRPVXF1a1B2KzV6cDgvLzdVNGprOHhzeXZkL2ZWS3BkTFkydHI2K0pyYU5MUHVYcFl6ZW14YnI3cmEyOXRYdExlMy82VDdjV3RyYTdGUUtCeFFLcFVla0dSSmtqem03aWRObVRMbC9McTZ1cFBNck5iZEwxbDdxLzlVS3BXcVQ5NWVSWE56ODdPUzl1blBzV21hSHRUZmRnRUFXeTRDVXdCYk10TS9mMEZmSXFrazZRRko5N3I3QTZWUzZZbkJMbkJkOHZuOFdoZFIyVzY3N2FRdzdIUnR4MVZ6MTExM2FlblNwWDNtQlJ3MWFwUnV2UEhHZFo1LzFGRkhLY3Y2TGdEODBxeFl1WG9BQUNBQVNVUkJWRXRkblZJYUdobzBjZUxFUHZ0WHJseXBtMjY2U2J2c3Nzc2E1MGk4NmFhYnFtN3Y3T3pVZDc3ekhibTdac3lZVWZXWW5tYk1tS0c3N3JwTER6MzBrTDc1elcvcXZQUE82M2R2Tld5ZGNybmNxci9ZUTgrenhXYVdTbm9neTdKN3pleUJORTJmR2R3cU55MHowei8rOFk5Vmk4bzFOVFdwcmExdG5lZmRjY2NkYW1obzBNaVJJelZ1M0xnK2I1Yk1tVE5IVjE5OXRmYmRkMTk5N0dNZjYzUCtqVGZlcUwvODVTODYrT0NEdGM4K2E4OGRYbmpoQlMxWXNFQkRodzdWdUhIaituVmZreVpOMHRsbm55MHowNDQ3N3FocDA2YnBtbXV1MGY3Nzc3L2VyNC9ZS2tUNjUrOEF5OE9LNnZlYTJRTm1kbSt4V0Z5d0tTNXFaanU2KzBwSmw2M2hrUDBsVFpWMG5idS9YT1g4cWVHWWJwVzJ0cmIxZnVQRzNiZVpNbVZLMWVrRWhnNGQydEc5Mm4yaFVQaTh1MTlnWnJXU1RnbFRFRnhVN2J3MFRhOUtrdVJnTS90MFBwKy9xS21wNmNQZDdWUXhURjF2Z0I1Y0twVnVWVmN3Kzl3YWpsMnI2ZE9uajVvelo4N0w2Z281SCtpK3hTekxmaHhGMFlWMWRYV25tOW1YSlQzNzhzc3ZYN01oMTFpWGlSTW4xdFhXMXE1cDZNeXFoYXA2YW10clc5WnpSQU1BWU92Q1g1VUF0bVR1N3EyUy9sOW5aK2YvWlZtMmNPalFvUyt0NVpmN041WHUzbVc5VjVzMk13MGJ0dTcxQ3RiVVUrVFpaNStWSkgzaUU1L1FJWWNjMG1mL0s2KzhvcHR1dWttVEprM1M2YWVmWHJXTjJiT3JydGVnU3k2NVJJOCsrcWdPT2VTUU5ZYXRQZFhVMU9pQ0N5N1FzY2NlcXp2dXVFTXpaODdVckZtekNFM2Y1Tnc5ay9RUGQ3OUcwbDhybGNvenJhMnRpemRncnNJdDBvUUpFM1RGRlZkbzk5MTNYNjhlWCtlY2M0NWVlT0VGelo0OWU5VkNUcHRLOSt2VGZ2dnRwOXJhMm42ZFUxdGJxNE1QUG5qVjQzSzVySFBQUFZlWFhucXBicjc1NWsxV0t6WmJIdWJYdktaU3Fkd1VSZEdUbloyZGk5WTJmSHlBdkVWU2U1cW1KMWJibVNUSlR5Uk5MWmZMMzI5dGJlMHpsMDZTSkYvc0ZaaHVrRnd1dHpDWHF6NlZacFpsMzVCMGZwSWtsMGs2V2xKbmxtV2ZLNVZLUHcvWFg2TVhYbmpoQzJQSGpwMWtab2RuV1haalUxUFR2emMzTjc5YTVSckRvaWlTbWIyd3NhK3ROVFUxWjhWeC9FNTMvMUNwVkdydmNZOC96N0xzYTJaMlJyam0xOVozMGFuK0dqNTgrSS9NN0lRMTdLNjZVRlZEUThQMGFsOWpBTURXZ2I4b0FXeVJGaTllL05LWU1XUGUwZExTOGlEdjd2ZlYzWHRyeElnUml1TjRRTnQrK09HSHBUQmNmeURkZSsrOXV2enl5elY4K0hDZGV1cXAvVDV2M0xoeCt0R1BmcVRqano5ZXQ5NTZxMDQ1NVJTZGZmYlpWWWNBWSt0WExwZUxsVW9sbmpkdjNpYnBYYmFsMkdPUFBkYnIrQ3pMdEhqeFl1WHplVDMxMUZQNjNPYysxK2VZalpuRFZPRU5rYWxUcDBxUzdyenpUcW5LR3pycjQ0VVhYcEM3NnkxdmVjc0d0NEV0VjVabGg3YTB0S1NTM3JBM1NSc2JHM2VSTkViUy9XL1VOZGZFM2M4eHM2cmhZWlpsZDRhRkxuZVg5TFM3Zjd4VUt0MjlqaVp6aFVMaGZhVlM2VS9iYjcvOTRXWTIyOHdPY2ZmN0doc2Jqd3pQOVNwUkZPMFNQbDFVdmJuMXVwZGR6S3d4aXFMVmZwOXJibTVlbGlUSnp5U2RKV2w1THBlN2RtT3YxVk5OVGMxMlNaSWNuR1hadm1aMms2UStQV1RkL1F3em15dnBkMVdhZUtIS05nREFWb0xBRk1BV2FlSENoY3NYTGx3NGI3RHIyRno5N1c5ZEM4aSs2MTN2MHBwNm9Hd0lkOWVkZDk2cG1wb2E3Ym5ubmdQVzd1T1BQNjdUVGp0TmxVcEZwNTEyV3RVNVdkZG0wcVJKK3VFUGY2aXZmdldydXZ2dXUzWDAwVWZydlBQT0c5QWFzV1ZvYlcxOWdUOWkxOSt6eno2cmxTdFhhc0tFQ2RwaGh4MzZ6Ri9hMC9MbHk2dk9GMXd1bDlmYXUzdUhIWGFRd2x5a2Q5OTl0NklvMHY3Ny83T2pYWS81WmxjNzc3cnJycXZhM2hOUGRNMjZ3cy81bTFOTFM4c2JIbHJtY3JuM3ErdDdkWE1JVEdlbGFicld1VmtybGNvSnVWenUrVktwdE1aUXM2bXBxU2JMc21Na2ZjUE1kcEUwckZRcXZUSmx5cFIzRHhreTVFcEo3OC9sY2cvRWNmeWpjcmw4VnZmUWVVbDdTRm95RUZPY21ObHVrcFkzTnpjdjdGWGJibG1XZlRXOE5neDE5NnZIangvLzRZVUxGeTdma090TW1qUnArSkFoUS9hVGxLZ3I5SDFTVW1SbWJtYmZiVzV1N2pOZlVKSWszNUxVV2l3V3Y3UGhkd2dBMkJJUm1BTEFJRmk1Y3FYSzVYV1BZT3ZzN0Z6MWNkbXlkYTliMVQzVXZudU8wQU1PT0dDamErMnByYTFOTDc3NG90NzYxcmVxcnE1dVFOcnM3T3pVVjc3eUZTMWR1bFNmK3RTbmRPaWhoMVk5cnJ2MzJwcUdHTC90YlcvVEpaZGNvaTk5NlV0Nit1bW50WERoUW9JVUlPanVjYjF3NGNKcWkrVG9ycnU2MWtiWmM4ODl0ZjMyMi9lWnY3UmNMdXZ2Zi8rN3JyMzJXczJkTzFlWFgzNzVhaXZVdDdlMzY1aGpqbEdTSkRyd3dBUDE3bmUvV3lOSGpxeGF5K3paczlYUjBhRWtTVmJOMHl4cDFUUUF2UmVtR3pKa1NOVjJicm5sRmtsYTFXc1YyTlRjL1lqd3MxTjlYcG5OVExYaDR1NitiYmlIa1hFY241WmwyY2toS0gzUjNjOFA4OE43VzF2YlVra2ZqT1A0NjVLK2EyWmZyYW1wbVZFb0ZINWNLcFcrNWU0RlNldDg0enJMc25YTkM1Sno5ejBsemUwNVlxaXBxV2s3ZDcvSnpFYTcrMGxtOWpaSm54NDdkdXpkNDhhTisxU3hXR3dON2I4YVJkRWYzVDFkMjBXU0pMbFkwdkdTY3VGNWVObk0vdWJ1TjJkWjl1YzBUVGZMeFVFQkFJT0h3QlFBQnNGNTU1Mm4zLzJ1MnVpdTZpNjc3REpkZHRtYTFwZjRwOW16Wit1bGwxN1MvUG56VlZkWHAvMzIyNi9QTVlzWEw5WTczL25PZGJhMVlzV0tQc1B1dTJ2b09ZL2crbnJsbFZmMDJtdXZyVnFrcGFhbVJwLys5S2QxKysyMzY0dGZYUFBVYXQyQnp0b1dpSmt5WllvdXUrd3l6Wmt6WjhERFltQkx0dlBPTzJ2NzdiZlhvNDgrcW1PT09XYTErVTFmZmZWVjNYUFBQWktrOTc3M3ZhdWQ5K0NERDJyMjdObTY2YWFidEdqUklnMFpNa1NISFhaWW41N3I1WEpaaHh4eWlHNjU1UmJkZWVlZGlxSkkrK3l6ajk3M3Z2ZnB3QU1QWEcxTzFELzk2VTlTbGVINGt5Wk4wcmJiYnF0cnJybEdUenp4aE1hT0hidkcrM242NmFlVnBxbUdEeCt1ZDcvNzNRUHdEQUZyRjhkeG82UkRKRDFaTEJiWE5ieDliU2FxNjgyL1RUSVg1enBFWm5aWXVQNTFaaGE1KzRJc3k3N3c0b3N2WGxhbDUyYVdwdW1zT0k1dmRQZnp6T3d3TTVzZndzeW1MTXRtOVRqVzNMMU9Va1ZkUWViU01EWEgzbXNidGgvSDhiK1oyYmFTVmoyblRVMU4yMlZaOWljem0rN3VGNmRwK2pOSmw4UngvSnlrMDl3OWplUDRKalA3ZmJsY2JqR3pvNHJGWXA5NVZudHk5OVRNSHBEMFowazNwMm42UUhldGNSeC9LVW1TcWtOYjNEMHlzNFlrU2FyMk1PM282UGp4dkhuekZxL3QyZ0NBTFJPQktRQU1namlPVi9XWUhFaTF0Ylc2L2ZiYkpVbjc3cnR2MVo1WnRiVzFPdWlnZzliWjFxMjMzcnJhNDVhV0Z0MTY2NjBhUG55NERqdnNzSDdYTkdmT0hKMTk5dG5hWnB0dFZGTlRvMGNmZlZSWmxtbjMzWGRmZGN5SFB2UWhmZUFESDFodDNzTnZmL3ZiS2hhTEdqWnNtSll0VzZibm5udE9acmJPc0hmWFhYZlZycnZ1MnUvNmdEZURmRDZ2Yzg0NVI3Tm16ZEw4K2ZQMTRJTVByclovekpneE91cW9vM1RnZ1FkS2txNjY2aXI5OXJlLzFkTlBQeTJGaGFTT1BmWllIWEhFRVZYbkI1NDRjYUpPUC8xMHpadzVVL2ZmZjc5dXZ2bG0zWExMTGJyLy92dDE5dGxuNjhNZi9yQm16cHlwRlN0V3JKb0h1WGZRT1dMRUNNMmFOVXZubjMrKzdyLy8vajVEODNzeU0rMjExMTZhT1hPbXR0bG1td0Y1am9CMU9DOEVqRC90RHRyNkk0N2ovdzBoNmJJd3JIdy9TUjVGMFlQOU9IMUFOVFEwN0N6cDdlRmhNY3V5YzB1bDBuWHJtZ3MrVGRNMlNZY1hDb1U5UzZYU0kzRWNuMmhtdVN6TC90RFkySGlBbVIwU1JkRUVTZHU2KzVQcStoa3RoWTlYSjBueUIwbDlGdU55OS9GbWRyaTdkMlJaOW5PRmVXTGQvUTltRmt1NkpZcWlrOFBoV1pxbTMweVM1RVozUDFQU0J5UWRrYy9uNWU1S2txUXo5QnBkNGU0Vk04c2sxYmg3bmJ1ZkVFTFhuMVc3UHpQN1VwaGlvTm8rU1pvZS92VlJWMWQzaFNRQ1V3RFlDaEdZQXNBZ09PeXd3OVlyZEZ3Znh4MTNuSGJiYmJkVncvTjcyM2JiYmZYZDczNTNuZTNNbVRObnRWQjMxS2hSR2pGaWhFNDg4Y1ExRHBGVitPTml1KzIyV3hXcTdMVFRUbnJra1VlVVpWMS9qMFZScE9uVHArdkVFMWRmWUxoM2o3VmRkOTExVlUrMGZENnZDUk1tYU1hTUdReXpCelpRb1ZEUVZWZGRwWEs1ckpVci81bGQ1SEs1UGxOc2JMUE5OdXJzN05ReHh4eWpRdzg5VkpNbVRlclhOWEs1blBiYmJ6L3R0OTkrbWpsenBtNjc3VGI5L3ZlLzE5NTc3eTJGNGZWLy9PTWZkZXV0dDFaZE9HNi8vZmJUZGRkZDE2ZkczbXByYTljNlh5cXdDVHdrYVZLbFVybG9iUWU1KzFJemU2bW1wcWFzcnY4VFgzUDN0MXRJM2tLb2QzWnpjL09qYjFUaDNWcGJXeGZHY2Z3OWQzKzhWQ3I5Wm4zUEw1VkszZk5sSENhcDJOcmFlbCtTSkorUTlIVjEzZHU4N2xBeVRkTy9KVW55STNmL2xKbk5xTmFlbVMyVDFDenBXeTB0TGZNYUdocTJ5ZVZ5ZDB2YVRkTHZGeTllZkdSN2UvdHFpM29WaThWN0pSM2EwTkF3THBmTC9hdTdGNklvMmt2U2ptWTJWdEt3RU54R1lVR3dwYmxjN3E5cnV5OHphMWkrZkhuZmxlcjZvYTJ0N2ZVTk9ROEFBR0NyVVQrcGNNR0V2UXRlUDZueHA0TmRDd1pXL2VUQ2UrcjNibnkyNFczNyt6MzNQZUJZcy9uejUzdWxVdG1nY3l1VmlxOWN1ZExMNWZLQTF6V1k3cm52QVgvci92L3E5WHNYWHE2ZlhOandKYit4MlhrenZ6WmtXZVpabGcxMkdWczBYaHUyT3Jrd0xIOUQ1YWRNbVZJN2dQVU1tdnI2K2lFTkRRM1RlbXl5Z2VxSWt5VEpnWEVjWDlROTF5Z0FBSU9GdCtZQkFQMjIxMTU3YmZDNVVSU3ROdVFld09aclRZdXJBVzlpbFRSTld6YmkvSEpiVzlzQWxqTjQydHZiVjRSRm1ycTVwSFd2Wk5rUHhXTHhGa20zREVSYkFBQnNEUDV5QlFBQUFBQUFBSUNBd0JRQUFBQUFBQUFBQWdKVEFBQUFBQUFBQUFn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BZ1A5Z0ZBTURtb2xLdXFPM0IrWU5kQnJZd2JRL09WMmRuNTJDWGdVMkkxd1pzQ0Y0YkFBQUF0bHdFcGdBUUxGK3hRaGY5OUJMVjFOUU1kaW5ZZ25SMmRtckphNjhOZGhuWWhIaHR3SWJndFFFQUFHRExSV0FLNEUxdnBXZlAxcG85bTdrUGVXWEprc0V1QjFzcTkrZFh1ajg3MkdWZzRQRGFnQUhCYXdNQUFNQVdoOEFVd0p2ZU0vTmJIOWx0NHRTam8zek51TUd1QlZ1dWl2bUx6enpVK3NoZzE0R0J3MnNEQmdLdkRRQUFBRnNlQWxNQWtMSW5GOHhyazlRMjJJVUEyS3p3MmdBQUFBQzhDVVdEWFFBQUFBQUFBQUFBYkM0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DQXdCUUFBQUFBQUFBQUFnSlRBQUFBQUFBQUFBZ0lUQUVBQUFBQUFBQWdJREFGQUFBQUFBQUFnSURBRkFBQUFBQUFBQUFDQWxNQUFBQUFBQUFBQ0FoTUFRQUFBQUFBQUNBZ01BVUFBQUFBQUFDQWdNQVVBQUFBQUFBQUFBSUNVd0FBQUFBQUFBQUlDRXdCQUFBQUFBQUFJQ0F3QlFBQUFBQUFBSUNBd0JRQUFBQUFBQUFBQWdKVEFBQUFBQUFBQUFn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DQXdCUUFBQUFBQUFBQUFnSlRBQUFBQUFBQUFBZ0lUQUVBQUFBQUFBQWdJREFGQUFBQUFBQUFnSURBRkFBQUFBQUFBQUFDQWxNQUFBQUFBQUFBQ0FoTUFRQUFBQUFBQUNBZ01BVUFBQUFBQUFDQWdNQVVBQUFBQUFBQUFBSUNVd0FBQUFBQUFBQUlDRXdCQUFBQUFBQUFJQ0F3QlFBQUFBQUFBSUNBd0JRQUFBQUFBQUFBQWdKVEFBQUFBQUFBQUFn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DQXdCUUFBQUFBQUFBQUFnSlRBQUFBQUFBQUFBZ0lUQUVBQUFBQUFBQWdJREFGQUFBQUFBQUFnSURBRkFBQUFBQUFBQUFDQWxNQUFBQUFBQUFBQ0FoTUFRQUFBQUFBQUNBZ01BVUFBQUFBQUFDQWdNQVVBQUFBQUFBQUFBSUNVd0FBQUFBQUFBQUlDRXdCQUFBQUFBQUFJQ0F3QlFBQUFBQUFBSUNBd0JRQUFBQUFBQUFBQWdKVEFBQUFBQUFBQUFn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DQXdCUUFBQUFBQUFBQUFnSlRBQUFBQUFBQUFBZ0lUQUVBQUFBQUFBQWdJREFGQUFBQUFBQUFnSURBRkFBQUFBQUFBQUFDQWxNQUFBQUFBQUFBQ0FoTUFRQUFBQUFBQUNBZ01BVUFBQUFBQUFDQWdNQVVBQUFBQUFBQUFBSUNVd0FBQUFBQUFBQUlDRXdCQUFBQUFBQUFJQ0F3QlFBQUFBQUFBSUNBd0JRQUFBQUFBQUFBQWdKVEFBQUFBQUFBQUFnSVRBRUFBQUFBQUFBZ0lEQUZBQUFBQUFBQWdJREFGQUFBQUFBQUFBQUNBbE1BQUFBQUFBQUFDQWhNQVFBQUFBQUFBQ0FnTUFVQUFBQUFBQUNBZ01BVUFBQUFBQUFBQUFJQ1V3QUFBQUFBQUFBSUNFd0JBQUFBQUFBQUlDQXdCUUFBQUFBQUFJQ0F3QlFBQUFBQUFBQUFBZ0pUQUFBQUFBQUFBQWdJVEFFQUFBQUFBQUFnSURBRkFBQUFBQUFBZ0lEQUZBQUFBQUFBQUFBQ0FsTUFBQUFBQUFBQUNBaE1BUUFBQUFBQUFDQWdNQVVBQUFBQUFBQ0FnTUFVQUFBQUFBQUFBQUlDVXdBQUFBQUFBQUFJQ0V3QkFBQUFBQUFBSUNBd0JRQUFBQUFBQUlDQXdCUUFBQUFBQUFBQUFnSlRBQUFBQUFBQUFBZ0lUQUVBQUFBQUFBQWdJREFGQUFBQUFBQUFnSURBRkFBQUFBQUFBQUFDQWxNQUFBQUFBQUFBQ0FoTUFRQUFBQUFBQUNBZ01BVUFBQUFBQUFDQWdNQVVBQUFBQUFBQUFBSUNVd0FBQUFBQUFBQUlDRXdCQUFBQUFBQUFJQ0F3QlFBQUFBQUFBSUNBd0JRQUFBQUFBQUFBQWdKVEFBQUFBQUFBQUFnSVRBRUFBQUFBQUFBZ0lEQUZBQUFBQUFBQWdJREFGQUFBQUFBQUFBQUNBbE1BQUFBQUFBQUFDQWhNdDBCeEhIOG1qdVBUQnJMTkpFaytraVRKRlVtUzdGMXQvL1RwMDZjWENvWGoxbkR1ZHdxRndsdlg5NXJUcGszYklZN2pmYVpQbno1cVEyb0dBQUFBQUFBQUJocUI2WmJwWDgzc3JLYW1wc25yT0M0cUZBb2pHeHNiOXlvVUNoOHNGQXJmU0pMazEzRWNIOUg3UUhjL1E5TDdWcXhZOFZTMWh2TDUvRVZtZG1taFVEaTg1L2JHeHNiOUpaMXBacitkTW1WSzdmcmNSRDZmUDhiTUhzam44Lys2UHVjQkFBQUFBQUFBbTBwK3NBdkF1azJmUG4zM2ZENC91c2VtNjkzOVNIZWZFY2Z4bGQwYm95aDZZZW5TcFM4UEd6YXN6Y3kyYy9kdHpjeXFORGxDMG8zZEQrSTQvcGlaTmJyNzdVT0dERGt1U1JLcEswUjlNRTNUMmFIdFk3TXNTNk1vK2syaFVDaVVTcVYyU2ZsY0x2ZGpTWjN1L3NtMnRyYVZtL2FaQUFBQUFBQUFBRFl0QXRNdFFENmZQOWZNUGxwbDExZkRQMGxTbG1VWER4MDZkS2FaalpjMHg4enVkZmNYM2YxNVNjK1kyY0lzeTU1c2FXbDV0dnVjOGVQSER6V3pjOXpkeld4L1NmdUhYVGt6KzVXazJaTFUzTno4WkJ6SFgzRDMzMFpSOUg1SlA0bmorSnVTNGl6THZsSXFsUjU0STU0TEFBQUFBQUFBWUZNaU1OMENsTXZscitmeitWbG1kb0M3MzFybGtDTXFsY29mYTJwcW5xMVVLbEpYNzlCcjBqUTlhMTF0anhzMzdteEp1N3Y3NFdtYS9rbGRQVTdQTUxQdnV2djE0WEdqcExHU1huVDNyMHQ2cUxHeDhlT1NUbmYzZVdZMkw0N2pneVNwVXFrODFOcmF1bkI5N3MvTWRxKzJmZHEwYWJ2VzFOU2MyZEhSOFpXMnRyYWw2OU1tQUFBQUFBQUFzQ0VJVExjQWMrYk1lYXhRS0x6ZHpNNTE5Nk5McGRKdnV2ZkZjZnp2WnZidFhDNDNycm01K2NSQ29UQ3l2KzNHY2Z4UmQvK1NtZjJtVkNyOVNaSWFHaG9tbU5sTVNkZW5hWHFqdWdMTkgwZzZQSHd1U2NybGN0M05USlgwMSs0SCtYeitaRWsvR1Q5Ky9OQVJJMGJrcWwxM3laSWxsWVVMRnk3dnNla0VTZWRMeW5yVU50Yk0vaXBwVW0xdDdVdVNCblNSS3dBQUFBQUFBS0FhQXRNdFJLbFV1aXFPNHhQTTdHZUZRdUgrVXFuMHlPVEprOGRJK3JHN1B4RkYwYmZXdDAwem15SEozUDJoT0k1UERKdVBsalJVVW1zY3h5ZWEyZU9Tem5IM0szcWRlNldrKzl6OXdwN2IzYjFaa3NhT0hmdUFtVTJ0ZHQyNnVycmJGeTVjK0o0ZW0zWXZGQXFIbGtxbFAwcFNvVkFZYVdZM1M1b2s2ZmU1WEc2OTd3MEFBQUFBQUFEWUVBU21tN21tcHFaaG5aMmRvOVVWUnA0WlJkSDN5dVh5a0lhR2h2RzVYTzRjTXhzdDZmak96czd1YlN2Y3ZiL05mOUhkL3lMcHU1S1dtMWxPMGhCSnk5MzlhNUtHdXZzZjBqVDlVTzhUa3lTNTB0MFhwbWw2VmJXRzNmMzNrdjdSYTNPTm1YM1N6RmIwUGo0RXZuOXNiR3pjSllxaVAwdWE1dTdYUlZGMFpITnpjMmQvYndnQUFBQUFBQURZR0FTbW03bEtwZkx4ZkQ1L1djOXROVFUxcmIwT3V6R2Y3L3BTbHN2bGQ0WGg4anZIY2J6UG10cnQ2T2hZV0N3V0Y4UngzR3BtaTR2RjRqNXhIQjlrWm4rdFZDb0h0N1MwM0JuSGNXbEQ2eTZWU24xNmhjWnhmS2lrVDdyN1gzdHVkL2ZIemV6dGhVTGh5MUVVZlZYU2JwSitucWJwNXlXVk43UUdBQUFBQUFBQVlIMFJtRzdtekd5dXUvOVhmNC9QNS9NdnVydk03Q1JKSjYzcHVMcTZ1bTlJbXRXZk5oc2FHcmFKb3VpdFZYYU5MUlFLUFlmV3ExUXEzZEZ6THRKZVBxcXVFUGgzdmJaZklPbmNLSXE2aC9kL3ExZ3MvcUEvdFFFQUFBQUFBQUFEaWNCME01ZW02VDk2RDIxdmFHaVlsTXZsWnBqWnBjVmk4Y0dlK3dxRndzZ29pdVR1L3h2bUdaVzd2ODNNdnB0bDJRK2lLTHBUWGFIbC9CNm5iZHZZMkxpL21VMVQxL0Q0NlkyTmpaSzBUZGcvSVlxaVczdlhabWIvWW1hcmJhK3ZyeC9hM3Q3ZVo4aDlmWDM5RURQN2tMdVhXbHRiSCsrMSsxbDMvN21abmV6dWw2WnBTbGdLQUFBQUFBQ0FRVUZndWdYSzUvTVRKSjBxNlRaSnF3V21sVXJGb2lpU3BBZUx4ZUtmMVRYZmFGNWRBV2VwZTFzdmszSzUzTis3SDVqWi80UmgvWEwzZVpJZXo3THNnSjRuUkZGMHE3dmY0ZTVuOXR6ZTN0NitzbHJObzBhTm1pRnBqTHQvZncyM05jdmRQMk5tUnhZS2hYTktwZElqL1g1Q0FBQUFBQUFBZ0FGQ1lMb0ZpT1A0VGpON1o1VmRmMGlTWk5VRGQ3OVkwdG5oNGF2OWJkL2RXem82T2c2cHJhMTlWeFJGMTdqN0J6czZPdTZ2cTZ2N215UzF0cmErSHNMWlZjSjFGNVZLcGR2VzFHNjNLVk9tMUVyNnVyc3Z6ckxzRjlXT1NkUDBtU1JKWmtxNktJcWkvMjFxYXZvWEZuc0NBQUFBQUFEQUd5MGE3QUt3YnU1K25ydWYxT1BmUldIWC8vVGNibWEva1RReTdIdWx2KzJiV2JtdHJlMDVNM3Raa3JJc1c5elcxdmJjUUMyNFZGZFg5MFV6R3kvcHYwUDRXbFd4V1B4dmQ3OUQwdHV6TFB1ZmdiZzJBQUFBQUFBQXNENElUTGNBcFZMcEJrblhWU3FWKzlNMC9abVovU25zK3IrT2pvNWZTcm94VGRPZkZZdkZ2MHZhWGwyaDUwc0RXRUl1OUVidStVK1NyTXIyWE04VG01cWE5akN6Nzd2N0sxRVUvWGdkMS9Fb2lqNGo2VlV6KzJ5U0pQOHhnUGNBQUFBQUFBQUFyQk5EOHJjUVp2YUZmRDUvWnFGUVdHMW9mbDFkM1cxbVZpZHBYMGxsZDQvTlRKMmRuYTM5YmR2ZGt6aU9WNWhacEs3NVNXZkhjZXlTYWlXMXgzRjhlN1VwQWN6c0kwbVM5QjQyZjEreFdIeDc5eUZabHYzU3pJYTUrMWVhbTV0ZlhGY3R6YzNOajhaeC9ERXorejlKNThaeG5LVnArbC85dlJjQUFBQUFBQUJnWXhDWWJnR2FtcHFHWlZuMmVUT2JXeXFWN2ttUzVIMDlkdDhnYVZZY3g5OUkwL1Q3VVJTOTFkMFhoaUgxL2ZXa3U1L2w3cXR0aktMb2pMRHRDbmUvcytjK016dE4wbngzLzMzUDdlNytaUGZuY1J4L3g4eitSZEtkcFZLcDZ0eWwxYVJwK3JkQ29YQlNGRVUvTjdQejR6Z2VtYWJwR1pLOEg2Y0RBQUFBQUFBQUc0ekFkQXZnN2llWTJWaDNQN1YzYU5qUjBYRkJYVjNkWnlTZG5pVEpEZTUra0tTYjE2UHR5NklvR3A2bTZSVzk5MDJlUFBuNklVT0dWRXFsVXAvNVVKTWtPYzNkNTZacE9yTmF1NFZDNFpObWRvYWsxOHJsOG1mWE4rd3NsVXEvaU9ONGpKbk5Nck52eFhHY2xNdmxvK2ZNbWZQeStyUURBQUFBQUFBQXJBL21NTjNNVFp3NGNZUzd6M1QzUjlJMC9XM3YvVzF0YlN2TjdFdVNmaVZwUHpNYkxlbVgvVzIvVkNyZFVDd1crNFNsa3ZUUVF3KzlVaTZYNjZaUG56NXFmV3FPNDNpS21mM1MzYk1zeTQ1c2JXMmRYKzA0TTh1SGoxbTEvV21hbnVQdXg0ZkZwNXB5dWR6MjYxTUhBQUFBQUFBQXNMN29ZYnFaR3paczJBZ3ptNXRsMlM4bFZkVFZLM1JiTTVPa1RuV3RMbjl6SWU2VXVnQUFJQUJKUkVGVWZYMzk3YU5HalNxYTJhTnBtczd1VDl1RlFtR0dtZTNrN2lORDBEcGEwaGd6R3lOcGUzY2ZiVjBYT2tYU2hmMnRPVTNUaCtJNHZzcmQ1NVpLcFQ5V082YXBxYWtteTdLREpLbGNMais5bHJaK21TVEpDKzcrZktsVWVxUy9OUUFBQUFBQUFBQWJnc0IwTTlmYTJycFEwci9HY2R3WXgvR3Z6R3lwcEVQVTFUTnpRZmR4STBlTy9FOHoyMXZTUi9zNy9EMktvcE1sVFEvaHE5ejlGVE43WHRJTDdqN0h6SjUzOStmTjdKYjFMRHRMMC9UNDdvQzNXNUlrajRaUGw3bjdqbWEydmFTbmxpeFowcksyeG9yRjRrM3JlWDBBQUFBQUFBQmdneENZYmlIY2ZabVpIU3ZKM1AxbE0vdHVjM056ZHdDcEtJcUs3djdyTkUxLzE5ODJ5K1h5Y2VvS1hwL3Y3T3hjMU5iV3RuSUFTNjVVMmRidTdnZVltYm43VWtsM1pGbjJsZmIyOWhVRGVGMEFBQUFBQUFBQWtDVFpZQmV3TmF1ZlZMaGd3dDRGcjUvVStOUEJyZ1VBQUFBQUFBQ2JCb3MrYlYzV2F5VjZBQUFBQUFBQUFLc2pNQVVBQUFBQUFBQ0FnTUFVNkNkVFZpdEpidW9jN0ZvQUFBQUFBQUN3YVJDWUF2MWx0b01reWJWb3NFc0JBQUFBQUFEQXBrRmdDdlNUdSswV1BudG1zR3NCQUFBQUFBREFwa0ZnQ3ZSSGZmMFFtZThoU1ZheGhZTmREZ0FBQUFBQUFEYU4vR0FYZ1BYVDFOUzBrN3RmSWVuWllyRjQ5UHFlUDMzNjlOMXJhbXBtU25xZnUrOW9aaTlKdW5ubHlwVm56SjA3OTZsMW5kL1kyUGkyS0lxdWR2Y2ZsRXFsWDZ6citJYUdobW01WE83TGtnNlN0Sk9rMXlYTk43UFRpc1hpMzNzY21rdVM1RWgzLzZTa0pqTWJMZWxWU2ZkSU9yZlhzVys0M1dxMk8walNLSGN0S2VjemVwZ0NBQUFBQUFCc3BlaGh1b1dvcjY4ZmtpVEpWOXo5UVVrSGJrZ2JjUndmbE0vbld5VE5rTFJUQ0V2SFNUcXVwcWFtRk1meGxEV2RPMjNhdEIyU0pQbEpGRVgzbUZsOWY2NVhLQlJtNUhLNWY1alpaODFzVnpONzJjeUdtdGwra3BwNjFmWWVTYjgyczBNbDFicjdFa2xqSkwzZjNXK0w0L2d6RzNMUEF5U2Z5OW1uek13a3Y2ZGNYdjdjSU5ZQ0FBQUFBQUNBVFlqQWRETVh4L0hPU1pKOFovVG8wWTlKdWtEU2RodlN6cFFwVTNhVWRLMlpiZXZ1bDJaWk5xNVlMTzY4Y3VYS1hkejlSak1iYldaWDl2NmVhR2hvU09JNC9sbHRiZTNqa3I1Z1p2MzZua21TNU1ObWRyR1p1YVN2bTltWVlyRzRVN0ZZSENacFNybGMvbHVWMDY2b1ZDclQwalFkbGFicEdIZXZkL2MvbTFsa1poZkZjVHgyUSs1OVkrMjJaK01oa3Q0dHFlenlPNTVic0dEeFlOUUJBQUFBQUFDQVRZOGgrWnM1TS91SXBEUER3K3NsUFNIcEsrdmJUbTF0N1JmTmJLU2tORTNUejBuS0pHbnUzTG5QMTlmWGYyTFVxRkVMekt3aGp1UDNwMmw2WS9kNXVWenVtMmIyVVVtZFdaYjl3TXplYVdidldkdTFKazZjT01MZGZ4b2UvbHV4V0x5cDUvNWlzZmhnNzNQU05MMU4wdXhlMjU2WU9uWHFVWFYxZFFzbERRdkQrcTljMzN2ZkdLTjIzMzA3eTltWFhiNjl1VjcwcUh5RHBNb2JXUU1BQUFBQUFBRGVPUFF3M2N4bFdkYmg3bjl3OS9jVWk4V1B1UHRMRzlLT21iMVhrdHo5c3U2d3RGdDdlL3NLU1Q4THgzMjQxNmt2dS92RmtxYVVTcVZ2OVNjc0hENTgrT2ZOYkFkSlYvUU9TOWVpYXJ2ejVzMWJMT21SVU52d2ZyWTFJSGJiYmZxb0VUWERmeGlaRGpLelNzWDlCMCsydGMxN0kyc0FBQUFBQUFEQUc0c2VwcHU1VXFuMGMway8zOWgyekd5bjhMSHFDdTltMXFhdVFEWHV1VDFOMHhrYmNLMmpKS2xTcWZ6M0JoZmNnN3NQTVRObFdmYjRRTFRYRDduZDlweCtRSlNMVGplejk3aHJ1V2YraXljZmJ2M0pHM1I5QUFBQUFBQUFEQklDMHplUFplcnFzYnBidFoxWmxnMkpva2o5WGRCcFRacWFtclozOTJudS9ucHJhK3NEalkyTkIrZHl1Wk1rVFhUM1Z5WGR2R3pac2d2bno1Ly9Xbi9hYTJobzJOZk05bkwzaFV1WExyMWpZMnJyanhIanA0NGVzMjMrZXpKOXpGMWpKVjlwbVYyd0pIdjlISWJpQXdBQUFBQUFiUDBJVE44OC9pRnBrcGtkSittaTNzUHl6ZXpvOE9tMkczT1JMTXNLWmlZemV6UkprcytIYTNWZlE1TGVPV3pZc0tPblRKbnk3cmEydGpXdE5wK1A0M2dYZHo4OGlxTHZ1ZnRTU2NjdFdMQ2dZMk5xNjZ1cFp1eVU1WFc1bFhWRHJhYXlhMjJtZjdjb21pRnBwTHNxTW44bGMvM3FpWWRMWjBvcUQreTFBUUFBQUFBQXNEa2lNSDJUeUxMc3AyYjJTVE1yeEhGOGRibGNQbTNPbkRtUE56UTA3SkxQNTc4ZkZsVGFhTzYraTVuSjNVZWIyYm1TVG5mM24wZFI5THE3djgvZEx6YXp2ZXJxNmk2VzlNR2U1eVpKOG5aSjkzUS9EdTM4MXN6T0xCYUxDemFrbnAzM21MWnJQaGZ0WmJsb2lOenJwR3lJS1JwdXJyRWVsWGRSVnJPTDh0bWVwbWh5OTR5KzducFc4cXU4TTd2MmlRVno3bG5YTlFBQUFBQUFBTEQxSURCOWt5aVZTbmZGY1h5R3BPK2IyY2RxYW1vK2xpUkpwNlFhZC9ldy9ReDM3OWRRK1RVeHN4SGg0L2dzeTg0dGxVci8yV1AzOVlWQ3djM3Nlak03SWttU2lUMkQwQ3pMVmtSUjlLaTc1OHhzaktUaFp2WnhTYnMxTmpaK3FhV2xKVjJmV3VyckMvV3E4Y3ZNdExkY09UZmx6SE01TitWZFBzUmtrV3pWNFozdXVzMHovYjRjK2Q5cVZyejY1Qk5kaTJFQkFBQUFBQURnVFNRYTdBTHd4a25UOUN4My82QzczK0h1UzkyOVE5S2RabmFZcE5uaHNFVWJlWmxWRWVTS0ZTdk83YjJ6VkNyZDRPN1BxQ3NnM2IvWHZsS3hXSnlZcHVtRVlyRTRvbEtwVEpKMHNhVDljN25jZlhFYy84djZGTEt5THF1VGFUdko2aVRWbWxUanByeTU1M3JXS1VrdVBTbGxpOXpMVDlhczZGelMzajZHK1VvQkFBQUFBQURlaE9oaCtpYVRwdW1Oa203c3ZiMVFLSHcyekQwNmIyUGFON1BYMURVMGY5RkREejMwVXBWRDNNd2VsYlN6cEozVzFsWkxTOHZEa3I2WUpJa2tmVUhTTEVudjZHOHR6OHh2ZldUQ1hsTS9uYm1OOXlnYXFzeUc1bFFaa2tYUmlFaTJvOXgza3RrT0xrMHdhUTladEVjdUgzM1M4M3Awd3FUeXIxWmE0elZQUDlUeThBWThEUUFBQUFBQUFOaENFWmhDNmdvNkQxQlgwSG52eHJTVFpkbmpVUlJKMG5haEIzTlc1YkJ5dUdhL0ZuR3FWQ3BYNVhLNUw1aloyOWJTWnRWeUhuOTRYb3VrbG1vNzYrdnJoM1FPR2JKTmpZWU03MVM1UHFmY1J5UFpNV2JhUTVHZFVlTTZ2bjZ2aHUrMFA5eDZlVCt2QndBQUFBQUFnQzBjZ1NrMGVmTGtNWktPa0tSeXVYenRSalpYa2xRMnM5cnAwNmRQblRObnpwemVCN2o3WG1ZbVNmMWF5TW5Nc25CZWVUM0MwblZxNzVxamRJV2tseVMxUzdwdGwxMG1meWMvdk82OFNQWVJ5ZCtpS1BwcC9hU0drZXBZY25FN2M1b0NBQUFBQUFCczlaakRGQm82ZE9nRlpyYXRwT3ZuekpuejJNYTBWU3FWWHVtZUQ3V21wdWFVM3Z2ak9EN0N6SFp4OTZWUkZOM2V2WDNLbENtMWEyb3ppcUtQcXlzNGZXQmphdXVQcDU5KzZLVW5IbXI1WE5rcm41TDBEek1OTll1K3B5RWpUdHZVMXdZQUFBQUFBTURnSXpEZCtrUnhIRitaSk1tQ1FxR3cybnlmU1pLYzJkRFFNTDc3Y1ZOVDAyNUprdnphekk1eDk4WGxjdm5VZ1NpZ1VxbWNwYTRlb2NjbFNmS1Y3cDdNRFEwTiswcjZuM0RZRDV1Ym0xL3RQcWV1cnU3T1FxRndYRk5UMDNiZDI2Wk5tN1pEb1ZENG9idC9TVjNEL1djTlJIMzlVSDVxL3B3YnlwaytuR1grYTVjUGwyeG0vZDROLy80R1hSOEFBQUFBQUFDRGhNQjBLNU1reWU1bTl1K1M5akN6ei9UYzUrN2Z5T2Z6VDhWeC9ISWN4ODlsV2RZdTZXaDNmMEhTKzF0Yld4OGZpQnBhV2xydXpMTHNtOVkxN3Y2Q0pFbGVTcExrbVh3K2YyL29YWHBEbXFiZjczbU9tZTBlUmRGbFdaWXRqdVA0NlNSSlhxeXRyWDB1aXFKVHpLd2k2WlJTcWZUSGdhaXZ2eFkrM1BMMGtzN1hUamJaM3lUVnVkdDV1MHo4WitBTUFBQUFBQUNBclErQjZWYW1XQ3kydS90c2QxL3M3bGYzMm4yaHU3ZUZIcC9iU25wUTBuOUdVVFExVGRON0JyS09VcWwwZHBabGgwdTZSWkpMR2ltcDJkMVBTdFAwbzkwTFAzWExzdXlEa241alpvOUlHaUZwRzNkZjRPNi9rTlJVTEJZdkhNajYrdXZseHg1N05jdDBvYVFYSTJsc0xtK0hEMFlkQUFBQUFJRE5WeHpIallWQzRheUdob1p4dmZkTm5EaHhSS0ZRT0N1TzQvMDI4aG9YeFhFOHMvZjJ4c2JHcWYxdG8xQW92SE5qNjFoTDIvOFd4L0g1bTZKdDRJMW1nMTBBc0FYSXYyVlM0MlZtT2txeXE1YVVsNTY0ZU1HQ0pZTmRGQUFBQUFCZzg1QWt5ZEdTZmwwdWw2ZTN0cmJPN2Jtdm9hRmhmRDZmZjByU0tmM3BESlFreWUvY2ZXRVVSYWMyTnpkM3FpdU1IQmxGMGN1UzBtS3htSFFmRzhmeHg4enNXbmUvdUtPajQydHRiVzFMMTlaMkhNZHp6V3hGc1ZqY3A5YzFUOGl5Yk5kMTFXWm16NmRwZXRFYTZyNVEwdEhGWW5IN2RiVXpkZXJVMGJXMXRZbWtKa243aEkvN3BtbTZhRjNuRHFRa1NUN2k3aWRMS2tqS205azhTVDhwRm90WHJFODdjUnkvVzlKWHpld2Q3ajVjMHBPU3JscTBhTkhaQ3hjdVhMNk9jdytWZEpLWjdlUHVZeVM5YkdZUHJGaXhZa1piVzl0ekczMlQyQ0Q1d1M0QTJBS1VsVld1VWk1M2xKbmVPY3pyeGkyV0NFd0JBQUFBNEUwbWp1TnZTK3F6S0xDNzU4MU0rWHorL2ppT3M1Nzd3blIxY3ZkejRqZytxL2U1Wm5aOXNWZzhSbDBCWHBPa0Q1dlpyZDFocWJvV1E1NGMya2g3bnJ0eTVjcGJhbXRyLzgvTVRoZ3laTWg3R3hzYlA5WFMwbkxuQnR6YXA4M3NyWkxXRnU0TkRTTlZxd2FtMVRRMk51NWxab2VhMmE1bXRxdTc3eXBwTnpQYnBkZWh5N0lzbXlycHRnMm9mWVBFY1R4TDBtbmh5L09xdTB2U3ZwTDJUWktrb1Znc2ZyMmY3Y3cwczdQRHcyV1NYald6UFNWOWUrellzWWVPSGozNlBhMnRyYTlYT1RXSzQvaGlNL3VzdXI2MkhXYTJXTkwya3Q1ZlcxdTdveVFDMDBGQ1lBcjB3eE9kUzJmWDU3WmI2dTdqRmVYR1NGb3cyRFVCQUFBQXdOYW9vYUZoV210cjY0T1NLb05kUzI5bTlvQzcvNnpLcnIwbEhTYnBha2t2OWR6aDd0dWEyUWxtZHBlN0YzdWY2TzZ0UFQ3L3JKbkozZis3MXpFRk01T1pyUmFZenBzM2I3R2t3ME9RZTJZVVJiY1hDb1czbDBxbEJ6Ymc5dWFrYVZwWTA4NDRqdThNMCsxSm9aZG9UVTFOejdWVEVrbERDNFhDMTNyVS9hU1p2VS9TQzVLZU1MTk9TZnU1K3l4M3Y4bmRGK1h6K2VkN0xncjlSb2pqK0Fnek8wM1NDa25IRll2RnF5WGw0emcrMWN4bVNmcVBPSTcvbUticDdXdHJKMG1TUXlTZEhiNVh2MnhtbHhTTHhjNDRqaHZON0dvejJ5ZWZ6NThqNll0Vnp2MmhwTSs2KzlPU3ZweW02UTFoK3NKY0hNZjdtOW5UbS9SSndGb1JtQUw5MGQ2K1FwTUxqNW1wTVlwOFYwbjNEWFpKQUFBQUFMQTF5dVZ5ZHlSSjhuU1daYi9Oc3V4Mzd2N0NuRGx6bG13T0FXcXhXUHl6cEQvMzNoNkc1QjlXTHBmL2F3MUQ4aytRZEdPYXBtc2NrdC9VMURUTTNZOTA5NmREZU5iVFc5VzEva2RhNVZSUDAvUjdTWkxjNSs0SDlBNUxHeG9hcHBsWmQ5QTVURksrc2JGeGYwbks1L012TmpjM1A3UmVUMEtReitlM043UHY5TmhVSzZtbTU3WW9pajVXTEJZUDYzNGNwaEE0U2xKenFWUzZhME91TzBDK3A2NUE5N3RwbW5hdi8xSk8wL1NjSkVuZXJ2L1AzcDJIeDFYVi93Ti9mODZkbVV4RGs1YktLdFZ2eEVCclNDYjMzRkVXUldSVlJBVkJWQlpCVkw0aXlxS3lJeWpiRjR1QzhnT1VSUkFYVUJaQlVjQVZVVUVSY082ZG1hU2hoWUFGVzJRdDNac21NK2Z6K3lOMzZuU2FaWkttRGNqNzlUeDlNdmZlYzg0OWQyYkM4L0RPV1lBUGk4aXBBRVlNVEZYMW5IaUU2bFZoR0s0TnVhTW9LZ1JCOERGVnpZdklaMmZQbnYyMWVmUG1yUTNTZ3lEWVZWVlBBdkJpdVZ4K2Q4MG0zT1hSZ2xyYStCaVlFdFh2YVFDZEltaVo3STRRRVJFUkVSSDlGeE1BN2NhWWk0MHhad0w0aDdYMmZsVU5SU1FmUmRHems5MUJESVplR1ZWdHcyQncxZ0RnTE0venJMVzJ2YnFjcW5xcWVwYUlyTExXSHVhY1d6alV0SGxWZlRlQWFRQ1dXR3R2cWJtOEJ3Wkh1SjV0clIxeTJudzhwUnpXMnA5Vm5UdExSQzRYa1gycXkzcWU5d0FHQTlnN0FCd2FuMDc1dmovUy8rODJWQjhVQ29YSDR3MmxLKy9INVFBK0VVWFJxR3VZVHFaTUpqTkxSRHBWdGI5VUtsMDdSSkZyQVh3WXdENHRMUzNwQlFzVzlBM1ZUbHRiMjFRQXV3SEF3TURBRGJYWHd6QXNXbXYvQ0dDZmREcjlRUUEvckxwOG5vaUlxcDVaRTViU3F3UURVNko2aVQ0TENFUlJ1OVlLRVJFUkVSRVJUWnpxRGFxYkFld05ZQzhSZVZGRUZnVkI4R2k1WEw3enhSZGZmT0RaWjU5ZE5WbWRWTlVqNG1uZEk0cEhJSzU5Yll5NUM4QlE2NHlLcXE2TTE3RGN2NnFPaWRjUExRRjR6eGk3ZVlsejdqUmp6QnZpNCs4QjZBZndCUUFvbFVyUFY5M25iU0l5WW5pbnFuT3JqMXRhV3RLTmpZMlZiQ21KL3dTSm1ESmxpc3ZsY3FOK1BtMXRiVk05ejlzcWxVb3R5K1Z5THcxVkpnaUM5Nm5xaDBYa2lqQU1INnZqdVllVlNDVDJ4T0R6UmwxZFhhL1VYdS9yNjN1d29hSEJpY2lVNmRPbmR3QVljbmtEei9PMmlqOGJBRmc0ek8xNkFPeGpqTEdWd0RTVHlXd0ZZRjhBUzVjdlgzN3poandMYlR3TVRJbnE1YVFQQmdBa1BkbGRJU0lpSWlJaStpK21xQm94R1JNQVc4WC9yT2Q1bjkxNjY2MmYzM3Jyclc5VjFkczh6NXUvZE9uUzViMjl2V3MyVlNlWEwxOStjV05qNDFXamxmTThiNWFJZkVsVkR4Q1Jmem5uZmpKVXVYaTYvOVRhODc3di82OHg1anBWUFRlS29qa2IwbWRyN1VvUjZRdkQ4QSsxMTFUMWFRQm5EbGUzWnZvOUFHRHp6VGUvUlVRT3FqNlhUcWVYWTNEMDZxSk1Kck5ySXBGNGg2cHVJeUpicStvdWNWdHpyTFhmRUpHdDQyVUNvS3BmQnZEdFlXNS9tNGcwQTlnUndEN0RsS25YN1BobnoxQVhlM3A2Vmxocm53VXdVMFJhaHd0TXkrWHlxbVF5Q1F5R3NHOEdzRjc0S2pLWUg2anEycEc3eHBqM0FQQlU5Vys5dmIwRDF0clBpY2hIVlhWckVWbm9uTHNsbjgvL0NJQ3JiWTgySFFhbVJFUkVSRVJFTk9FeW1jeGJBR3hkVDltQmdZRi9QL2JZWTA5WGpsdGJXeHMyMjJ5elZsVnRxcWQrZjMvL0U5WHJBM1owZEd4dWpObEJWYzNJTlFIUDgxYS84c29yODZ1bjNXWXltWmtBWnRaemIrZmNpOTNkM1U5V25aS09qbzVaVld0R2pxaFVLaTNvNmVsWnV4TjJXMXZiMUVRaXNXTzhIdVJvK2xldFd0WGIyOXU3cktyK05vbEVvcTVseEZSMVNWZFgxeFBWYTRPMnQ3ZS8xUml6WlQzMW5YT0x1cnU3LzFVNWJtbHBTVGMxTmUwZ0lwdlZVNy8yYzVzOWUvWWJVcW5VRHRWWlJXVjBablY0V3ZWNmF4RTVDY0J4enJtdTV1Ym1CenM3TzR2R21JZWpLSHFzRXJ4T3BHdzIyd2pnemNOZFg3cDA2Yk9WejhOYSt4NEFwd0Q0b0tvK0NlQllFZmx4b1ZBWWFHMXRiV2h1YnY2V3F0NFpSZEY5STkzVEdITTRCdCtMbjQxVWJrT1VTcVZEblhOUy9YbldDb0xnSCtWeTJhczUvVzBBbFg1OVFsWGZKU0xIeC8xZG1VZ2tQZ0RnbW5nakt4V1J5bklDcXdETWRjNzkyeGp6YjFWOXpoanp0eEc2K0JDQTk2bnFTR1hxb3FwdkVoRTQ1MFphMnVHNU9EQjl3M0FGZW5wNm5yUFdMaFNSbVFBK0RlRGs2dXUrNzA5WDFRL0VtM1ZWLzdlc00vN1phNjI5VlVRT3hYKys2enNaWTk0WEJNR0JZUmdleXRCMDhqQXdKU0lpSWlJaW9nbG5qUGxNdkxuTHFEelArejZBQ3l2SGpZMk5XM3FlZDZHcTJucnFwMUtwa3dEOHF1cmU3L0E4NzRwNFhjblJQRGwxNnRUakFLd05QWTB4aDRySXlTTlhHNVJJSkg0RzRMVEtjV3RyYXlxUlNKeFo3OVJwei9NdUJQRDl5bkV5bWR6QkdITU5nSHBDeXhjYkd4dFBBdkQzeW9tR2hvWURBSnhiejcwQi9MbTF0ZldrNnNBMWxVcDlUbFVQSGJuYW9FUWljVFdBYjFTT3AwNmR1bDBpa1pnRG9LMmUrcldmV3lxVmVxZm5lVmRVUmh4V3E1N1dYaTBPVHh0RTVPMnFtdlU4cncvQTA3N3Z6elBHM0xGbXpacDc0NTNrSjBTNVhON1pHSFAvY05lYm01dVBBbkJUdkh2NnJ3RjBxZXEvUmVUZnk1WXR1N20zdDNlZ282TmorMFFpY1V1OGtaTUhZTmpBTkp2TmJ1dWNlNCtJTEZYVlE2MGQvVmRDUkI0UHcvRE9lcC9KOS8wakFMUVpZK0Q3L3JEbG5ITXd4c0JhMngxRjBTMFkzTnhvN2VaRVFSQzhYVVRlSG9iaFRaVnpiVzF0MnpRME5PVEs1Zkp6eVdUeWVlZmNRU0p5dTZwZUVFVlIzUUZ3R0lZSHRMZTNiOW5kM2YxOEhjVkhzeGtHZjgrSFhTNmdFdXlxNm9qaHY2cCtWMFF1RnBFdldHdGZOc1o4TjVmTExlN3M3T3cweG55MzhudXNWU20vTVdhNytCNEhxT3JtNVhMNTQ2cDZUektabkZJdWw0OHh4c3dCY0hBUUJDZUhZVGpjaUZ2YXlCaVlFaEVSRVJFUjBZUVRrV2tpc2syZHhadXJEenpQODFUMURmWFdOOGFzczJ5VzUza044ZlRXVVpmVFV0V2xudWV0TTJwT1JLYU9vZS9UaGppMytSanExNGFEU1FCYjFsTmZWZUY1M2pvalVVV2tFVUJkOTFiVnphZE5tMWFiUk5iOXVkV09BUFk4ejR0SDVJM3JjelBHcEVWa0cxVWRPaDBkdVMrVm53MGk4ajhpMHVTY2UxUlY2eG1wT3haNTU5eGVOZWRhalRGWHF1cHlWWDA0UGxmSlcwNFhrWlVBN205cWF2cSt0ZmEzSW5JVmdKVUFEb21pNk9lalBOZkg0M1V5cDRuSTErdnBvS3JlQldERXdMU2pvMk43ei9QMk44WThvNm9mRTVHRDR2VlRSeVFpbTZucUhRQnVDWUpnVitmYzdsV1hBd0JUZk44L3RYTENHUE53R0lZUFZJN3JDWHlINFNZb0xJV0lWTDRUcGVIS3FHbzVIaGs2NGdqUGZENy9UV3Z0SGlLeXY0aWNyNnJuQjBFd0VQOGVMd1h3WFFBbmk4anlxcmFiNHo4QXZCWEFBWVZDNGRmeHBaVUFMZzJDWUNhQWswZFpvb0EyTWdhbVJFUkVSRVJFdERGY0RlQ2VlZ29PREF3c3FENSs4Y1VYWDVneFk4WVppVVNpcm1udC9mMzkrZXJqVXFuMHNESG1ZeUpTTzMxNFBjNjVGYXE2cUthOVd4b2FHdjVSWjkvWHFSdVBJTHdnbVV4ZVhVLzkxYXRYcjdPQnpmTGx5K2MzTlRWOTJ2TzhVVWZIT3VmV2xFcWw3cHIyZmpWbHlwVGVldTVkS3BWZTdPcnFXaWNrR3hnWXVES1pUTlkxT3RFNTkxVDFzYW91Y3M1OTJSalRQSHl0LzZqOTNQcjcreDlJcDlNSEE3aTlkaTNQU2lCYU85STBQaTZyNmpNQWlxcmE3Wnk3TDVGSVBKakw1UWJxNmNkWTVQUDVKUUQrVkRrT2d1QjlBTDRlcjErNWJ6NmZmNksyVGhpR0QxaHJ2eVFpVndBNFFsVnZLWlZLbng5cXc2RWFDVlU5S1E3YmZnM2dneUxTdW5yMTZ1VkRGVzVvYURoZFJNNnRIbkZjMGRiV3RrMHltZHdEd0phcXVtVXltWHdTZysvclpYR1JsMnQydDAvNHZqKzF2NzkvVlU5UFQzL1Y4eTZwS3JPSGlId1ZnNStEVk1MLzZyVk80L1lmd0t2TEtnejJiZGcvcUlqSWxMak1pbEhhS2tWUjlDRnI3VWtpOGlsVjNVRkVWcWpxbjhybDhsYzh6L3Q0L0IxOXNhcnR5cGU0TzRxaVg2L1hZS2wwZFNLUk9GbEVadnErMzVMUDV4ZlVscUdOajRFcEVSRVJFUkVSVGJnb2lucUcyMVJsTkFzWExseTljT0hDOVVLZmVoV0x4UmNBL0g2ODllZk9uZHNMb0s3UWNRaXVxNnNyTjk1N1AvWFVVMHNCRER2bGV6VHhXckJQMTFGMFNGMWRYVjBBdXNaVHQxZ3NyZ1F3N2pVbTQ3VmNmMk90TFNNT1EyczJmZ0xXRFUyWHErcnZWZldYcFZJcEtwVktpK2JObTdkNFk2eGRXaXVielc3aG5Mc0l3SEVBSGk2WHl4OHBGQXJWNGZsMERFN2hYNFBCMzRjcnJiVkxST1FHRWRrM21Vd2VBZURha1VZNVdtdVBGcEczcU9xM1JPUW5BRDdtbkR1OHA2Zm5XN1ZsT3pvNk5oZVI0MVYxeWZMbHk3OWIwODdmUkdTM3FsUExWUFY3SW5Mdm1qVnJIbXhvYUxpdHRyMGdDUFlCOEp0ME9uMGlnQ0UzdGdyRDhCdVZKUm1DSVBnNGdGdUdDRjdYNFp3ejhZRHUyVUVRSEtLcTJ3RjRZL3h2T3hINVhkenVScU9xcjhUZm9XR1h2WWhIcUFQQW91SEtWQ2xGVWZRdEFPdDlMa0VRN0lqQjU1NWIxZmJ5dU8zSGFzdGpjRm1PcDV4elRrU01pR3dMZ0lIcEpHQmdTa1JFUkVSRVJCUEp0TGEySmhHUHR1U21KVFFPRHZHbzBxcE5uMVJFU3FxNkJzQThWYjJ1WEM3L3JJNVJtaE1xWHBQejgvSEl6ODFVOWV0cjFxdzVyNmVucHo4SWdxc0F0S3BxbjZxK0c4Q2Fjcm04OW84R1VSVDkyRnI3R0lDclJlUXFhKzFaQUg0dUlyZFZUMXVQZVNKeU5vRFN3TURBNWQzZDNmK3kxdjVLUkw2V3lXUnVLeGFMQzZzTEo1UEpLd0ZzSVNMSFZhOUpHM09xZXArSTNLMnFKNHZJeTFFVXJaMDJQOVEwZWVkYzJoZ0RWVjI5M3NVaHFPclJsYytxbzZOajg2NnVybGZpVVBuU3FrQjBXeEdaZ2NIUSswS3N1Nm5YR2dEUE91ZEdIUlUrQVI2UDc3M2pVQmRiV2xyUzhVWk9VTlVoUTgwNmlhcStKOTVnYXUwZmdFVGtuM0hibXc5VktaZkx1U0FJSEFCVENkeHAwMk5nU2tSRVJFUkVSQk9tdmIyOVBabE1maFZBZjN0Nys1enU3dTdpWlBlSlhuTUUvd25UVmdHWUJ5Qnl6djI5WEM0LzJOWFZOVyt5T3BaT3B5OEE4TDhBL3FpcVg0NmlxRkM1cHFvdmlNamJSU1FCNEZIbjNOVzE2MjVHVWZRUEFMdjR2bitVaUh4QlJFNVExY1cxMDlhRElEZ0p3RnRWOVlyS3p2V3FlZ3FBeVBPOE83UFo3SjY1WEc0VkJnUFBVd0FjQ2VCM1lSaCtyN2JQVVJTOUIwQTVMbnRzUGM4cElsdkU5M3hwdExLWlRHWVdnUGNEZUJoQUpwbE16dlY5LzJzREF3TjNKUktKSTFYMUJRRFBBdmhydk9IUzNnQytvNnIzaU1naUVYazJETU5SN3pPQkt1SGxycTJ0clEyOXZiM3JoSkl6WnN4NFo3d2N3c0tobGxpb1Z4QUU3d1V3RThBenhXTHhrYXBMbGVVK091SmNybFJUN3kzeC9aMnEvbk84OTZjTnc4Q1VpSWlJaUlpSUprd2lrWmdCWUI4UjZVc2tFdGROZG4vb05VbFZ0VmRWN3dad3IrZDVUeTFldkhqUmdnVUwraWE3WXlKeVdxbFUrbW1oVUxpL3M3TnpaOS8zMXdhUXF2cXNxbDVmVlh6TDZ1czE3ZHdWUmRFUE96bzZPc3JsOHZ6cWE5bHNkcmFxWHF5cUw2cnExeXJuOC9uOEUwRVFmQTdBajUxejkzWjBkQnljVENhUFVOVnZxdW9UcFZMcHNHR1dJeWlQNHpsbnh6OUhEUXdUaWNTWkFPWUQrTHVxN2dEZ1R5SnlqWWdzRGNPd29YcVV1YlgyVUJIWlcxWC9WTHQrWnphYmJheUV3QnZUbWpWci90TFEwTEJZUkdZME5UVWRDZUQ3MWRkVjlmaDR3NmVmanZjZXMyYk5hb3FYVXFpczQ3cjJjMW04ZVBFZlpzeVlzVXhFdHJiV0hoRkYwWStxNnpyblBtK01nWWo4ZFZPUG9LYi9ZR0JLUkVSRVJFUkVSSzhhenJuOUM0VkNPTkw2bnBNbGw4dXRYV00yM2xqc2xIRTIxUTNneFhqTjJHb0o1OXlQUlNTdHFzZkhtMHl0RlliaFRVRVFiQ3NpMzBna0V2TUFiQ1VpODB1bDByNFRHSzRaQUFkak1EemNlYVMxaUgzZjkxWDFhQUJmRUpIWklxTExsaTM3VkZOVDAzYkdtQjkzZG5ZdUtSUUt2NnZucHM2NUs0TWcyRzdseXBVZm5UOS8vam9iVy9tK2Y0Q0lIT3ljdTd4UUtNd2R2cFhSOWZUMDlQdStmNm1JWEF6Z01tdnRNMUVVL1FHQTUvditsMFRrVUFCTFM2WFNwVlhWakxYMlpoRjVoM1B1Nkh3Ky96Y0E2T3pzM05FWXMvZXFWYXR1cnZTNXM3TnpaMlBNZDBTa1RWVWZOY2Fzc3dIY2dnVUwrbWJNbVBFTkFCY0J1TnhhKzJ4OGYrUDcvbEhHbUJQaUpTak9xKzA3YlRvTVRJbUlpSWlJaUlqb1ZhTlFLRHhTUjdGSkZRVEIyMHFsMHRlTU1SZFZ6b2xJbzZxdU0wSlNWZCtiU0NSeTVYTDU1Y281NTF6Szg3eU9JWm9WYSsyMUl2SjJWZjFwUHAvL3dUQzM3NHFuLzI4Vkh6L3FlZDY0MTdwVTFadFBOenU5QUFBZ0FFbEVRVlFCL0tYcTJVNEM4RllBQThhWUc0TWdPTHhVS24ydVdDeitVMVhQVXRWbjRxSkdSTDRySWk4c1hyejRCek5tekppRHdiV0wxMlF5bVk5Nm5wY3p4dXdGb0s3QU5GNDNkSitwVTZldU41TFlHSE1MZ0NiUDg3WUhzTTk0bjdVaW44OS8wMXE3bDRqc0IrRDMxdG9YUkNRTm9CbEFINERENHMzakt1L0o5Z0FPaS92NTZjcm1acDduelFCdzlXYWJiWFoxRUFUUHFXcGFSS2JIMWNKeXVmekJLSW9HYXU4Zmh1RWxRUkRzSmlJZnFOd2ZRS3BTVjBST0Q4UHdqeHY2bkRSK1pySTdRRVJFUkVSRVJFVDBXdEhhMnRvTTRDSFA4MjdPNS9OTDh2bjhFbVBNKzBSa25xcHVWem1ucXRzWlkyNXh6bDFRT1pmUDU1Y2tFb2s1QUg0WEJNR0hxdHUxMWw0aElwOVcxU2RXclZwMVhQVzFiRFk3TFFpQzQ2eTFFWUJmQTlqTU9mZC9BQjRFOEFrQVQxbHJyOHhrTXUxamZaNThQbjk3dk1zN3JMV2ZCbkNwcXM1VjFSWlYvU0dBOXlZU2llNGdDTDRZUmRFMStYeitIZ3lPK2p4UlJIWlQxWE5xbDBzb0Zvc3ZPT2QyamFMb3JERjA1WTBBbnM3bGN1c0ZqSldBVWxVZkhPdnpEYU1VUmRFQnFucG12TEhUTkZYdEEzQmJxVlI2UnhpR3Y2a3VISWJoQWxXOVQxVVhxK3F0bGZQOS9mMy9WTlVmcWVyVEFLYkh5MGs4Qk9BRUVkbTFPblN0dlg4WWhnZXA2c21xV2hDUkpobGN0UGQzcXJwZkdJYmZuS0RucEhIaUNGTWlJaUlpSWlJaW9qbzFOemQvTGc3WWJxeWNLNVZLanlRU2lTbkdtSzhET0JDREkyWG5Ca0h3QXdDZkNvTGd4NVVRcmxRcWZUV1JTQnlvcWo4Tmd1Q2RZUmdXZmQvZkw5NEE2dGxTcWJULy9QbnpsMmV6MlczTDVmTDdST1FRNTl4N1JhUkJSRllEK0k1ejd1dUZRbUVSQmtQT3crTmQ1MDlJSkJJbkJFRXdYMVh2RnBHL0xsdTI3TDdlM3Q1bFZkM2ZETUNLMm1mcTdPemMzUmp6RlJIWkg4Q1RxbnB3UHA5L0ZzQXh2dS9mTGlMWGljaTNneUE0VUVTT3llVnl6eGhqbHFucTM2SW91ckcydmZqNUZ3MXhlbVg4YzR2cWs5bHNkcHB6YmtjUkdYSTBhaGlHQjdTM3QyOVp1NG5XQmlwRlVYUUpnRXZxTEx0djdjbTRQNThjNS8zTFVSUmRBZUNLY2RhbmpZaUJLUkVSRVJFUkVSRlJIVEtaekZZQXpsYlZRajZmLzJYbGZMRlkvS2UxOXFjaWNsUVFCTzhPdy9BQkRBNDNQRWRFRGdQd2JRQy9CMUF1Rm9zTGd5RDRCSUI3VmZXT2JEYjc5bHd1OTN0cjdUVUFydXpxNm5ySzkvMy9WZFhyakZrN01makplRU9wRzZJb2VyRzZUMUVVL1JUQTdVRVFIS1dxcDRqSVRpSXlTMVgzbURadDJtK3R0ZWNDMkVGRW1nQzB4Q01nNGZ2K0VTS3lGNEQ5Uk9SL2ROQXR0V3VuNXZQNWUzYmFhYWVPVkNwMWs0aThYMVc3Zk44L2V0bXlaWGMwTnpjL1VMMnAwMmlNTVhOVnRRemdBbXV0THlLbCtIM2FUVVJTcW5ydk1GWGRCSWVsUkNOaVlFcEVSRVJFUkVSRVZBZlA4N0lBVmdNNHEzWkhlbVBNeGM2NTZhcTZkc09pS0lxZTlYMy9aR1BNdk9yZDZzTXcvSTIxZG82STdPcWMyd3pBMGlpS2pxOWN6K2Z6TjFocmR3ZXdSRlZ2aXpjWld1ZCtOVXBoR040STRFWnI3Ujd4ZXBzWDVYSzVWZGJhNlNKeUZBYUR5VjRSbVJQWG1TNGl4d0o0Q2NDTnpybkxodHRRYWU3Y3VZc0JmTUJhZTQ2SW5PeWNteGVQWEYwMlZQbmg1SEs1WjZ5MVh3Wnd0b2hVTHp1d1ZGV3ZqNkxvdXJHMFIwUkVrNnhsbHYvdHQ3ek4xNVpablZmWFVaeUlpSWlJNkhYSjkvMDlyYld2QkVId2I5LzM5NXpzL2hCTnRHdzJtNXlncGd3QW1hQzJSdU1OTVdqT3kyUXl1NHgxZjV0c05qdHRZcnRHOU9yREVhWkVSRVJFUkVSRVJIVWFabE9pOGFoN0t2c0VLQTkxcmxnc1Bqeldobks1M05LSjZSTFJxOWVZL29wQVJFUkVSRVJFUkVSRTlOK01JMHlKaUlpSWlJaG93dlQzOXorVlNxWE9GNUZTZjMvL1U1UGRIeUlpb3JGaVlFcEVSRVJFUkVRVHBxZW41eGtBbDA5MlA0aUlpTWFMVS9LSmlJaUlpSWlJaUlpSVlneE1pWWlJaUlpSWlJaUlpR0tja2s5RVJFUkVSRVFUcHEydGJhcm5lVzh4eHJpQmdZR25lM3A2Vmt4Mm40aUlpTWFDSTB5SmlJaUlpSWhvd2lTVHliWkVJbkc5NTNuWEpKUEp0c251RHhFUjBWaHhoQ2tSRVJFUkVSRk5HQkZwQkxBamdMNzROUkVSMFdzS1I1Z1NFUkVSRVJFUkVSRVJ4UmlZRWhFUkVSRVJFUkVSRWNVWW1CSVJFUkVSRVJFUkVSSEZHSmdTRVJFUkVSRVJFUkVSeFJpWUVoRVJFUkVSRVJFUkVjVVltQklSRVJFUkVSRVJFUkhGR0pnU0VSRVJFUkVSRVJFUnhSaVlFaEVSRVJFUkVSRVJFY1VZbUJJUkVSRVJFUkVSRVJIRkVwUGRBU0lpSWlJaUl2cnY0WnpyU1NRU24zSE9sWjF6UFpQZEh5SWlvckZpWUVwRVJFUkVSRVFUcGxnc3ZnRGd6c251QnhFUjBYaHhTajRSRVJFUkVSRVJFUkZSaklFcEVSRVJFUkVSRVJFUlVZeFQ4b21JaUlpSWlHakNaREtaclJLSnhPN3hHcVlQeFZQMGlZaUlYak1ZbUJJUkVSRVJFZEdFTWNhMHFlb054cGcrQUljRFlHQktSRVN2S1p5U1QwUkVSRVJFUkVSRVJCUmpZRXBFUkVSRVJFUkVSRVFVWTJCS1JFUkVSRVJFUkVSRUZHTmdTa1JFUkVSRVJFUkVSQlJqWUVwRVJFUkVSRVJFUkVRVVkyQktSRVJFUkVSRVJFUkVGR05nU2tSRVJFUkVSRVJFUkJSallFcEVSRVJFUkVSRVJFUVVZMkJLUkVSRVJFUkVSRVJFRkV0TWRnZUlpSWlJaUlqb3Y0ZXFyaEtSeHdIMHErcXF5ZTRQRVJIUldERXdKU0lpSWlJaW9na3pNRERRNDNuZXNjWVlOekF3OFBSazk0ZUlpR2lzR0pnU0VSRVJFUkhSaE9ucDZWa0JvR3V5KzBGRVJEUmVYTU9VaUlpSWlJaUlpSWlJS01iQWxJaUlpSWlJaUlpSWlDakdLZmxFUkVSRVJFUTBZZHJhMnQ2Y1NxVU9NY2FVK3ZyNmZ0blQwL1BNWlBlSmlJaG9MQmlZRWhFUkVSRVIwWVJKcFZMYmk4alhBUFNsVXFsdUFBeE1pWWpvTllWVDhvbUlpSWlJaUlpSWlJaGlERXlKaUlpSWlJaUlpSWlJWWd4TWlZaUlpSWlJaUlpSWlHSU1USW1JaUlpSWlJaUlpSWhpREV5SmlJaUlpSWlJaUVhUnpXWWJOMGE3SFIwZG05ZGIxdmY5UGEyMVArdm82TmgrTFBmSVpyUEpJQWh1c3RaK3B2cTh0Zll6UVJEYzFOcmEybEJWZHRzZ0NHN3lmZitnc2R5ajVuNk4xdHEzWjdQWk40KzNEYUxKbEpqc0RoQVJFUkVSRVJFUnZacjV2bitNYys0YjF0b2pvaWo2UStXOHRYWVBFZGw3TEcyVlNxV2ZGWXZGYmdCb2IyL2ZPcEZJUEJBRVFmZXlaY3VPNmUzdFhUWks5UllSK1VnaWtaZ0Q0S2w2Ny9ueXl5OTdNMmJNT0JKQUg0QWJxaTd0QnVESVZDcjFPUUJyNG5QVEFCd3BJdk1BM0RXV1o2dHd6cldKeUtPcStoMEFKNHlualkzRjkzM2ZHSE8ycXU0aEl0TUFQSzJxUDFtK2ZQa2x2YjI5YStwb1lxMGdDQTVSMVJNQitBQVNJaklYd0ZWaEdONDBrWFV3R0VKdjRadzdHY0FoSXRJQ29LeXEvd0p3WlJSRjExU1hqYitYbjFYVmR3RjRJNEIrRWVrR2NGMFloamVPNVJsZnJ4aVlFaEVSRVJFUkVSR053Qmp6RW9BMGdOOVlhMCtQb3VoYjhhVTlBSHdOd0NwVjFaSGFFQkVQUU5yenZIa0F1Z0dncjY5dlNTcVZlaGpBSjVxYW1tWjNkSFI4c0t1cjY2bE1KdE51ak5saWlEWm14eit6dnU5UHJiMWVMcGVmNmVycXFqdElmYjN4ZmY4Z0Via1ZRSU9JOUFGWUNXQ1dpSnpmM055OFgxdGIyejQ5UFQzOTliUmxyWjBENEF3UkFZQ2w4Y2UvQzRCZGdpREloR0Y0K2tUVXdXREl1cXVxM2lraTI4YW5YZ0tRRkpFMlZkMGZRSFZnNm9uSW56SDRQVm10cXE4QTJBckFyZ0IyRFlKZ2p6QU1QeldPdCs5MWhZRXBFUkVSRVJFUkVkRUl3akM4dTZPajQxMkpST0xYSW5KWkVBU3p3akE4cnFwSVp4UkZ2U08xRVFUQi9nQitYWDB1SHRGNGxMWDJYeUp5VmpLWmZLU2pvMk5uei9NdUVwR1Jwc1JmWTh6NnF5eUt5Q1VBenZSOS94SVIrY0lRMXo5cHJUMnM2cmdCQUJvYUdwNnoxZ0lBVkZYaXkrZGFhOCtzcmg5RjBUUUE1WkdlODlXcXM3TnpPeEc1U1VRYVZIWE9LNis4Y3Y2Q0JRdjZnaURZWDFWdkY1SGQwK24wV1FET0g2MHRhKzJCSW5KR1BHTDNtREFNYndXUXNOYWVJaUp6QUp4bXJiMG5pcUkvYjBnZERJNHNmYXVxM2czZ0RhcjZmUUFYUkZIME5PSVJ5c2xrY2xaTjl3VEEzMVgxbkNpSy9nU2czTmJXTmpXVlNwMXJqRGtkd0RHKzc5K2V6K2Z2bmNDMzk3OE9BMU1pSWlJaUlpSWlldFhvNk9qSWRuVjFGUUNVSnJzdjFicTZ1cnJhMjl0M1N5YVR2M0xPM1RlUmJVZFJkTGExOWlVUmVWTlhWOWRUbloyZFgwZ2tFbXZEU2xWTkFmZ21nUGZHeDA1RXJoU1JkYVppcStyTEdBeENIeEdSemFyT2V3QStwNnFQaThqOVZlZjNFcEUyRWJrWndFQjhlbm84SlQ4QzhJK2FybzQ0aXJhV3FnNjUxbXBiVzFzcW5VNWZXUzZYTHlzVUNvK1BwYzN4OGp6dk5BQlRBZncyaXFLekt1ZkRNUHlONy92bmlNamxxbnBTTnB1OU9KZkxEWXpjR2k3QTRQT2RIMFhScmZHNVVoUkZsd1JCc0N1QUQ0dklxUUQrdklGMTRKeTdTa1RlQU9EU0tJcE9xNzdXM2QzOVBJRG5hL3BXQ3NOdzkrcGd1NmVuWndXQU00SWdlQStBWFl3eEJ3RmdZRG9DQnFaRVJFUkVSRVEwWVVxbDB1SmtNbm1mcXZhWFNxWEZrOTBmZXUxSkpCSy9DNExnQmVmY2o0d3h2eGdZR0hpdXE2dHIyYXRoWkdOM2QvZS9BQVFBWE0ybGdyVjJ0RERSRytsaTFUUi9GQXFGUlpYWHZ1Ky9RMFN1aThPK2kwVGtIRlU5VVVRdWNNNjlSVVJPQ2NPd3Q2YXRPd0RjVVRsdWFXbEp6NWd4NDNNQUhnckRjTzJhb3RiYTZ3RzA5ZlgxblJLSGFzaG1zN05WOVVoVnZUdUtvb3RxKzluVzFwWUNrQnJ1T1NydHhONlh5V1RlVWl3Vy8xbDF6alEwTk53TTRGRFA4enJqcWVJYm5hcCtWRVRnbkx1eTl0cUtGU3R1YkdwcStvYUl6SERPdmJNMnRLeVd5V1JtaVVobi9OKzRhNGNvY2kyQUR3UFlwNldsSmIxZ3dZSys4ZFJCUEJVZndQNEFudXpyNi92S0dCNTN5TjhWVlgxWVJIWlIxYVl4dFBXNnhNQ1VpSWlJaUlpSUpreDNkM2QzYTJ2cmtSaWNianphS0MyaW9RaUEyY2FZaTFYMW5FUWlFVmxySDQ1SFRUNlV5K1dlMlpTZHlXYXpTZWZjV2NhWS81Zkw1WllPRVpaQ1ZhK29qTzRjd1N3Uk9iYjZSTHc1ejVJd0RJdTFoWU1nYUFYd0ZWVTlHc0J2alRGSGw4dmxENHBJWlFUcExxcDZDNEFlYSsxUEFWd1RSZEZERS9ITUkwbW4wOThDc041MC95cXk5b1dJU1NRU253ZFFHUmtwMXRydmljaWhxdm80Z0VPR2E4VDMvUjFFNUVzaWNtOFlobmR2U0ovandQS05BTXJPdVQvVlh1L3Q3VjFtcmMwRDJGbEVkaDRwTUUwa0Vudkd6eFoxZFhXOVVudTlyNi92d1lhR0JpY2lVNlpQbjk0QjROSHgxTUhnOStwSUVZR3FmcS9ldFZWSElpTHArT2MvUnkvOStzYkFsSWlJaUlpSWlDYVNHK3RPMDBUREVaRkdBTytLL3kxMXpyMFFCRUVld0k5THBkSWZpOFhpeW8zZEIrZmMwU0p5dm5QdVU1bE01ckJpc2Zqd0VQMjhvYzQxVE5jR3BwbE1aak1BdDZ2cXRDQUl6Z3JEOE50VjVUNEw0RUFBSzBUazVEQU12d05BZmQ5ZjIxNHVsM3N5bTgyKzB6bDNpb2ljRGVEb0lBaitEZUFyWVJqZU9IUG16Q25OemMxclI3WDI5ZlZ0NjV3YmFHdHJXN3RaMU9yVnE4OHd4cHlEd1pHalV6RTQybktSNTNuYmVwNjNwcnBzVDAvUDZuams0dDlWZGIwTnArTCtOdGFlVk5YUFpiUFpTMWF2WHIwc25VNy9DTURIQWN3M3h1eVZ5K1grUGR6N0pTS1hpc2lCcXZycGVIVHR1SmRvTU1iTWp2dnl6SERmR1JGNUhNRE9BRnBIYVc1Mi9MTm5xSXM5UFQwcnJMWFBBcGdwSXExeCtEbWVPZ0N3TndhL2cvZG5zOW5aenJsVFJTUVlmQlI5dUZRcVhWcnZKbC9aYkhhYXFoNm9xbG9xbFc2cHA4N3JHUU5USWlJaUlpSWlJbm8xVVF3bVFyWG5wNG5JTkFBN0FQaW81M25QVzJ2dlZOV2JSZVR4NWN1WEw5c1lZWDBVUlRjRVFUQlRSTTd6UE84dlFSQ2NHSWJoZFRYRkdxdkR4YUU0NTlMVkd6VVZpOFdWbVV6bS9aN24zUUhnVzliYVBVdWwwakdxdW9lSXZGOVZyeTZYeXhjV2k4VVhLblZFNUJFQVh5cVh5ODlnTURRZEFEQ252YjM5eG1ReWViS0lIRklxbGU0QmdDMjMzUEloRWVuY2tHZFBKcE5yWDF0clB4cEYwYy9DTUx3SndFM1Y1YkxaN0RUbjNPRWk4cnZxODZyNlR4RjVpNnFlMTlEUU1BdkF2Z0FlVnRVUGhXSDQ0aWkzZndqQWdTTHk2SWF1WjJ1TWVWUDg4dGtSaWowWDkva05JN1dscW0rS3AvYVAxdGJNZU8zUmNkVnBiVzF0RUpGWkdQemN0M0RPM1NjaWE3OWpJaElrRW9tamdpQTRJQXpEQjRacDAyU3oyUm5sY25sM1ZiMEF3RFlBenVycTZ1b2E2Um1KZ1NrUkVSRVJFUkhST3F5MS83TnExYXFCK2ZQbnJ3MDNkdHBwcHhtSlJLSk5SRWI5LzJqblhGK3BWT3F1WHN1eHJhM3R6YWxVYXNnTmNHb1pZNTRQdy9DeDZsT1pUS2JOR0xORlBmWDcrL3VmNnVucFdUdHR2YlcxdGJteHNiSE5HSk91cHpxQW5udyt2NlJ5SXBQSnpEVEdqRGJxRGdCUUxwZGY3dXJxNnFsZVE3R2pvMk8yNTNuYjFGTWZ3SUthS2QxQVRYaGE5WHByRVRrZXdHZEU1UEdtcHFhL2QzWjIvc01ZOC9jb2lvcGozYUJvSkdFWW5oOEV3VE1pOGoxVm5aUEpaSDVSSFdRQ0tLVFQ5Ynk5NnlvV2kyRTJtMzJIcXY0Y3dJYzh6OXMzaXFLdnRyZTMvNzlVS25XdTUzbFBWWGF2cjFCVmVKNTNVZTE1RWZsTUdJWm4xNVJkS1NLWGpybGo2N2JoaThoQm81VDVrSWlrQU54WjA2ZDdWZlZkSXZLRmVHcjVYY2FZSThJd1hEWGFmYU1vbXBQSlpMNWZMQlpIVytxZ25tZllMUDR1RFh0ZlZWMGRsOWxzdURLeHpURDRlenBzV3lLeXVuTGY4ZFpwYW1yYXByTHVyVEhtQ2dEM0FEaW5yNi92bVZRcTFTa2kzeFdSdDZ2cUxabE1ac2Zha2JQVzJqNFJhVkJWR0dPZ3FvOEEyRE9Lb21HWEc2RC9ZR0JLUkVSRVJFUkVFNmFqbzJOMk1wazhFY0RBd01EQU5WMWRYZk1tdTA5ajRmdCtDNEJiR3hzYnZ3UGdSNVh6aVVTaTAvTzhxd0ZNRzYwTkVmbVhpSHdLd056S3VYUTZmU0NBdWpadFVkVmZBRGkrY3R6YTJwcE1KQktueEp1L2pDcWRUdjhmZ0tzcXg0Mk5qYTJlNTEwaEltOGF1U1lBNEFYbjNQRUEvbFk1WVl4NXZ6SG1nbnJ1TFNKL2JHMXRQYjYzdDNkWjVWd3ltZnhjUEExN1ZNNjV5NFpwZDhqeWNYaWFBdEFPWUNmUDg0NEE4SksxdGhmQTdhdFhyNzU5M3J4NUd4eTRZVEEwdmRIMy9jVWlzcVFtTElWejdtd0FJNDZZTk1ic0JPQ0x0ZWR6dWR4THJhMnQrelkzTis4WFJkSGRpSGMvdDlhbVJXUXpWVDFaUk5aYk43VkNWV2VKeUFrQWtrTmNYaEdHNFhuRDFRMkM0QnVxZW9ReDVqMjVYTzdKb2NyNHZuL01hSUVwZ01NQWxGZXRXdlhMMmdzaWNpR0FPMVQxOFNpS0RobHFEZGpoMUw3UEc2Q3lTZFd3STFWRnBCTHlqOWkvT0JnZXNTMVZMY2RyemJyeDFpbVZTczFWSTN4ZkNzUHc4S28vQWp6YTF0YjJvWFE2L1U4UmVhUG5lWWNCdUtHbXlTY0JwQUUwQTlnaVhwdjFXbXZ0ZVZFVWNVcitLQmlZRWhFUkVSRVIwWVR4UEc4YlZUMUNSUG84ei9zRmdOZFVZQXFnQmNDT0luSkpKcE41dkZncy9oMkRZWmRSMVhRY1FJeElSQnFjYzZiNm5ITXVVZGx3cFE1REJWL0orUDZqVXRWMS9sL2Y4endUanpTcnErK3FhbXJPSmVxOTl6QzdwOWZkOTNnRWI5MkJXa1hWcU5Oa3ZMN21OZ0NtcFZLcEVYZW1INnQ4UG45WDliRXg1Z2JuM0c5V3JGalIxZFRVMUFIZ2VnQmZqYUxvbHhnYzVmZDFFVGs0RE1QWnJhMnR6VTFOVFRlWFNxWDFnc2w0S1lFaE56YUtvdWk3SXdWdDF0cDlBWnd3eEtWVklqTGlHcStxT2tORXRodm1PMWN4b0tvclZYWElQblIwZEhTbzZnRWljdGRRNFhRWWhqOFBnaUFVa2NEMy9jUHorZnpOSS9WcEkxbUZxazJQaHFLcVUrTEFjc1Z3WmFyYkd1azdMU0pUNGpJcnhsc25tVXl1L1N1QnFuNnpkc1IwVDAvUGM5YmFYNGpJWVFEZVhSdVlSbEcwVStXMXRYWkxFVGtTd1ArSnlFK3R0UzFSRk0wWjVUbGYxeGlZRWhFUkVSRVJFWTJpdjc4L1NpUVNuNmhuU242NVhPNHJsOHZyN0VMZDM5OS9aeXFWeXRkekwyUE04OVhIdmIyOUE1bE1abzR4NXZvNis3ck9KakRMbHk5L3ZMR3g4Ymg2cHVTcmFyK0lyTE14VGJsYy9wVXg1ckhoYTYxVDl1WGUzdDUxUXJxQmdZRXJQYys3dlo3NkFCYUl5R20xSnl1QmFPMUkwL2k0cktvTEFEenNuSHNVd0NQNWZQNlJEVjMzc2xacmEydkRsQ2xUZHF5cy8rajcvaEhPdWIyaktEbzJQcDVxak9sMHpzMm9xcll0Z0ZtSWQySUhFRnByYi9WOS84WjhQbjl2cFZBMm05MEN3S3BjTHJmZWxPMGdDRDd0bkJzcFJIN2JVQ2VqS0hwbjNLL1BpOGczaGlvaklnMFlmSDl6MXRvaGx6Q0lvbWdxZ0dGRHptUXllUzRBVWRVaDd3RkF5K1h5c1o3blBTSWlWMld6MlFkeXVkd3p3NVRkV0NvNzAyODVYQUVSMlJxRGY5eFlORkpEcXZwSy9MMGJ0aTFWM1RvdXMyaThkVXFsMHZKRVl1MS9ib2I3L1hzaTd2dTJJL1U1aXFJWEFWeHVyVjBvSXJlTHlOZXkyZXpWdVZ4dTZVajFYczhZbUJJUkVSRVJFUkdOWXU3Y3VZc0JQRGplK3ZHYW91TU5pVnl4V093ZTc3M2pvTzd2NDYxZkxCWVhBbGc0M3ZyeHNneDFqelMyMWdyaU1IU0lqWitxUTlObHpybmZxdW90NVhLNTBOZlg5MkwxVWdBVGJlclVxVmxqekYrdHRWZEhVZlI1RVdrVmtjOEVRZkNUTUF6L1dFOGJ2dThmTFNLSHhodjhyQTFNblhPZkVaR3pyYlVmaWFMb0R6WFZycTNlTEdxc2pER3BlQTNOdTFXMU5neDhUN3lEKzY4QUxLbStJQ0x2Qi9EbWtkcTIxcjVkVlQ4aUlnOUVVZlRRY09VS2hVSmtyWjBqSXVjNDUrN0taREs3RDdkYi9jYmduSHZjOHp3QTJENWVGN1JjVzBaVmQ0aS9XNlA5Y2VCeERMNC9PdzUxc2FXbEpTMGlNK00ySHh0dm5XUXl1VkJWQitKUjA1c1AwNWRTWEtldXpjNmlLUHE1dFhhTmlLU2RjNTBBL2xKUHZkY2pCcVpFUkVSRVJFUkU5R3JpRUk4cXJSbFJ1bHBWbHdGNFhGVnZBSEJYOWVaVUc1dUk3QmIzNjE4WUhBRjRaVEtaUEJYQS93SFliYlQ2bVV4bXMzZzl6NWRLcGRKWGF5N3ZES0JaVlYrcXJSZUdZWEswS2ZraTh2dlI3cStxLzY4MmpMWFdYaThpczBYa3ZEQU0xd20xZ3lDNGU2VEF0SzJ0TFNVaU53SXc4UTdzSTFxelpzMkY2WFQ2QUJFSlBNLzdDWUNQVFBRbzRPR29hcVNxYTBTa01RaUNkNFJodU00ZkVPTFBKb3ZCSlN4R0M3OHJkWGR0YlcxdGlKZFRXR3ZHakJudkJKQlExWVg1ZlA2SjhkYko1WElEUVJBVUFXUkZKQUR3MTlxT1ZBSllWZTJ0OTYwUUVZM3I5dGRaNTNWcC9IK2lJQ0lpSWlJaUlpS2FlQWIvR1VtNkdzQkRxbm9GZ00rS3lPNVJGTzJSeitkL3VDbkQwbGdsTUgwQWd5Tm5YMUhWN3dIWU5RaUN2VWVyYkl5NVVFUm1PdWZPN3VycWVxWDZtb2k4UTFWWDV2UDVybzNZL3dtVlNxVytDcUJkVlg4eXhLalk5ZlQwOVBTWHkrVURWWFdSaUJ4b3JiMDFtODJPdEhicWhDa1dpeXNyb2JLcWZyNzJlaUtST0FaQVdsVWZIVzd6cTRvMWE5YjhSVlVYQTJodWFtbzZzdmE2cWg2UHdjLzBweHRTSno3L3MvamxpZkhJMkxYYTI5dTNCbkFJQnI5YmE5ZS9iV3RyRzJvZFlXQndoUE9COFRyTWZhVlM2VFh6WFpzTURFeUppSWlJaUlpSTZOVkVWYlhYT1hmeHdNREFQcXA2NkpvMWEwNEx3L0NtTUF6ckhVbTNNZXdHb0cvbHlwV1BWazRZWTc2cmc4NGFxV0lRQkZsanpFbXErdGQ4UHIvT1dyUng4UFVtQVA4WWFxcTR0WGFKdFhiRmNQOUU1RmNUL0p5ajhuMS9QMlBNR2FyNlNybGMvbEs5OVFxRndpSlYvYUNxcmhDUlE1eHpkN1cydGpZUFZUYVR5Y3dLZ3VBNjMvY1Btb2crTytlK3Jxb3FJa2NGUWZDbFNnRFoyZG41WGdBWFl6Q3dQTGU2anJYMnkwRVFQQk1Fd1JjcTUzcDZldnBWOWRMNDhMSjQweTBBOEh6ZlB6VmVjbUZwcVZTNmRFUHFZUEQ3ZFRXQWwwUmtoeUFJZnBqTlpxZkZmZDR1bVV6ZUNtQ0txdjZsZWttSWREcDlyYlgyM1BiMjlqZFZ6czJjT1hPSzcvdWZOOGI4TUQ1MTVhWmNFdUcxaUZQeWlZaUlpSWlJaU9oVnd6bjMva0toRUFFWW1PeStWQVJCMEFyZ2phcjZsK3JwMUxsYzdrbmY5MDgzeHZ4T1ZXY01WOTg1OTZReDVocm4zTlcxdTUwbms4bGQ0cGZEclRQN1ZSRVpkdE1uVmQxUlJJNGZ4Mk9OU0ZWVHRadHNZZkM5ZUJ1QTIrTXA1Q2NVaThVWHh0SnVQcC9QVzJzL3JLcS9FSkgzTnpVMS9hT2pvK01qbGMyMEtqelAreWFBRDRuSUorTTFXRGRvK240K24vK2J0Zlk4QU9jRCtGWVFCT2VwYXArSWJCVVhPUzhNdzkvV1ZQc3lnTzBBZkFuQWQ2cmErcWExZGk4UjJRL0E3NjIxTDRoSUdrQXpnRDRBaDlXK0wrT3BrOHZsbG5aMmRuN004N3g3QVJ6cG5EczBDSUlYQUx3UmdLZXFqenZuanFpdW82cE5JbkpCS3BXNklBaUNsMVMxSDhDMkVuK1lxbnBMRkVWbmI4aDcrWHJBd0pTSWlJaUlpSWlJWGpVS2hjSWprOTJIV3FyNmZoR0JpS3kzOFZjK243OFVnNk11OXh5dWZyeDh3QWxEWFJPUnZlTjdyQk9ZT3VkdTlqd3ZIMFhSZDJwRDFtcWRuWjNiR1dPS3F2cndXSitybXJWMkR3REhpY2dLVlUyTHlGNnErbXgxbWJhMnRwU3EvbEpFcHFucUpmbDgvaWZEUEZNaWZxWWhnOTRvaXU2ejF1NmxxdmVJeVBiSlpMSVZRTzBVOGI4QitGQWNKRS9JV3FkUkZGMWdyWjBiQjZFWkVXbFExVDhCK0hZVVJiK3NMYStxUHdEd1JSSDVmczJsVWhSRkIxaHJUd0h3U1FEYnErcFNFZmxOcVZTNmNKaE4yc1pUQjRWQzRmNGdDQUpWL1NxQXZWVjFheEZab0txM0cyUG1SRkcwems3M3BWTHA5RVFpc1FEQXZpSXlVMFMyVk5WL0EzZ0V3QTFSRk4wOTFIMW9YUXhNaVlpSWlJaUlpSWhHdG4vODh3RU1ocU8rTWViWW1qTGJZVEFzL0VRUUJHK1B6KzJDd1ZHWlY5VTJHSWJoRndHVVZIVmZFVUYvZi84NmdXbWhVTGdmd1AyamRheFFLQ3dDY00yNG55eFdLcFZlU1NhVEh3TGdpWWdCOExTSW5GNWRwcWVucDk5YU8wZFZEeHhwbEdJbFlBYXdhTGd5VVJUOUl3aUNkd0hZTlF6RG53OXhmVTRtay9sK3NWaGNieU9zRFJGRjBSMEE3cWluYkQ2ZlB3ZkFPY05jTGtWUmRBbUFTOFp3Ky9IVVFSaUdqd0U0dko2eVhWMWRUd0U0ZFN6dDAvb1ltQklSRVJFUkVSRVJEYU8xdGJWQlJQWlVWYmQ4K2ZLL3hhZGJWUFdZSVlxdkJMQ3JxdTVhYzI2OXNxMnRyYWVrMCtrM2lNaE9xcnFncDZmbk9ReUdxd2VyNnRZYjBPV0hvaWdxVkE3Q01Md2N3T1dqVllxbnhBKzVubWkxS0lwdUFQQURBR3RIandaQjhHTUFlNmpxY2dCVFJlUi9WTldKeUs5SGFpdGVrM2JZZFduSE90MmZhS0l3TUNVaUlpSWlJcUlKTXpBd3NEQ1ZTbDJ0cXFXQmdZR0ZrOTJmY1ZnaUlnK3Fhci9uZWNzbXV6TTArZnI2K2t4emMvT1hSV1IyYjIvdk1neU9QUHdGZ0trYjJyYnYrL3ZFTDZ0SGw1NGhJcnNNVTJWVXpyblRBQlRxS0xvaDF0bWNTbFdmQUhCa3ZFN21nS3IyQUxnd0RNUGlSdTRIMFVheC91cTlSRFNrbGxuK3Q4WGdpK3IwbWdYekN4TytvRFlSRVJFUkVVMit0cmEyVkNLUm1PNTVua1pSdE9UVnRQRVEvZmZKWnJPTnBWTHBnd0NXRkFxRjMwMTJmNGhvRUVlWUVoRVJFUkVSRWNWNmVucjZBWEFhTUcwU3VWeHVGWURiSnJzZlJMUXVNOWtkSUNJaUlpSWlJaUlpSW5xMTRBaFRJaUlpSWlJaW1qRFZVOXJYckZtek5CNnhTVVJFOUpyQndKU0lpSWlJaUlnbVRDcVZhalBHWEtpcS9hbFU2a0lBK2NudTAxanN0Tk5PcmFsVTZ0TUFTbjE5ZlM3SnBOY0FBQ0FBU1VSQlZEYzg5dGhqVDA5Mm40aUlhTk5pWUVwRVJFUkVSRVFUYWJxcTdpNGlmYW82ZmJJN00xYkpaSEltZ09ORnBDK1pUTjRMZ0lFcEVkSHJETmN3SlNJaUlpSWlJaUlpSW9veE1DVWlJaUlpSWlJaUlpS0tNVEFsSWlJaUlpSWlJaUlpaWpFd0pTSWlJaUlpSWlJaUlvb3hNQ1VpSWlJaUlpSWlJaUtLTVRBbElpSWlJaUlpSWlJaWlqRXdKU0lpSWlJaUlpSWlJb294TUNVaUlpSWlJaUlpSWlLS01UQWxJaUlpSWlJaUlpSWlpaVVtdXdORVJFUkVSRVQwMzJQMTZ0V1BwOVBwTHh0anlxdFhyMzU4c3ZzelZxcjZMSUFiVlhVQXdQT1QzUjhpSXRyMEdKZ1NFUkVSRVJIUmhKay9mLzZ6QUc2YzdINk1WNkZRZUJ6QWx5ZTdIMFJFTkhrNEpaK0lpSWlJaUlpSWlJZ294c0NVaUlpSWlJaUlpSWlJS01ZcCtVUkVSRVJFUkRSaGZOK2ZycXJ0SXVJQTlPVHorU1dUM2FjeFNteS8vZmFiR1dPMHQ3ZDNKWUR5WkhlSWlJZzJMWTR3SlNJaUlpSWlvb25VNW5uZTljYVlxd0cwVFhabnhzcjMvZmJwMDZmZjFOVFVkS08xZHRaazk0ZUlpRFk5ampBbElpSWlJaUtpaVpSUzFhMUZwQTlBYXJJN013N1RWWFYzRWVrcmxVck5rOTBaSWlMYTlEakNsSWlJaUlpSWlJaUlpQ2pHd0pTSWlJaUlpSWlJaUlnb3hzQ1VpSWlJaUlpSWlJaUlLTWJBbElpSWlJaUlpSWlJaUNqR3dKU0lpSWlJaUlpSWlJZ294c0NVaUlpSWlJaUlpSWlJS01iQWxJaUlpSWlJaUlpSWlDakd3SlNJaUlpSWlJaUlpSWdvbHBqc0RoQVJFUkVSRWRGL0QxVXRpY2hTQUgycVdwcnMvaEFSRVkwVkExTWlJaUlpSWlLYU1LVlNxU2VWU24ybVhDNjdVcW5VTTluOUdTdm5YSy9uZVdjNzUwcWxVbW5CWlBlSGlJZzJQUWFtUkVSRVJFUkVOR0htenAyN0dNQjlrOTJQOFNvV2l3c0JYRDNaL1NBaW9zbkROVXlKaUlpSWlJaUlpSWlJWWd4TWlZaUlpSWlJaUlpSWlHS2NrazlFUkVSRVJFUVRwcTJ0Ylp0VUtyVzNxcFlIQmdiKzNOUFQ4OXhrOTJrc2ZOK2ZycXJ0SXVKV3JGalIzZHZidTJ5eSswUkVSSnNXQTFNaUlpSWlJaUthTUtsVWFyYUlmTWNZMHljaWh3TjRUUVdtQU5vOHo3c2V3SnJHeHNaUEFRZ251ME5FUkxScE1UQWxJaUlpSWlJaStvK1VxbTR0SW4wQVVwUGRHU0lpMnZTNGhpa1JFUkVSRVJFUkVSRlJqSUVwRVJFUkVSRVJFUkVSVVl5QktSRVJFUkVSRVJFUkVWR01nU2tSRVJFUkVSRVJFUkZSaklFcEVSRVJFUkVSRVJFUlVZeUJLUkVSRVJFUkVSSFIwQkoxWkNjbUxrZEUveVVZbUJJUkVSRVJFUkVSMWZCOS81SWdDQWFDSVBqb2NHVmFXbHJTUVJBc0NvTGdYeTB0TGVtSnVyZTE5b29nQ0s2ZE5XdFcwMFMxQ1FDWlRDWVlReDkrR1FUQkxXTzlSeEFFWDhobXM3TkhhUGNNYSszUlkyMjNxbjZuNy9zWFpUS1pyV3F2dGJhMk52dStmNUcxZHJmeHRoL2Y0MHByN1ptMTV6czdPM2Zha0hicHRZTi9BU0VpSWlJaUlpSWlxaElFd2R0VTlZc0FIZ3pEOE5iaHlzMllNZU5ZQU51bzZxa0xGaXpvRzZsTmErMWhJakpra0tpcUQwWlI5QWNBeUdhejJ6cm5qZ01Relo4L2YvbDRueUdUeWN4S0pCTHpWTFUzaXFJZHJiVW5pTWdWUVJCY0dvYmhtUURLb3pXaHFpdkdjczlzTnZ0V1ZiM0tPWGNWZ0JPSEtmWWxFY2tEK05GWTJxNFFrUTRSK1lwejdoWUFMMVJmYTJ4c2JEYkdmQVhBU3dBZUdxMnRJQWp1Vk5XRnhwaFRjcm5jQUFhRDh1a2ljZ0tBQ01DY1NsbHI3YUVpY3J1MTl0bzFhOWFjMnRQVE02YjNaaUlGUVhDSXFwNEl3QWVRRUpHNUFLNEt3L0NtZXR1SVA2c1RWSFUvRWRsZVZRMkFwd0Q4ckZ3dVgxSXNGbGNPYysvOUFaeWdxanVMeUhSVmZRSEFIMFhrNjJFWVBqYWhEenFKR0pnU0VSRVJFUkhSaEJHUkZTTFNwYXByUkdUU0FvWHhVdFdTaUN3RjBPZDVYbW15KzBPYlhqeFM5QllSU2FucXp0YmE5YjdISWhJNjV3NVUxVE5GQkNKeW9iWDIvS0hhVTlVUDV2UDVQd0U0RE1CQlF3U1ZIb0JMQVB3QkFNcmw4bW5HbUJTQVozemZQM1dZYnY0aG44L25SM29Pei9NK0cvZjFld0IwWUdEZ0Y4bGs4amdST1RVSWdvNWx5NVo5ckxlM2Q5bXNXYk9hcGs2ZHVoMkFmK2R5dWFYMXYxTkRQdXVCQU9DY3UzTkQyc0ZnUUhrdWdET0d1RWRDUkpCSUpCNngxcnJxYXlJaWNabExyTFVYMWRZVmtaK0hZWGdVQm9PL0xJQ0RSZVQrU2xnS0FNYVkyWEViVVhYZC92NytQNlpTcVYrTHlISHBkSHEvenM3T1R4WUtoUWMzOURuSHlsbzdCOEFaOGFNdVZWVUEyQVhBTGtFUVpNSXdQTDJlZGxUMUJ3QjJGNUVTZ0pkRVpBc0Fid053YmlLUk9DaWJ6ZTVSKzMydzFsNEo0SVQ0Y0EyQVBoSFpEc0JSQUE2MTFuNGtpcUpmYjRUSDN1UVltQklSRVJFUkVkR0VlZVdWVjdvYkd4cy9ZWXpSRlN0V3ZEalovUmtyRWVsMnpuMUNSTnlLRlNzZW4reiswQ1puWnN5WThaTjRkT1ZscXZxeU1lWXp6cmx2aVVoMU9QZUNNZVphQU5zQitLYXFyZ1p3TklCdkFORHFCbFgxaWFyWGk2SW9tbGs1Ym10cm01cE9wOWVPSXUzczdOek9HSE44ZlBoUlk4eHd5d0djQ0dEWXdMU3RyUzBsSWtjREdDaVZTajhBZ083dTduLzV2cis3aVB3S3dQdWFtcHIrbHMxbWQzYk92VTlWYjNmTy9TK0E2OGYxcnYzSElhcjZZcUZRK01zR3RnTVJlVlJWcnhuaTB0c0FIQURnVmdBdlYxOVExYWtpY3B5SS9GVlZ3OXFLcWxxc2VuMnNpRUJWdjFOVHhvOUQ4SFVDMDdsejV5NEc4SUU0eVAyYU1lYlB2dS92bXMvbkg5M1FaNjJYdGZaQUVUa0RRQitBWStMUnp3bHI3U2tpTWdmQWFkYmFlNklvK25NZHpTMVMxVStXeStVNzR0R2tudS83aHhsanJvKy8vMThCc0U3NEtpSW5xT3BEQU02Tm91aVBBRFNiemM1MnpsMHRJbnVLeUk5bXpacTEvWWFNakg2MVlHQktSRVJFUkVSRUV5YWVsdnpNWlBkanZQTDUvQklBbTN6VUdBM3lmYjhGZzUvRGdrMTk3OWJXMW9ibTV1WWZBVGhZVmErSm91alV6czdPandGNHE0ak1pcUxvNUxpUCs0bkl6RGk0dXljTXc5T3R0WjhXa1JiblhFcytuMTl2VkdTOVBNKzdERUFhd0hsOWZYMlhWVjh6eG15V1NxVWVCYkJGdVZ6KzNVanRORFEwZkFUQUZnQnVMeGFMYTZldDUvUDVKZGxzOW4zT3VUc0EvQ0dYeTYyeTF0YmR2YzdPem96bmVlOXl6ajJmeitkdnI3Nll5V1JteFNNV0wyOXBhVWsyTmpaT0dhWWRVVld2cmExdDZsQVhWNjFhVlZxd1lFRmZHSWEvQWZDYjJ1dEJFSHdDd0FHbFV1bXlZckhZWGRPSG1ZbEU0amdBdjR5aTZQTGhIaVNielRhcTZ1RnhnSDFYemVWM1lIQ1ViRFJFVlkyaTZJSWdDQjVXMWIwMlpWZ2F1d0NEb2U3NVVSUlZsb29vUlZGMFNSQUV1d0w0c0lpY0NtRFV3RFFNd3lOclJqdVg4L244emRiYURoRTVRMVVQcWcxTVZmWEtLSXErQ0dEdEh3OXl1ZHc4My9jUEZwRW5BR3lSVHFmZkQrQzJDWHptU2NIQWxJaUlpSWlJaUloZUZVUmtOd0EzV21zZkJuQkxxVlM2ZjJCZzRNVjU4K1l0cmgyNU9kR21USm15bmFxK1YwUnVpNkxvUkFBb0ZBcTNCVUd3ajRoOElaUEovRENaVEhhcDZ0VUFwcXRxMWhqVER3QlJGSDAvQ0lKM2k4akoyV3oyeGx3dU4yK3M5NC9YaHZ3NGdMS3FudXljdTJyZXZIbHJSMUJhYTc4TzRFM091ZE1LaGNKb281OC9pOEdBNjdyYUM3bGNiaFdBRDFTSFhpT1lGZ1RCMTFUMVhTS3lLNEFtRElhM0Z3TllKekJOSkJMSHhpOXYzSHp6elc4U2tZK00wTzYrMVNOcnF6VTBOTnkzWU1HQ2ZhdlBCVUdRVWRXMitKa2FBSnpsZVo2MTFyWlhsMU5WVDFYUEVwRlYxdHJEbkhNTGg1bzJyNnJ2QmpBTndCSnJiZTNHVm50ZzhMdDR0clYyOVZCOWpLZkJ3MXI3czZwelorWHorU2VHS2o4Uk1wbk1MQkhwVk5YK1VxbDA3UkJGcmdYd1lRRDd0TFMwcEVkYlUzZTROV3hGNU9INDUzb2Jqa1ZSZE5KUWRmTDUvSklnQ0I3Ry8yZnZ6dU9icXRJK2dQK2VtM1NuVUVDUlJhUXFXZ1hhNXQ2NDcvdStnSytPdUlDSXV6Q2k0b3o2NG9vTE1DSW80b2lPQ0NpQ01pNnZHNkxqaUk0SUtpUTNiYkdBRkVVRUZGU1dGa3FYNUQ3dkg3M3RwRzFhMmxKb0s3L3Y1OE1ueWJubm5QdmMwS1ROazdNQTV4dUdjVkFETDZsVlk4S1VpSWlJaUlpSWlGb05FVWx3azFZbmViM2VYK1BpNHI3eCtYeUxBSHdEWUxFN0Nyalo1ZVhsZmUveitXNEU0UGg4dmd1aURuM3FPTTRXd3pBT2lFUWlCeGlHOFNtQUcwVGtvVWdrOG83UDV3TXFSaVQreXpDTUh5T1J5R0Urbis4dzkxcStzVzE3ZmZUbFJZK3NOQXdqeGIyN0w0QnBBSDVYMWN0RjVNUGs1T1NuM0xVaDRmUDUrZ01ZcHFxTFFxSFF4UHF1dytmekhRTGdaQUNyYk52K055cEdWSFpRMVZIaGNQaGhkL3AxcldTcFlSZzlMTXU2MmsyT0hxK3FCN2hyZ2o0a0lqOERtS2VxRzl4cDJkV1NjUmtaR2FtcU9sUkV0Z2FEd1Z5ZnovYzJnSUlhcHpoSFJQb0NLRk5Wai92L1BGTlYxOVdvVnl2cHFLcFh1bFBSNitXdTYxbDEzekNNZCtvWU1TNnF1dDBkaFh0T1ZCc0RRQktBc1BzY05zYTRtZ1dXWloydHF2MUZaTkt1Ym9qazlYcFBjV08wOC9MeU50YzhYbEpTc2lBaEljRVJrYVMwdExSTUFFMGEvYXFxaWU1U0JUODBNZFJkV2dlM3RXRENsSWlJaUlpSWlKcE5abWJtUVI2UFp4Q0FjQ1FTbVoyWGwvZDlTOGZVR0JrWkdkMFRFeFBQTmd3akVvbEU1a1ZQWjZiZFQxV2xSdEpyWHdEbmk4aTVJbEtrcXIrWnB2a3Z4M0dtNWVUa0JCcXcwM3VqR0liUkY4Q0QwVEc0NWJHcUR6RU1ZMGlNUHFLdjV6SUFWYU1RUmFSN0hTTXJFMVZWQVB6WnR1MS9XNWIxT0lBSGZUNWZ2b2dzRkpIWkFMNXpwMG5YZTgyR1lkemdKZ1JmckJ5VjZ6ak9DQkg1aThmak9TODdPL3VTbkp5YzcvcjE2OWN6UGo1K0lJQUwzYVlQdVRGQ1ZiOFRrVkpWM1dBWXh1bUJRR0FWS2taVW51VHVrRjV0NUdWS1NzcHRBRHBWSnN0Q29kQ3JOY0lTMHpRdlY5WDVBTEpFNUR0M2wvVUMyN1pqYnBZVnJhaW82UEhrNU9USk82dm44WGd5Uk9RT1ZUMVBSSDV5SEdkV3JIcnVkUDlhU3dMNGZMNGJETU40UVZYdnQyMTc3TTdPMXdCelJLUTlnRU1Cbkw2TGZSM20zdWJIT3BpZm43L05OTTMxQVBZWGtkNU5UWmdDdUJvVlB3Y3huN3RZK3ZUcEV3L0E3ejdjYmFOczl5UW1USW1JaUlpSWlLalplRHllQTBUa2RoRXBBZkFsZ0RhVk1FMUtTanBVUkNhNDhYOEhnQW5UUFVoRUZGRlRucU1ZcXRwQlJEb0FPTmpqOGR4Z211WnlWWDNETUl6M1NrcEsxdVhuNS8vYVhBblVTQ1J5dHFyR1RFdzFoTWZqR1NBaWsySWMydW80enFNaWt1bHV5dlMwNHpockRjUDRXa1R1RFFRQ2ExQ1IwSHZZTk0yK0l2SVlnR0ozODZtemdzRmd2UnVwK2YzK09NZHhyaEdSOHZMeThtbVY1Ylp0UDJxYVpnY1J1ZFBqOFN6MitYelhHSVpSQ09CdldwR2xocXErcTZvdmVUeWVMNFBCNEcrbWFhNEdzSzB5V1FwM09yeWJUQzZPT21jSHgzSHVySmxranVieitVNFdrWFFBWTFRMXkyMC8zeDFCR3pOaDZ2Zjdrd0VjVUZlZlc3ZHVYVjlRVUZDSWlrVHV5UUJHQXJoQVZWY0J1RjVFWHNuSnlTbDMxNmFkb0twdlZZNjRyWXRoR0ZlZzR1ZndqZnJxTmNJaUFHZXI2c0pkN1VoVmU0b0lITWRaWDArMVg5eUVhZWZHOUoyUmtaR2FrcExpQTNBbmdQTlU5WjNTMHRKL05MUjlRa0xDVFFDNnF1cGEyN1kvYTh5NVd5c21USW1JaUlpSWlJaG90L0Q1Zk9tR1lSeTJzM3BsWldYZkxsMjY5S2VhNVc0aXIrcHgxSDJQaVBRVmtiNnFPakloSVNIZk5NMGdnRVhsNWVYelkvWFZHS3I2bThmajJXbmNOVVVpa2R6YzNOeU5sbVhWbWpKdEdNWmxXN2R1TlFvS0NrcE4wN3dVd0dCVm5Sa0toWmJVck51blQ1LzlBTVM1dzIxVEFQeWtxcjEzdHFGYU9Cd2U0UEY0dXFqcW0wdVhMdDBRZGNpeGJYdWthWm9yUldTeWlEeFVYbDUrcXRmclBVNVZEeFNSVjFYMXZWQW9WSE1EcEpyWGtPRGVWbzB3VmRYSFJLU1R1Mk45ekR5VGlGenJyczM2ZHVYR1JTSXlCOEJMMmRuWko4UmFaelFTaVJ4bEdNYjh1bUpwMzc3OUlBQXozYlZmUHdTUXA2by9pOGpQaFlXRnJ4WVVGSlJuWm1ZZTVQVjZYM00zY3ZJQXFETmg2dmY3dXptT2M3S0liRlhWU3h1eUdaYUlmQmNNQnQrcTYzZ3dHRHl2WDc5Kys5YjR2MmlxRkZRODk4VjFWUkNSSGFqNFAwbXBxMDQweTdMbUFUZzdxdWhueDNHdURZVkNyelQweXdmTHNpNVUxZkh1K1I5d2x6Tm84NWd3SlNJaUlpSWlJcUptMTZkUG53TkU1SFZWUFhSbmRUMGV6NTBBcHRXY2tvOGE2MUxHU3A2S1NEc0FSNm5xa1FBR3hjWEZiYlVzNjV0SUpETDE5OTkvLy9mYXRXdGpidHdUUzJGaDRZVGs1T1FYUzB0THQ2YWtwQlEyK0dML2V4MlhBWGhqMDZaTmJ5UW5KMzlTVmxaV2xUaU5SQ0xudDJ2WHJqdUF2OWZYaFdWWmcxWDFTUkhwQ09CdFZWMEFZTFNJL05zMHpVV3Erb0xINDNrN0VBalVXaXZTTUl3YlVURUZ2OVptVDZnWWFUckY1L090VWRVY2R4M01SYVpwOW1qbzlhbHFPeEZCSkJMWmpvcGttVjlWYndId2xyc202UWsxMjJSbFpSMG9JbGNBZU0rMjdWOHJFNUdGaFlWdnBxYW1QdVB4ZU82dmtiU3JGSEljNTlRYVpiME53M2hHVll0VTlXdTNyREszOVZjUjJRNWdmbXBxNmt1bWFYNGtJcE1CYkFkd2lXM2JiKy9rMmk1MzF6RHRJQ0pqR3ZoOHZBT2d6b1FwQUtlWmtxVVFrWGozYnAwSlNWV05pQWhFcENFYmVnSEFlZ0NyQUNTcjZuNGkwazFFeHBxbWVaQmhHSThFQW9IeStocGJsblU3Z1BFaTRsSFZjYlp0VDZ1dmZsdkNoQ2tSRVJFUkVSRVJOVHV2MTl0ZFJBNVExZllBdG9oSVdWMTFEY09Jd0UzNE5QVjhicWJWQVZDQ3FPbjlqZUZPOFM1TVQwOVBURWxKQVlBNWp1UGMxSUJ6WHlJaVV5c2Z1enVVLzFLalRuOEFSOFJLbUdabFphVjRQSjZoN3BUb2RCSDV6WEdjSWFGUWFJWjdmSTdINDNsWVJBYUx5TEdxK2cvVE5PZll0bjFWWlI5K3YvOWd4M0ZPVTlVZmNuSnkvbFZYcktGUWFHNGpuNVlxcXJxL204RGVnb3JFYktaaEdOdkQ0ZkFJcjljN0pWWWJyOWY3QUlDNGNEaGNiVTNRZ29LQ1FzdXlYZ1Z3WTNaMjlxazVPVG5WUnBPNm0zdFZUZSsyTE90c0FHTUFiQVp3UnF3ZDZZUEI0QmVtYWQ3aExvZHdwYXErRmc2SGI0MjFTVkxOTUZYMU5oRXBja2VyWGlBaXZYZnMyQkZydlZra0pDVDhWVVR1Qi9EVlR2cHRUc1Z3TjJXcXE0S0lKTGwxdGpXa3cyQXdPTFR5dnQvdlQzWWM1MXdSK1J1QSt4M0hPUkxBdWJIYXVjc3d2QVRnRWplQmU2ZHQyL1Z1UnRiV01HRktSRVJFUkVSRVJNMU9WYmVvNm53UlNRcUh3NjhEV0YxUDllOVJrVGl0dGJ0U2pQVk1VV01VYXJHcTJxcjZtV0VZd1hBNGJPZm01aloxaCsrYXl0M0VYYjFNMDZ4em12Uk9mR21hcGdKNEJjQmdFUW1yNmpoVkhSdDkzdHpjM0xVQXJ1dlhyOTlEWHE5M3VHRVlnMFNrMmhxcmp1UGM0Q2FOcXpaN2lpVXJLNnRmYm03dThvWk9uVFpOc3crQTAwVmttNnJlaW9vazZISlVqS2lkbzZxU201dTcxcktzV20yenM3UDd1dXVVZnBxYm0vdDF6ZU9PNDR3M0RPTTZqOGN6M3UvM0h4TnJSS1BmNzkvSGNaeEhBZHdFNE90SUpQSS9PVGs1NjZLcXBLRmlCRzhwS2tiUlBtT2E1aFlSbVNvaVo4VEZ4VjBKNFBuNnJ0YzB6Y0VpY3FDcVRuQTNPL3FUNHpoWDVPZm5UNmhaTnpNenM2T0kzS0txVzRxS2l1b2JMZHlzVkhXeiszTy9iejExOW5QcnJLdXJUbDBDZ1VBeGdEZjlmdjlpVlYwdUl1ZGtaMmVmbFpPVDgzRjB2YXlzckFOVjlVTVJ5VkRWSDFYMXlsQW90TXRydExZMlRKZ1NFUkVSRVJFUlViUEx5OHRiMmJ0Mzc1c2R4NUh2di85K2UwTVNkSlZUOGl2WExxMHJXYW9WQjFhcDZ1dmhjSGlPcXE3OTl0dHZDM2ZEK29tWG02Ylp2d0gxbXBwZm1lMk9SUDFFUk40RmNLS0lKSXJJUTdFU2tLaDRqbjRPQm9NOTA5UFQ0eXJMM00yZWhnQUlsNVNVdkZSdm9GN3ZMTk0wMjRYRDRUUHk4dkoydWlsYkpCSko5WHE5ay9EZjUvN05ZREM0QnY5TnNzV2NodTMzKytOVTlXVlZOVlQxZ1ZoMVFxSFFTdE0wcDRuSTlZN2pqQWN3b3ZKWW56NTl1aVlrSk56cWp2eE1VZFV4cGFXbEQrWG41NWRabGpVWlFHOVZMVkhWRXdHVVJpS1JxZ1N5YmR1dm1LYTVETUJ6SWpMWk5NMTdBYnd0SW5PQ3dlQVhOY0x3aU1qL0FnaVhsNWMvdFhUcDBwOU0wM3hQUkI3TXlzcWE0eWFycThURnhUMERZQjhSdWFseTA2azk1RHRVL0IvRVhPSWlQVDA5VVVUMlI4WFB5TEttbmlRUUNLd3hUWE9oaUp4dUdNWXhBS29TcG42L3Y1dXFmZzZnSjRBUHd1SHdvQWFNM20yVG1EQWxJaUlpSWlJaW90MGgwdGlFa3VNNGptRVkwZXVUVnZXbHFyOEFXT000enBlcStzK2NuQndiUUwxckxPNHFWZjFHUko1clFOVmpBQXhyd2lrbTI3WmR0ZW1UYVpwakFQUUJVTmZ5QmZFQThnR01XNzE2ZGRYeUJZN2pYQ1FpK3dGNE96OC8vNWM2MmlJN083c0hnRXdBMjNiczJOR2dVWWpGeGNXaGxKU1V5MFZFSGNkWms1dWIrNDNQNTdzVndOeFFLRlRucUdISGNSNFFFVXRFbnJadCs4dTY2aG1HY2ErcURoQ1IyM3crMzllaFVHZ1dBQ1FtSm80R2NBT0FUMVgxVHR1MmN5cmJxT3BHRVRsQ1JMd0FGanVPODF6TnRVTGQ1L1Zvbjg4M1NFU0dpY2h3VmQwRW9GckMxTEtzMndBY3JLcVRLamNMVTlXUkFHeVB4L09XMys4L3hVME13elROa1FDdUF2QnhNQmhzOEM3eXphUnkrdjh4dlh2M1RpZ29LQ2lOUHRpcFU2ZmozS1VGMXNaYXJxQ1JLdGRBcmZaenFLb3ozV1RwdEdBd2VIMVV2VDhjSmt5SmlJaUlpSWlJcUZYd2VEeUNxRVNwbXhqN01oS0pmQ0VpZGlRU3lkbVRJOXBFNUlkZ01EaXpBVlZucGFlbjM3VjY5ZW82MTJsdGhIemJ0dnZGT21DYVppaFdMa2RFYm5Udnh0enNxWkpoR09lNGR6K3FtWENyaTF0dlRsU1JWMFNlQVRBS1FNd05vN0t6cy84RTRIOVZkV1ZwYWVsOVBwOHZMVHBjVmZWR2xaVTdqbk9kWVJqL1p4akd5NlpwdHJkdGU0cUkvQ1VjRHMvT3ljbVpuNTJkZlpUUDU3dStzZ05WWGErcUwwYjF1Vy8wOFdnaThvNXQyek15TXpNekk1SElpdWhqZnIvL01GVjlYRlYvVmRVSEs4dERvZEJLeTdKdUJ2Q0s0emh6TXpNekI4VEZ4VjJwcWsrbzZzcHdPRHl3dm1VUGRvZlMwdEwvSkNRa2JCS1JUcW1wcVZjQnFEYVNXRlZ2Y1Vkbno5NVpYMzM2OUluUHo4K1ArYk9hblozZFEwU09keDh1cml6MytYeW5BRGdOd0NvUnVlbVBuQ3dGRTZaRVJFUkVSRVJFMUZxb3FnQW9WZFdGcXZwS0pCTDVwTHk4Zk11S0ZTdTI3ZWtFbGF1aFUvSUJBQjA3ZGdRcXJ1UFVVQ2kwZUtjTm1vSFA1MHRYMVRNQi9HamI5c2M3cVg2ZWUvdk9McHh2ZnhFeFZQVzdXTWV6czdQUE1nempGUUNGSW5KcFltSmlWd0ExUnp5ZUxpS2JVVEVTZFhzb0ZHcG5tdWI5SXZLSWlEeG5tdWF5UUNEd09ZRDVxRWowL2tsRVJqWXg1S1VBZnMzTHk4dXJVZTUxSE9jVkVVbFUxVnRxcmxVYkRBWm5XcGJWVFVUKzVxN1oya1ZFVnJoTEdUUW9hZS96K2M0VGtRR080enlWazVQemJSUGpCd0RrNStlWCtYeSs4U0x5T0lBblRkTmNZOXYySndBOFBwL3ZEaEc1Rk1EV2NEZzhQcXFaWVpybXF5SnlwT000Z3l2WEdvMlBqNy9lTkUyL3FqNFRDb1Z5M05lV3h6VE5zMFJrSW9Ca1ZmM0d0dTFQS3pzU2tiTlI4YlA5U1RBWTNLMGp1MXNESmt5SmlJaUlpSWlJcU5uMTY5ZnY0UGo0K0Q4RGlDc3ZMMzhtTHk5ditjN2FsSldWTFFCd2FINSsvcG85RTJYOUdqRWx2OUlsQUFhSWlLZWhEUTQ3N0xET3ljbkpmV0tzcmRrZ2htSGM0STdhZkxHK1VYOFpHUm1wSW5JdWdFaFpXZGtIVVljcUU5SFZkdEl5REtQUGhnMGJhaVdwRGNQSWNPL214anFQeCtQcEF5RHNPTTc1dG0zbjl1M2J0MU5jWE54amxjZEY1SFlSMmVBNHptejNjZVZtVFkrYXBta0FPTXkyN2M4cjYxdVdkWGc0SEg3UU1JeEhvL3BJVnRWcUcyMnA2bGxlcnpjUWlVUityeXh6SENmZTQvRmt4Z2hUVE5OOFhrU09VTlhab1ZCb2VoMVBXNTQ3eXJtTCszaXh4K05wME1oY1ZEeFhyd0ZJOVhnOEJ3RTR2YUh0NmhJS2haNHdUZk5VRVRrVHdMOU0wOXdvSW9rQTJnTW9BVEF3TnpkM1kyVjl5N0lPQWpBUUZjL1pVQUFMOGQvTjFZYUt5RkRMc29vQWJBSFFGVURsdXJoNUFBYlUrSktpbDl2UFRaWmwzVlJmbk1GZ01HNDNyQ2U4UnpGaFNrUkVSRVJFUk0xR1JEWUNlRXRWeTl6N2JjMFdFVm1ncW1VZWoyZFBidWp5aDJNWXhyNEFMbGZWUkkvSDgwOEFPMDJZdHBaRWFhVkdUTWtIS2hKVXZkMUVVelg3Nzc5L0VvQVVBQjBzeTdyREhSRUtFZmtrT1RtNWc2bzZBQnFjWkkzaUJYQ3RtNXlxZDdPbnBLU2svd0dRcEtxZmYvdnR0NXNxeXgzSDJlVHhlR0FZUm5aMC9jcDFPMk80Qkc0eU9kYkJZREQ0bEdtYUg0ZENvWHdBY005MVgrVngwelN2QjdBeUZBcmRWN090YmR1akFSaVZqM3YzN3QwZXdDS1B4L09aYmR2OVVmRWNYdzdnSDQ3akhGczVhak03Tzd1dllSaXZPWTR6T3hRS1hWWFozcktzbDFUMUdzdXkrZ2VEd2ZlaVlwZ2tJa05WZFdWeGNYRzE1Si9mNysrZ3FnTlY5V1lBUGdEYkhjZDV6RENNa3dGY0RhQy9hWnJUSTVISTg3bTV1VXZyZTg3ZEJPWFpxcnBnSi9VYUttemI5bm51V3FyWEFEaElWYmVLeUx4d09QeEl6WGlDd2VCcTB6VC9EY0JVMWRjcnl4M0htV2tZUnB5cVhpWWk2UUM2cVdvaGdGeFYvZWUyYmR1bTFseXlRVVNTbXVrYTJnUW1USW1JaUlpSWlLaloyTGFkRCtDNmxvNmpxY3JLeXZLOVh1OTFIbzlIYmR2ZTBvQW05TWQyY0Yxclk4YWlxbGJVUmxWVjl0MTMzOFVpMHRkOU9NRWR1YmRHVlplcTZsSUFPVkhWdTdtN3dNZlNRMVdyTmpleUxPdENOOW4xam0zYjYrdUxUVVN1ZG0rclRjZDNIQ2ZrOFhpMnF1cXRwbWtlQ3FET2ZrVGtJQUFucXVybUhUdDJ2RnRYUGZkOW9LbXFSc20yYjkvK1pnQWRWSFZhWlZrNEhQN0c2L1VtR1lZeEJzQkZBSkNUay9PdFpWblRBVnhyV2RZcndXQndubHYzQWEvWGU1R3F6cllzNjdoZ01KanI4L25PZERlQVdoOE9oODlac1dKRmtkL3Y3eGFKUk00V2tVc2N4emxMUkJKRVpBZUFaeDNIR1pPVGs3TU9GWW5XSzBUa0VRRER2Vjd2Y011eVZxanEreUx5WldGaDRiOXJibklXREFiUDY5ZXYzNzQxTjZUYVJXSGJ0c2NCR05mQXVtZlVMSFNYSDVqby9tdVFZREJZNjR1QVB6SW1USW1JaUlpSWlJaGM3a1lvYlhGa0xPMGV4eGlHY2N5dWRpSWlVd0QwZGh4bnFXRVlTNHVMaTc5ZHNXSkZVUjNWMDFSMVNCM0hrZ0JVSmQ5VTlVWVJnYXJXdTltVDMrOVBWbFdmRzB1MVJHZGVYdDVteTdJdUY1R25WUFYwRVRIcTZzY2RDUnRTMVdIMXhOOHNzckt5dXJnYlIrV0VRcUdxbUhOemMzOHdUWE8yaUF5eUxPdkV5cVVNVlBVK0VSbm9KZ0gvQlNDU201dTcxcktzcXdITVZkVTMvWDcvRVlGQTRGK21hVTRCOEV4ZVh0NzNQcC92QmxWOW9XS1dPZ0JnbGJ1OHdWVGJ0bitOanNtMjdka0EvbWxaMWlCVkhTa2lmVVVrUTFWUDZ0Q2h3MGN4THNOcDVtUXA3U0ZNbUJJUkVSRVJFUkVSeGFDcXN6ZHYzankwb2ZYVDB0THVNd3hqVk0zeVlEQlkxNGpSV0piWnR0MHYxZ0hUTkVOUnVSd1BnSVdxK21Vb0ZKcFhYNGVCUUtBNEt5dXJsOWZySFJBSUJGYkZpTzhqQUlmNy9mNjRIVHQySk5UVlQzNStma2xkYTFPcWFrUkVtbTNkU28vSDR3ZXdBOEM5TlRmOE1nempjY2R4MGxTMUttbHIyL1o2bjg4M3dqQ001UUFpVWRjMnp6VE5zU0p5ak9NNEtRQzJwdHZjK0FBQUlBQkpSRUZVMnJaOVMrWHhVQ2cwMVRUTkV3QnNVZFU1N3NaSTlXMHdGZzRHZzlNQVRETk44eVIzamRCSDYxbkNnSWpvanlzOXd6Znh3TU45bXA2UjNaZ0Z2NG1JaUlpSWlQWktXVmxaeDFpVzliTnBtcHQ5UHQ4cExSMVBFM2lqMTlPa1BjL3Y5OGMxb0ZwREdEVTN0U0txRDBlWUVoRVJFUkVSVWJQSnlzcnE1L1Y2N3dGUUhnNkhuMnpBcGlpdFN0KytmWHZIeDhjUEJSQXVLU21adW16WnNoOWJPaVpxTVcxNmwrOC9na0FnVU41TVhUa05xRU5VaGQrVUVCRVJFUkVSVWJNeERHTWZWVDBmd0RtR1llelQwdkUwVmx4YzNQNEFiaEdSRytMaTRycTFkRHhFUkxUbk1XRktSRVJFUkVSRVJFUkU1R0xDbElpSWlJaUlpSWlJaU1qRmhDa1JFUkVSRVJFUkVSR1JpNXMrRVJFUkVSRVJFVkd6Y3h4bm5lTTRrd0Y0STVISW1wYU9oNGlvb1pnd0pTSWlJaUlpSXFKbXQzVHAwcDhBUE5iU2NSQVJOUmFuNUJNUkVSRVJFUkVSRVJHNW1EQWxJaUlpSWlJaUlpSWljbkZLUGhFUkVSRVJFUkUxdS9UMDlNUk9uVHJ0N3ppT2JOeTRjZDM2OWV1TFd6b21JcUtHNEFoVElpSWlJaUlpSW1wMnFhbXBoNmpxYzRaaFROMXZ2LzM2dEhROFJFUU54UkdtUkVSRVJFUkUxSnhXQXhqbk9FN1l2ZCttcU9wNkFOTlV0UnpBaHBhT3B5MFRrUlFSNmFlcWlhcmFycVhqSVNKcUtDWk1pWWlJaUlpSXFObUVRcUhWQU1hMmRCeE5sWk9UOHgyQU8xczZEaUlpYWptY2trOUVSRVJFUkVSRVJFVGtZc0tVaUlpSWlJaUlpSWlJeU1VcCtVUkVSRVJFUk5Sc3VuZnZudHlsUzVjZWhtSG9MNy84c3I0TjdvenVQZWlnZzFJTXc5Q0Nnb0x0QUNJdEhSQVJFZTFaSEdGS1JFUkVSRVJFeldhLy9mYnJZeGpHVkZWOXJpM3VqTzd6K2ZxbHBhWE5URTFObldhYVprWkx4ME5FUkhzZVI1Z1NFUkVSRVJGUnMzRjNRODhVa1JMSGNkcml6dWhwcW5xQ2lKU0V3K0gyTFIwTUVSSHRlUnhoU2tSRVJFUkVSRVJFUk9SaXdwU0lpSWlJaUlpSWlJakl4WVFwRVJFUkVSRVJFUkVSa1l0cm1CSVJFUkVSRVJGUnMxUFZGUUN1VlZWUGNYSHgwcGFPaDRpb29aZ3dKU0lpSWlJaUlxSm1sNWVYdHhuQXZKYU9nNGlvc1RnbG40aUlpSWlJaUlpSWlNakZoQ2tSRVJFUkVSRVJFUkdSaTFQeWlZaUlpSWlJaUtqWkhYYllZWjBURXhOUE1BekRFdzZIRitUbTVtNXM2WmlJaUJxQ0NWTWlJaUlpSWlJaWFuYng4ZkdIR0lZeFJWVVREY01ZQUlBSlV5SnFFNWd3SlNJaUlpSWlvbVpUVmxhMlBENCtmcGpqT0pIeTh2TGxMUjFQWXptT1UrRHhlUDdYY1p4d09CeGUzZEx4RUJIUm5zZUVLUkVSRVJFUkVUV2IvUHo4WHdETWF1azRtaW8zTjNjdGdPZGFPZzRpSW1vNTNQU0ppSWlJaUlpSWlJaUl5TVdFS1JFUkVSRVJFUkVSRVpHTFUvS0ppSWlJaUlpbzJmVHQyN2RUZkh5ODZWUXNBcHJ6N2JmZmJtcnBtQnJENS9PbHFXby9FWEcyYmR1MnRLQ2dvTENsWXlJaW9qMkxJMHlKaUlpSWlJaW8yY1RIeC9jVGtabUdZYndVSHgvZnI2WGphWUkrSG8vblJjTXdua3RPVHU3ZDBzRVFFZEdleHhHbVJFUkVSRVJFMUd4VTFRQ1FLQ0p3SEtjdER0S0pWOVg5UktRRVFIeExCME5FUkh0ZVcvemxSVVJFUkVSRVJFUkVSTFJiTUdGS1JFUkVSRVJFUkVSRTVPS1VmQ0lpSWlJaUlpSnFkaUpTQkNBQUlNRnhIRzZlUlVSdEJoT21SRVJFUkVSRVJOVHN0bS9mWHBDWW1IaUw0emhTWEZ5OHNhWGpJU0pxS0NaTWlZaUlpSWlJaUtqWkZSUVVsQUw0cWFYaklDSnFMSzVoU2tSRVJFUkVSRVJFUk9SaXdwU0lpSWlJaUlpSWlJakl4U241UkVSRVJFUkVSTlRzRGovODhGNkppWW5YQWZDV2xaVzk5TzIzM3hhMGRFeEVSQTNCaENrUkVSRVJFUkUxRzhkeFNyeGU3eHBWTFhVY3A2U2w0MmtzVlEyTHlGWUFKUjZQSjl6UzhiUmxjWEZ4M1VUa0JsVk5qSXVMK3hnQUU2WkUxQ1l3WVVwRVJFUkVSRVROcHJpNE9EODFOZlc2U0NUaUZCY1h0N2tFbVlnc2RSem5haEZ4dG0zYjlsMUx4ME5FUkhzZUU2WkVSRVJFUkVUVWJBb0tDZ29CTEducE9Kb3FGQXB0QWJDZ3BlTWdJcUtXdzAyZmlJaUlpSWlJaUlpSWlGeE1tQklSRVJFUkVSRVJFUkc1T0NXZmlJaUlpSWlJbWsxV1Z0YitIby9uUWxVTk80N3pZVzV1N3RxV2pxa3hNakl5dWljbUpwNXRHRVlrRW9uTXk4M04zZGpTTVJFUjBaN0ZoQ2tSRVJFUkVSRTFHOE13ZWdONDNEQ01FZ0FyQWJTcGhHbFNVdEtoSWpKQlJFb0FmQWVBQ1ZNaW9yME1wK1FURVJFUkVSRVJFUkVSdVRqQ2xLZ044Zmw4MXhpRzhYY0EyY0Znc0tBeGJUTXpNenQ2dmQ2L2lraC9BTDFVTlFJZ1gwUmVEZ2FEVXdCRTZqaG5meEVaRHNBUElBN0FNaEdaRVF3R242dXJqY3RybXVZTkFBWUJPRXhFa2xSMUE0QVBiZHUrSmJxaTMrOC9XRldIcStxWkluS1FxaG9Bdmdmd1JpUVNHWmVibTd1OU1kZEsxSmJ3ZFUxRVJFUkVSTlM2TUdGSzFBWllscFdscXVORjVNeW10TS9LeXVybjlYby9CdEFOQUZSMUU0QTBFVGtLd0ZHV1pWMVVVbEp5WVg1K2ZsbU44ejRCNEM2M3pYWUFwU0p5QklBalROTzh5RENNOHdPQlFIbk44NW1tdVMrQTk5MytBYUJJVllzQUhDQWlWd0NvbGxoUjFla0FUaENSTUlEZlJHUWZBSWNEdU4vcjlWN3M5L3RQQ2dRQ1c1dHk3VVN0RlYvWGZGMFRFUkVSRVZIcnhDbjVSSzJZeitlNzJMS3M5MVExMU5Ta0NnQjR2ZDVMQWFTcDZvTmxaV1ZkYmR2dVhGUlVsS3lxdDZocUtZQ3o0dVBqUjlZNDl5a0E3bExWTWdDRGJOdE90VzI3TTRDVFZIVzlpSnlwcXNOcm5xdDM3OTRKSXZLZWlCeWxxb3Npa2NqUndXQ3d2VzNiWFF6RGFPYzR6bFV4UWx5bnF0ZUV3K0cwWUREWUxSZ01KanFPY3pXQUVnQlpxanFxcWRkTzFOcndkYzNYTlJFUjBWNWtnK000TDZ2cU5GVmQzOUxCRUJFMUZFZVlFclZpaG1GTUJkQlpSSDRETUJ6QXF3QThUZWpxNS9MeThxUHo4dkx5S2dzS0NncEtBVXh4UjQyTkZwRkJBTVpFbmZzeVZJd1NlOHEyN1ptVjVjRmc4QXVmenpkTVJONVcxZjhCTURINlJLbXBxYmNET0JyQWdxS2lvalBjOHdBQUFvRkFNWUFQYWdZWERBYXZxakVOT0JJS2hWNDFUVE5UUk81VzFZc0IvTFVKMTAzVTZ2QjF6ZGMxRVJIUjNpSTNOL2NIQUhlM2RCeEVSSTNGRWFaRXJaaXEvcUNxOXp1T2MwZ3dHSHk5cWYwRWc4SG5vNU1xTlh6bzNoNVVvN3dEQUlpSVhiTkJPQndPdUhmVG9zdlQwOU1UQWR3RElCS0pSSzZMVHFyc1JNdzFFMFhrYS9jMnRZSDlFTFY2ZkYzemRVMUVSRVJFUkswYlI1Z1N0V0syYlIrNUIwOVhiUzFCVmYxYVJLNENjRHlBMTZLUHhjZkhuK3plL1RxNnZHUEhqdWVMU0pxcXpzdkp5Zmx1VndOUzFVUVJnYXIrc0t0OUViVVdmRjN6ZFUxRVJFUkVSSzBiRTZaRWRLeDd1eks2MERDTXFZN2ozQVRnVnRNMHZ5c3FLbnFob0tBZzdQUDVMbFRWU1FBMkc0YnhlSFFiRVRuTnZaM2Z0Mi9mVG5GeGNYZUt5R2tpMGc3QU1zZHhuZ3VGUXA4MUlyYXIzZjVtTmNOMUV1MU4rTG9tYXFOOFB0ODFobUg4SFVCMk1CZ3NhRXpiek16TWpsNnY5NjhpMGg5QUwxV05BTWdYa1plRHdlQ1V1a1orKzN5Ky9pSXlISUFmUUJ5QVpTSXlJeGdNUGxkWEc1ZlhOTTBiQUF3Q2NKaUlKS25xQmdBZjJyWmRiU000djk5L3NLb09WOVV6UmVRZ1ZUVUFmQS9nalVna01pNDNOM2Q3WTY2VmlOcU1PTk0wMHlLUmlJVEQ0UzAxTjZNa0ltcXRtREFsMm90bFpHU2tBaGlKaXVURks5SEhBb0ZBc2QvdlA5TnhuTmtpTXFsOSsvWVRMTXNLQTBnRThIMGtFcm5VdHUxVjBXMVVOVnRFNERqT3BvU0VoSVVBTXFJT1p4cUc4U2ZMc3U0TUJvUFYxa2VzR1ZOS1Nvb1B3SjBBemxQVmQwcExTLyt4R3k2ZjZBK0pyMnVpdHNteXJDeFZIZC9VemVDeXNyTDZlYjNlandGMFE4VnJkeE9BTkJFNUNzQlJsbVZkVkZKU2NtSE5aSVZsV1U4QXVNdHRzeDFBcVlnY0FlQUkwelF2TWd6ai9FQWdVRjd6Zk81YXllKzcvUU5Ba2FvV0FUaEFSSzRBVUMxaHFxclRBWndnSW1FQXY0bklQZ0FPQjNDLzErdTkyTy8zbnhRSUJMYldQQThSdFczWjJkbUhpc2c0ajhlVDRLNWxHbXpwbUlpSUdvSUpVNks5VkZaV1Zvckg0M2xMUkhvQldMRng0OGFYYTlZSmg4TW5Hb2JSeDMzb2pYclA2Tzd4ZU00RlVITWR4QjZvR01WMmovdWg2Ymlpb3FKZ2NuSnlkNC9IODdDSURGTFY4YVpwZm1IYjlwTG9ocFpselFOd2RsVFJ6NDdqWEJzS2hWN1p5ZWlXUnVsK2NMK2U4WEhlZzV1clA5cjdsSmFXL3ZEekQ4dCtiT2s0WXRsYlg5ZTdFOTh6YUZmdDdEM0Q1L05kYkJqRzlhcDZ2b2hJVTgvajlYb3ZCWkNtcWcrV2w1Yy92M1RwMGcyOWUvZE9TRTFOdlJiQVV5SnlWbng4L01qb2plQjhQdDhwQU81UzFUSVJ1YzYyN1ZjQnFHVlpKNnJxYXlKeXBxb09yN2tSWE8vZXZSTkU1RDBBUjZucUlzZHhicy9KeWZrR0ZTTkpreU9SeUtreFFseW5xdGRFSXBFMzNkR2tIcC9QTjlBd2pCY0JaS25xcU5hd0VkeitoeDdhdzJza0g5TFNjYlIxeGVWTzcrUjR6N0tJNDVTWGxEdTkwdy96dFhSSWpWSXQvb2lSa1g2WUw3R2xZOXBWWmVYaFZldFhMZjFwVDU5WFZWUGQwZXVKaG1HMDM5UG5KeUpxS2laTWlmWkNQcDh2M1RDTU53RllxcnBPUkM1WXUzYnRqdWc2bG1WZG9LcXpBZXhRMVZ2S3lzcm1KQ1ltbGppT2M0YUlQQVBnTWN1eUpCZ01QaGJWclBLUG9DN2w1ZVhITDEyNmRJUDcrQWNBMTdpN1kvc0FqSENuNzBWYkQyQVZnR1JWM1U5RXVvbklXTk0wRHpJTTQ1RllvMXNhS3ozZGw0NDRuUWJSdzNhMUw5cDdKU1RHcjBsUDkxMitlblZvZFV2SEVtMXZmVjN2VG56UG9PYXdzL2NNd3pDbUF1Z3NJcjhCR0E3Z1ZRQ2VKcHpxNS9MeThxT2pONE56TjJtYjRvNEdIUzBpZzZJVHBvWmhYSWFLaE1aVHRtM1ByQ3dQQm9OZitIeStZU0x5dHFyK1Q4MkVhV3BxNnUwQWpnYXdvS2lvNkl6b3plQUNnVUF4Z0E5cUJoY01CcStxOFVWSkpCUUt2ZXEraDl5dHFoZTNkTUswUisrcy9iMWlQQTlScXlYaitDTW9qUUJsT3lJQ0FBbzhJcUl0SFZLamxEbEErUTdIQUFBSE9uWVh2c3RvTmVMalBNdlQwMzNYdHJhL1g0aUlXaXNtVEluMk1xWnBYZ1JnT29DT0FJS0dZUXdJQkFKcmFsVHpxdW96SW1LbzZ2VzJiVWR2RHZPdVpWa3JWVFVFNElIczdPenBPVGs1Njl4akZYOFlxODZJU3FwVVVoR1pBbUNLcXA1WU02NWdNRGkwOHI3ZjcwOTJIT2RjRWZrYmdQc2R4emtTd0xtN2ZQR0pTSWZnTUlGMFRVNUtnc2ZibE0ranRMZUtoQ1BZVVZJQ1J6VVJpVWdIMEdvK2NPelZyK3ZkaWU4WnRBc2ErcDdoYm9EMmxLcE9Eb1ZDV3l6TGVyVXA1d3NHZzgvWGMvaERBS01CSEZTanZBTXFsdStvT2JJYzRYQTRFQjhmRHdCcDBlWHA2ZW1KQU80QkVJbEVJdGRGSjB0M0l1YW9jaEg1MnIxTmJXQS91MDBjc0Q4RWZRVFNOU2twQ1Y2KzV1a1BJQktPb0hqSERxZ29XdHZmTDBSRXJSa1Rwa1I3RWN1eS9sZFZIeFVSVWRYSm16ZHYvc3ZxMWF0TGF0WXpUZk40RVVsWDFSOXJKRldBaWc5bHkwelRmRXRFQmhxR2NUbUFDYWo0c0ZNRW9LT3FMcXNqaE1vTmFMclZGNmM3T3VWTnY5Ky9XRldYaThnNTJkblpaK1hrNUh6Y3hFdXZKamtwQ1hmZU5neDlEczlvUUcyaUN2bkxWdUNaNTE3QWxzTENsZzZsR3I2dWR6KytaMUJUTlBROXc3YnRJL2RZVUVDMU5VSlY5V3NSdVFyQThRQ3F2Uy9FeDhlZjdONzlPcnE4WThlTzU0dEltcXJPeThuSitXNVhBMUxWUkJHcFRCeTNDbkZlTC81OHk0M3daZlZyNlZDSWRsbitzaFdZTU9sWmJOOVIzTktoRUJHMUtVeVlFdTBsVE5POEQ4QWpJbEtrcXRmYXR2MW1QZFVyMSt1cjg0T1FpQ3gzYjZ2VzlsUFZIMFRrQU1Nd09zWnFvNnBoRVlHSU5HZzBTaUFRV0dPYTVrSVJPZDB3akdNQU5FdGl4ZVAxb00vaEdUam1xQ09hb3p2YWk4VEZ4YlYwQ05Yd2RiMW44RDJEbXFvVnZXY2M2OTZ1akM0MERHT3E0emczQWJqVk5NM3Zpb3FLWGlnb0tBajdmTDRMVlhVU2dNMkdZVHdlM1VaRVRuTnY1L2Z0MjdkVFhGemNuU0p5bW9pMEE3RE1jWnpuUXFIUVo0Mkk3V3EzdjFuTmNKM05RZ3dEaDJjY3d0YzgvV0Z3aGdRUlVlTVpMUjBBRWUxK3BtbWVER0MwcW02SlJDSW43eVNwQWhIWjR0N3RVVmNkVmUzcDNrYVBWbG5pbHNWYyswdFZEM1h2RmpRaWZNZTlMZHRKUGFLOUNsL1hSTlFRR1JrWnFRQkdvdUo5NEpYb1k0RkFvTmd3akRNQmZDRWlrOXEzYjcvTnNxeHRobUc4TFNLYkhjYzVQUkFJcklwdW82clpBT0E0enFhRWhJU0ZobUdNRXBGakFXUUMrSk5oR1BNdHk3cGpaekZabG5XaVpWbHZpOGg1cXZwT1NVbkpQM2JQTTBCRVJFVFVlRXlZRXUwZEhuWjMzaDJaazVOVGE1MnltbFQxSzNldHNjTjhQbCt0cVlLbWFlNHJJdjFSOGVGcllXVzVpTHpoM2w2Y21abFpjNTAwR0laeGk5di8rNVZsZmZyMGlhOHJqdXpzN0I0aWNyejdjSEhETHBWb3I4SFhOUkhWS3lzckt5VTVPZmt0RWVrRllNWEdqUnRmcmxrbkhBNmZDS0NQKzlBTG9ISTM4TzRlanlmV09zTTlVUEhhdjBkVmQ2anFjWVdGaFluaGNQZ2dWWDBGRmU4SDQwM1RyRFU4MDdLc2VaWmxhVXBLU2lHQS93QTQybkdjYTIzYi9wLzgvSHgrZ1VKRVJFU3RCaE9tUkg4Z1BwL3ZGTk0wdnpkTmMwYmxSaTFaV1ZrcEluSUNBSlNXbHM1dFNEKzJiYTlYMVpraVlvakluT3pzN0ZPait1dm43bjdiR2NEU1lERDRZV1c3WURENGxhcitDNERINi9XK2FWbFdiN2lidlppbStUUUFDOEJ2QUo2cGJCTWZIMys5YVpwVGZUNmZyL0ljQUR5bWFaN3I4WGorN2U2dS9ZMXQyNTgyOS9ORjFCYndkVTFFVGVIeitkSzlYdTkvUk9RTVZWMEg0SUsxYTlmdWlLNWpXZFlGaG1ITWRsK1R0NVNXbG5ZV2tSUjN4L3FOQUI2ekxHdFVqYTdidTdkZHlzdkx6N0Z0ZTFGQlFVRnBibTd1RDdadFg2T3FJZmQ5WmtTTXNOWURXQVhnWjFWMUFIUVRrYkdtYVQ3bzkvdGJ6Zm9GUkVSRVJGekRsT2dQeERDTTZ3RWNDT0RBckt5c1VibTV1V3RGcEFjQUR3QWtKaWIrYkZreFo5VUNGZFBySGd1RlF2ZWhJZ2t6UERFeDhXQVJPY0hqOFh4cW11WjJBR1VpMGhFVm8wZFdxK29sTVhhOUhhS3FDMFRFcDZyZm1hYTVUbFU3aTBpU3FtNVgxY3RDb2RDdlVURWJBSWFLeUZETHNvb0FiQUhRdFdLeldnQkFIb0FCQUhTM1BHbEVyUnhmMTBUVVdLWnBYZ1JnT29DT0FJS0dZUXdJQkFKcmFsVHpxdW96SW1LbzZ2VTFOb043MTdLc2xhb2FBdkJBZG5iMjlKeWNuSFh1TVVIRis4V01wVXVYYnFqUnA0cklGQUJUVlBYRW1uRUZnOEdobGZmOWZuK3k0empuaXNqZkFOenZPTTZSQUdLTmFDVWlJaUxhNHpqQ2xPaVA1WFYzQjl6M2MzTnoxNk1pY1pIVWxJN3k4L08zQllQQlUxVDFWbFZkQktBY1FEeUFwUUFlTWd6REZ3cUZWdFpzNTQ1aXMxUjFBb0RWQUxxb2FxR3F2cUtxWnMyTklCekhtUW5nVHZjYzJ3QjBVOVVpVmYzTWNaeGhoWVdGUjlxMnZiN3BUd2xSbThmWE5SRTFtR1ZaL3d2Zy8wU2tvNnBPM3JScDAvRXhrcVV3VGZONEVVbFgxUjlySkV1Qml1VG1NZ0J2aVVpOFlSaVhWNWFMU0JFcUVxYkw2Z2loOGoya1czMXhCZ0tCWXR1MjN4U1JVd0hzRUpGenNyT3p6MnI4RlJNUkVSRTFQNDR3SldwRGdzRmd2YS9aWURENEhvQzA2RExidG5PaXBzUTJWc1MyN2VjQVBOZVlScUZRYUl1N3djVElCdGFkNlA0ajJ1dndkVTFFemNVMHpmc0FQQ0lpUmFwNjdVNDJnenZZdmYydXJnb2lzdHk5cmF3TFZmMUJSQTR3REtOanJEYXFHaFlSaUVocFEySU9CQUpyVE5OY0tDS25HNFp4RElDUEc5S09pTnFHNHVMaVZTa3BLYmVMaUtlc3JHeDVTOGREUk5SUVRKZ1NFUkVSRWJWeHBtbWVER0MwcW01eEhPZTBuVzBHSnlKYjNMczk2cXFqcWoxRkJLcTZOYXA0Q1lDVFZUWG1XaUNxZW1qRmZuUW9hRVQ0am52TGpaK0kvbUFLQ2dwK2RXZkxFQkcxS1p5U1QwUkVSRVRVOWowc0ZabktrVHRMbHFJaXNmbVZ1MTd4WVQ2Zjc4aWF4MDNUM0ZkRStxTWl1YnF3c2x4RTNuQnZMODdNekR5b1pqdkRNRzV4KzMrL3NxeFBuejd4ZGNXUm5aM2RRMFNPZHg4dWJ0aWxFaEVSRWUxZVRKZ1NFUkVSRWJVUlBwL3ZGTk0wdnpkTmMwYmwwaHhaV1ZrcEluSUNLalozbTl1UWZ0eTFpV2U2TzlyUHljN09QaldxdjM0QVBnRFFHY0RTWURENFlXVzdZREQ0bGFyK0M0REg2L1crYVZsV2I3aWJPSm1tK1RRQUM4QnZBSjZwYkJNZkgzKzlhWnBUZlQ2ZkwybzVFWTlwbXVkNlBKNS9BMGhXMVc5czIvNjB1Wjh2SWlJaW9xYmdsSHdpSWlJaW9qYkNNSXpyQVJ3STRNQ3NyS3hSdWJtNWEwV2tCd0FQQUNRbUp2NXNXVEZueXdNVm03STlGZ3FGN2tORmNuVjRZbUxpd1NKeWdzZmorZFEwemUwQXlrU2tJeXBHaWE1VzFVdmNrYWpSaHFqcUFoSHhxZXAzcG1tdVU5WE9JcEtrcXR0VjliSlFLUFJyVk13R2dLRWlNdFN5ckNJQVd3QjBCUkRuVnNrRE1BQ0E3cFlualloYVRHWm1ac2U0dUxpakhjZnhGQmNYZi8zZGQ5LzkxdEl4RVJFMUJFZVlFaEVSRVJHMUhhOEQyQXJnL2R6YzNQV29TRWdtTmFXai9QejhiY0ZnOEJSVnZWVlZGd0VvQnhBUFlDbUFod3pEOElWQ29aVTEyN21qVXkxVm5RQmdOWUF1cWxxb3FxK29xaGtLaFQ2THJ1ODR6a3dBZDdybjJBYWdtNm9XcWVwbmp1TU1LeXdzUE5LMjdmVk5mMHFJcUxVeURPTVFWWDNPTUl3WFUxSlMrclIwUEVSRURjVVJwa1JFUkVSRXJVUXdHS3ozNy9OZ01QZ2VnTFRvTXR1MmM2S211amRXeExidDV3QTgxNWhHb1ZCb0M0Q1I3citHMUozby9pT2l2WWlxR2lLU3FLcUpxc29CVzBUVVp2QU5pNGlJaUlpSWlHZzNDSWZETFIwQ0VSRTFBUk9tUkVTN3lmTGx5N0ZxMWFyZDBuYzRITVpqanoyR0R6LzhzRnI1dUhIak1IZHVnL2I3MktuZmYvOGRCUVVGMkw1OSt5NzNsWitmajVkZmZubVhuby84L0h5c1hyMjYzam96WnN6QVcyKzkxZVJ6RUJFUjdXa3Z2L3d5ZnZ1dDdTL3IrUHZ2dnlNL1B4K0ZoWVhOM3Zlc1diTXdhOWFzWGVwajI3WnRtRGx6SnJadDI3Ykw4YXhmdng3bDVlVTdyYmRvMFNKY2VPR0ZDQVFDdTN4T0lpTGFzemdsbjRob043bnV1dXZRdlh0My9QT2YvMnhVdTg4Kys2eldoNDNVMUZTY2V1cXBWWThqa1VoVll2RGNjOCt0S24vNzdiZFJXbHFLODg0N3IxYS9NMmJNd0taTm0ycVZuM1BPT1RqODhNT3JsWldXbG1MbzBLRll1M1l0cGsrZmpzek16RVpkUTAxTGxpekIwMDgvamJTME5CeDg4TUdOYnYvRER6OWcwS0JCNk51M0w2WlBuNDZLL1VOcW16eDVNbnIyN0lsTExybGtsK0lsSWlMYUUrYlBuNCtubjM0YVAvMzBFMGFOR29Wd09JeHQyN2FocUtpbzJtMWhZU0UyYmRxRTMzLy92ZXEyOHQvTEw3K01BdzQ0b0VIbisrS0xMMUJhV3RyZytMS3pzN0h2dnZzMnFPNEhIM3lBcDU5K0d1UEdqY01aWjV6UjRITTB4TFJwMHdBQVYxNTVaWlA3K09TVFR6Qng0a1JzMnJRSnQ5MTJXOHc2UzVZc3FiTzkxK3VGeitmRGI3LzloaUZEaHFCSGp4NFlQMzQ4T25mdVhHZWJUcDA2WWZQbXpiajMzbnN4ZS9ic2V1c1NFVkhyd29RcEVWRXI4K3l6eitMNzc3K3ZWdGFyVnkvMDZ0VUxUei85TkZDeGdRWUFZT0hDaFJneFlrUlZ2WEE0aksrKytxcGEyVjEzM1lXZVBYdmluWGZld1k4Ly9sanJmQmtaR2JVU3BpKysrQ0xXcmwwTEVjSFlzV014WThZTWVMME4vNVdocWhCcDZuSjZ0UjE0NElHNDRJSUw4UDc3NytQZGQ5OUYvLzc5bTYxdklpS2lsckJ0MnphTUh6OGVhV2xwR0Rac0dONTY2eTA4OXRoajliWVJFYVNtcHFKRGh3NUlTMHREejU0OVVWSlNBZ0JZdkhneEZpMWFWR2ZiQVFNR1lQVG8wVEcvUEszTCtQSGpxMzFoMjVaZGRORkZtRFZyRmw1NzdUVmNkZFZWTVpPWE45MTBVNTN0TzNUb2dFOC8vUlQ3N0xNUExycm9Ja3liTmcyREJ3L0dwRW1UNnZ3eU9DTWpBemZlZUNObXpweUo3Ny8vbmdsVElxSTJoQWxUSXFKVzZOaGpqOFdZTVdNQUFBODg4RURNUkdkVDlPdlhEek5tekFBQVBQSEVFM2p0dGRkdzRJRUhWcXV6YU5FaVRKOCtIU2VjY0FKT1BmVlVQUExJSXhnL2ZqenV1ZWVlQnAyanVMZ1l0OTEyRzg0NDR3d01IRGl3em5wejU4N0YzTGx6TVdiTUdLU21wdTYwMzF0dXVRWGZmUE1OeXNyS0doUUhFUkZSYS9iNDQ0L2psMTkrd2JoeDQ1Q1dsbGIxWmVqZ3dZTng0SUVISWpVMUZlM2F0VU83ZHUwUURvZXhZc1VLbkhEQ0NlamF0V3ZNL25KeWNxcCt4OGR5OU5GSDQ0RUhIcWcyd25UbHlwVjQ4Y1VYY2RKSkorSDg4OCt2MWFaZnYzN05jcTB0NGJYWFhzUHZ2LzllcmF4VHAwNG9MUzNGcTYrK0NvL0hVMVdlbXBxS3dZTUhBd0FPUC94dy9PbFBmNm82Rm9sRU1IYnNXQ1FsSlZXVkRSOCtISjA2ZGNLVFR6NkpvVU9INHJubm5zTU5OOXhRWnl6aGNCaTMzMzU3ekdPcHFhbVlOMi9lTGwwckVSRTFQeVpNaVloMm8xOS8vUldscGFWSVNFaW9kV3phdEdrNCtPQ0RjZEpKSjlVNjV2RjRxcEtJbFNNN0R6cm9vS29ScHFXbHBUanV1T053M0hISFlkU29VVlh0ampubUdCeHp6REY0NElFSGRocmJnZ1VMMExWcjEycWpTMWV2WG8xNzdya0hYYnAwd2VqUm85R2hRd2NzV2JJRS8vem5QNUdVbEZSdDVHb3N4Y1hGK1BPZi80eFFLSVM0dURoY2V1bWxkWTVNL2Z6eno3Rm8wU0lNR1RJRVR6MzFGSHIyN0ZudCtPTEZpL0g1NTU5WEt6djExRk94WnMwYWpCOC9IcVpwNHZUVFQ5L3BkUklSRWJVMkw3LzhNajc2NkNQMDc5Ky8xdlQxYzg0NUJ4a1pHZFhLbGl4WmdqRmp4bURjdUhGMUpreUhEQmxTTldYOS9mZmZ4N2h4NC9EUVF3OVYvYTVNU0Vpb2xpU0VtMlFGZ0N1dXVBSkhIWFZVczF6YnVuWHJZcGIvOHNzdmVPR0ZGM0RYWFhjaE9UbTVxdHh4SE54eHh4MzE5bGxVVkFRQTlmNGRZaGdHSms2Y1dQWDRndzgrcURWanA5THJyNzllN1hHWExsMnFFcWJkdW5YRFJSZGRWSFZzN3R5NUNJZkR1T0NDQzZxMXVmTEtLeEVYRjRmMTY5Y2pQVDI5MW5KSVAvMzBFOWF2WDQramp6NjYzbXRMVEV5czl6Z1JFYlVNSmt5SmlCb3BFb25VdS81WDlBZVNvcUlpZlB6eHg3and3Z3VyMVprOWV6WW1UNTZNNU9Say9OLy8vVitEcDJqdDJMRURhOWFzZ2VNNEdEcDBLSHIyN0lrVksxWlVIUjh5WkFpNmR1MWFWWmFlbmg0eldmdlRUejloN2RxMTFkWUMrK0dISDNEenpUZWp2THdjWThlT1JZY09IUUIzaEd2bEdta2JOMjdFZmZmZFYyMlVSWFJzdDkxMkcwS2hFSTQ2NmloTW5EaXgzbW44WThhTVFhZE9uVEJuemh3TUhqd1lUenp4Qkk0NDRvaXE0OHVXTGNQczJiUHJiQitKUkpnd0pTS2lOdWU5OTk3RHBFbVRrSm1aaWIvKzlhKzFqdHUyalkwYk4xWXJXN2x5SmVEK2JvejFlLzJJSTQ1QVVsSlMxZS9kdUxnNEFFQjhmSHkxNUdRMFZjVW5uM3lDdExRMCtQMytlbU11S1NtcEdnRmJrMkVZMVpKK2I3NzVKZ1lOR2xSdHZmSE5temZqMWx0dnhZOC8vb2dPSFRwVVMzdzZqb01GQ3haQVJHSmVHNENxRFpicVdtTzB0TFMwMWxKQXI3enlDc3JMeXpGNzltd2NmL3p4dGFiTmYvNzU1N0J0RzlkY2N3MDZkdXhZNTdXLy9QTExpSStQeCtXWFgxN3IyR1dYWFZaMVAvb0w3SzFidDJMdzRNRll0MjRkamp6eVNKeDExbG5WMm9YRDRVWXRkVVJFUkhzZTM2V0ppQnBwL3Z6NXVQdnV1K3M4L3Z6enoxZEwvTDMrK3V2VkVxYnZ2dnN1eG85VkhVaWFBQUFnQUVsRVFWUWZqOFRFUkV5Y09MRlI2MWt0WDc0YzExOS9mWVBydi83NjYramR1M2V0OGdVTEZnQUFUanZ0TkFEQTBxVkxNV0xFQ096WXNRTlBQZlZVdFUyZTR1UGpNV0hDQk54NTU1MllOMjhlbGk5ZmpudnV1UWRISG5sa1ZaM2ZmdnNOSTBhTXdQTGx5M0hra1VkaTRzU0pPeDB4WVJnRzdyNzdiblR0MmhXVEprM0M4T0hETVhyMDZLb1BGUU1IRHNTQUFRT3F0WWxFSWhnK2ZEaVdMVnVHNDQ0N3JzNitpNHFLRUJjWHgxRWJSRVRVcXVUbjUrT2hoeDVDang0OThPU1RUeUloSVFILytjOS9jT0tKSjFiVmVlS0pKK3BzUDMzNjlKamxiNzc1SnRMVDB4c1ZTeWdVd3NhTkczSEpKWmZVR25sYTA2QkJnK29jcldsWkZ2N3hqMzlVUFY2M2JoMisvUExMcW1zcUtpckNzR0hEOE9PUFArS1VVMDdCc0dIRFl2YVRsWldGbDE1NnFWYTVxdUxvbzQvR3dRY2ZYT2NYcVZkZmZYVzFMNUFyYmQ2OEdTKysrQ0krK3VpamF1dXhPNDZEWjU5OUZqLzk5Qk1HREJoUVo4SjA0Y0tGV0xseUpRWU9ISWhPblRvQmJ0SldWYXY5SFJTdHZMd2NkOTk5TjlhdVhZdGJicm1sV3JKMHg0NGRHRFZxRkZKU1V2RElJNC9FYkU5RVJLMERFNlpFUkkzVXZYdjNXdE95NENZZFY2OWVYV3QweExKbHk3Qm8wU0ljZSt5eG1EVnJGcDU4OGtra0pTVmgwcVJKc0N3cjVqbENvUkN1dWVZYUFNQ2FOV3RxL1NFL2JOaXdPdjlRaHp0cW9uSkgyVmkrL1BKTGRPclVDZG5aMlpnelp3NmVmUEpKQU1EWXNXUFJyMTgvRkJjWDEycnp0Ny85RGVQSGo4Zjc3NytQbTIrK0dXZWNjUWJHalJ1SGxTdFhZc1NJRWRpd1lRTk9QUEZFakIwN3RsR0p5bXV1dVFiSnlja1lPM1lzN3IzM1htemN1QkZYWDMwMTR1UGpFUjhmWDYzdTMvLytkeXhidGd4WFhIRkZ0UStYMGJadTNZcEJnd1pobjMzMndWTlBQWVYyN2RvMU9CWWlJcUxkS1NNakE4Y2VleXp1dSs4K2RPN2NHUjkvL0RIdXZmZGVqQmd4b21vazZKZ3hZOUNyVjY5cTdmTHo4L0hvbzQ5aXhJZ1JNYWQ0ZCsvZXZkR3h2UHZ1dXdDQU04ODhjNmQxVHpubEZQVHAwNmRhV1RnY3hyeDU4MktPQ3AwNmRTcE9QUEZFYk55NEVjT0hEOGVxVmF0dzJtbW5ZY3lZTVkwZVdibHAweVpFSXBHcWhHVmpkT25TQlNOR2pNRGpqeitPbDE1NkNUZmVlQ1BnanZKZHRXb1ZicnZ0dGxyUGRiUVhYbmdCQ1FrSnVQYmFhd0YzSk91b1VhUHcrKysvNDZhYmJzTDExMTlmYldScldWa1o3cnJyTGl4ZXZCaERodzZ0OVNWM1VsSVNJcEVJNXM2ZGk0eU1ERng5OWRXTnZxYTJ4dVB4N0FCUUFDQmVWV3YvZ1VsRTFFb3hZVXBFMUVoOSt2VEJ3dzgvWEt0ODhPREJTRTFOcmJZbWFPZk9uYkZ0MnpaTW1USUZpeGN2eG93Wk05Q3hZMGM4L2ZUVDZOdTNiNTNuU0VsSnFabzZWblBEQWdEWWYvLzlhKzFzSDYxeTZsNHNKU1VsQ0FRQ09PKzg4N0J4NDBaTW1EQUI3ZHExUTBKQ0F1NjY2NjU2cjcxZnYzN1YxbEJUVll3YU5Rb2JObXpBeFJkZmpGR2pSdTEwbEVvc2wxMTJHZUxpNHZEb280OWkvdno1R0Rod1lLMFBWQjk5OUJHbVRwMktqSXdNM0hiYmJRQ0FtVE5uNG93enpxaTJubHR5Y2pKNjl1eUpoUXNYNHVhYmI4Ymt5Wk9SbHBiVzZKaUlpSWlhbThmandlVEprd0gzOS9Ha1NaUFFvVU1IREJnd0FCOTk5QkVBb0ZldlhyWFdNSzFjdzdONzkrNjFqbFdhUDM4KzdydnZQc0Nka1FFQUR6NzRJRWFQSGcwQW1EeDVNa3pUQk55WklSOSsrQ0hncnRIcDhYalF0MjlmbEpXVm9YMzc5clg2ampVcTlNc3Z2OFM4ZWZOcUpYQzdkKytPdkx3OHpKbzFDNisrK2lwKytlVVhEQmd3QVBmY2MwK1RwcUZYam13OTRJQURHdDBXQUFZTUdGQXRzYnR0MnpaTW5qd1poeDkrZUwwSnk0VUxGeUl2TDYvcVMxaTR5eTZOSHo4ZWQ5eHhCNlpNbVlJVksxYmdrVWNlUVZKU0VqWnMySUQ3Nzc4ZmdVQUF3NFlOdzlDaFF3RTNzVnhTVW9MUzBsS1VsWlZoeUpBaFdMSmtTZFhmZ3BYL0ozOVVtemR2WHRHcFU2ZHJWVlYrL2ZYWDJBdmNFaEcxUWt5WUVoRTFnMTkrK1FYZmZ2c3R6ai8vL0dvZkJqcDA2SUN6empvTHMyZlB4dEtsUzlHclZ5ODg4OHd6Nk5HalI3MzlIWExJSVZVYk4vM2xMMy9CcWxXcnFoMi85OTU3bXh5cjR6allaNTk5OE5WWFgrR09PKzdBd3c4L2pPenNiQVFDQWZ6ODg4OVY5VDc1NUJPc1hMa1NOOTU0WTFVU3RFdVhMampyckxOd3hCRkh3T3YxUWtUdzJHT1BZZjc4K1ZXak5tS3BuQjVmM3dlbC92MzdJeTB0RFpabDFhcjN6VGZmNE1FSEg0VEg0OEhqanorTytQaDR6Smt6QnhNblRzUlhYMzFWOWVHejhsemp4NC9IblhmZWlhKysrZ3JYWFhjZHBreVpnbjMzM2JmSnp4a1JFVkZ6ZS9iWlovSHp6ei9qTDMvNVM5VkdqNVh5OC9QeHhSZGZWRDFldjM0OUFPQmYvL3BYdGI4SnVuYnRpb3N2dmhnQXNOOSsrMVZ0SUxWbXpScms1dWFpWDc5K1ZYOXpSTTlXZWUyMTExQmVYZzdUTlBIZWUrL2hnQU1Pd09qUm81R2VubDYxd2VUTy9QdmYvd2FpbHZlcGROVlZWK0hwcDUrdW1yMXk2NjIzNHJycnJtdmtzL05maXhjdnJoWC96bnp4eFJlNDU1NTdxcFhsNStmamhSZGVnT000S0NzclEyRmhZYldOTnlkTW1GQ3RmaWdVQWdEOCtPT1AxVGJ3ek16TXhQVHAwekZzMkRETW56OGZIMy84TWM0Nzd6eGNlZVdWMkxKbEMwUUVyN3p5Q3FaT25ZclMwbEtvYXAxeDNuZmZmWmc5ZTNiTUpQVWZ4ZXJWcTB0V3IxNWQwTkp4RUJFMUZoT21SRVRONE9PUFB3WmlmR2lBdXhIVG0yKytpWEE0akdlZmZSYmR1blhiNWZNTkhEaXczaEdxUzVZc3dUdnZ2QlB6V0hKeU1oNTY2Q0hjZU9PTmVQNzU1ekZ5NUVnQXdQbm5uMSt0M3VyVnE3Rnk1VW9NR1RLazFuUzc2R2x4aHh4eUNBNDU1SkI2NDczaWlpdHd4UlZYN1BTNlRqbmxsRnBsQ3hjdXhNaVJJMUZlWG81Mjdkb2hQVDBkWDN6eEJaNTQ0Z2xrWkdUZzBVY2ZyZFVtSVNFQkV5Wk13TzIzMzQ1dnZ2a0dOOTEwRTE1NDRZV3FFU0pFUkVRdEtSQUlZUGJzMldqWHJoMHV2ZlRTYXNjTXcwQmVYbDdWZFBES0tkK0ppWWxZc0dCQjFUcmtwYVdseU1yS3FrcVlScytBZWZ2dHQ1R2JtNHZMTHJzTVo1OTlkclgraTR1TDhjWWJieUF0TFEzOSsvZUhiZHRvMzc0OXNyT3o4Y0VISDJEV3JGblZOb1dNcGJTMEZKOTk5aGtPUGZUUVdsOEM3N1BQUGhnd1lBQmVmLzExWEh6eHhidVVMSTFFSXBnM2J4NEE0Qi8vK0FmUzB0THdwei85YWFmdDl0OS8vNTFlUTAwMS96Njc5ZFpiSVNKNDhjVVhNWExrU0V5YU5LbHFJNnY5OTk4ZjA2Wk53M3Z2dlZmMS9COTU1SkZZdkhneGV2WHFoWGJ0MmlFbEpRWEp5Y2xJVGs1R3UzYnRrSlNVVlBVdk9Ua1o4K2ZQeDl5NWMvSDQ0NDlqN05peGpZcVZpSWgyUHlaTWlZaDJVVmxaR1Y1OTlWVjA3dHc1NWtaRSsreXpEeTY5OUZMTW1qVUxMNzc0SXU2Ly8vNWRQcWRwbWxXalNHSXBMUzJ0TTJFS0FINi9IeWVjY0FMZWVPTU4vSDk3ZHg0V1ZkbitBZno3ekF3RERKdHJvcUdDKzV1aGpydSttcHFtcVdtbVJXV3V1YVdtb21hbzVKWm9icmxrWnBpN2xldXIxdXZyVXBtQ3U0aHNDaHBJS0NpS1NLaUFJN09jM3g4eDgyTmdCZ1lYUnZMN3VhNnVuRG5QT1hPZnV1WjQ1ajczY3ovRGhnMTc2bFBXZi96eFIzejExVmNJQ0Fnb3RKQlRVZjc3My84aUtDZ0lraVRCeWNrSldWbFptRFZyRm43NzdUYzBiTmdRSzFldUxGU1ZZK1RvNklobHk1Wmg1TWlSdUhqeElrYU5Hb1h2dnZ2dWtYcWdFUkVSUFNsMzd0ekI5T25USVVrU2xFcWxhVmFGY1NYNC9IM0FOMnpZWUhVS2Z2NFYya3RpN2RxMXBvV1k4bi9XcDU5K2luUG56dUdycjc1Q3k1WXRMUzRhYWJSbnp4N2N2WHZYNmtLVVE0Y094VTgvL1lSRGh3NWh5SkFoanp5ZGZ0dTJiYmgrL1RxYU4yK096TXhNTEZ5NEVOZXVYY09rU1pOTXlVdExmSHg4ckM0dVZSS2pSNC9Hdlh2M3NHUEhEbnovL2ZjWU5HaVFhVnVGQ2hWTS9lYVJWeTNxNHVKaTF0TzBLRTJiTmtWNGVMZ3A0VXBFUk04V0preUppQjdUM3IxN2taNmVqbzgvL3JqUUlrVkdvMGVQeHBFalI3QjM3MTUwNk5EQmJBcVlKVmxaV1lpTmpRWHk5UzNMYi9ueTVWaTdkcTNWL2UvZHUxZHMzTjI3ZDhmeDQ4Znh3dzgvNE1jZmZ5eTAzZmpEelZMVnJKdWJtNm5pd3hZNm5RNWFyZGJVVTgwVzY5ZXZ4NnBWcTZCU3FiQm8wU0lzWGJvVWlZbUoyTGR2SDRRUW1EeDVzdFZrcVpHVGt4TldyRmlCSVVPR0lDa3BDUUVCQVdZcitSSVJFWldtQnc4ZVlNS0VDVWhQVHkvMHNESTNOeGZJZStCbmRPVElFZFA5UUVIMzd0MHI5dS9CZ3BLVGsvSEREeitnY3VYSzZOKy92NmxhRlFCY1hWMHhhOVlzakJrekJwOTk5aGsyYjk1czhiNUdxOVZpMDZaTmNIZDN0L29RdEhMbHloZy9mandXTFZxRW1UTm5ZdTNhdFNYdVh4b1JFWUd2di80YWNya2NVNmRPUllVS0ZUQjI3RmhzM2JvVk4yL2V4THg1OHl3dU9KWGZ6WnMzb2RGb2loemo1T1JrMWd1OUlIOS9mNFNFaEdETGxpM28zNysvMWZOd2RYWEZzV1BIVExOMzFHbzF0Rm90aGc0ZGlvNGRPMkw0OE9IUTYvWG8yYk1uWG4zMVZYejY2YWZZdlh0M2lSYktMSXNhTldya0paUEozaE5DS0NSSjJoWVpHWmxrNzVpSWlHekJoQ2tSMFdQSXpzN0crdlhyb1ZLcGlxejBVS2xVbURsekprYVBIbzNQUHZzTUd6ZHVSSzFhdGF5T2o0eU14TUNCQTAydkM2N2c2dTN0amVyVnF3TUFZbUppRUJjWGg3ZmZmdHRVYlpHWW1JaGJ0MjRWR2J1UGp3K1E5K090UjQ4ZWhiYUhoWVVoT1RrWnI3LytlcUVxam9JMzkyRmhZYWJGSXl4SlNQaTdkZFgrL2Z1dC92QkRYaEszUllzV1FONWlHSlVyVjhaWFgzMkZldlhxQVhrL1JpWlBub3o1OCtkajFLaFJtREpsU3JFVnErWExsOGZLbFN2eHlTZWZJQ0Fnb01peFJFUkVUOVBKa3ljUkZ4ZUhJVU9HSUNFaHdlenZST1BEenZ4SndIWHIxbGs5bHNGZ0tMWW51dEdWSzFmdzRvc3ZZc21TSmREcGRCZ3pab3pGUkYyclZxM3c5dHR2WTlldVhmajIyMjlOaXl6bXQzMzdkcVNscFdINDhPRndkbmEyK3BsK2ZuNzQ5ZGRmRVJFUmdTKysrS0pFTTJ5T0h6K09xVk9uSWpjM0Z3RUJBYVo3Rm1OTVI0NGN3Ymh4NDdCczJUSzR1TGhZUGM3czJiTk5QVkN0YWR5NE1kYXZYMjkxdTZPakkzcjA2SUVOR3pZZ0xpNE92cjYrUU42OVQwaElDUHo4L0V3VnRMZHYzMFpjWEp3cFNXc3dHQkFYRjJlNmo1RWtDYmR2M3piOXYvNm5KMHZ6ZU1sa3NzbVNKRGtCT0EyQUNWTWlLaE9ZTUNVaWVnekxsaTNEN2R1M01XellNTGk2dWhZNXRtWExsdkR6ODhPT0hUc3dZY0lFYk55NEVSVXJWclE0VnExV1k5S2tTUUNBcjc3NkNtbHBhY0RmVCtseDlPaFJPRHM3bXlvY0ZpNWNpUGo0ZUxPRm9MUmFMVFFhVFpFL0lnd0dBd0RBM2QwZEkwZU94UDM3OStIcTZtcWFTdmJaWjU4aE9Ua1puMzc2S1J3ZEhhSFg2MDJMUHhXVW1KaFlaQXNBbzZpb0tFUkZSVm5kWHI5K2ZWUEN0RmV2WHVqWHJ4K3FWS2xpTnFaMzc5N3c4ZkhCcEVtVEVCUVVoSW9WS3haYnNWdWpSZzFzMjdhdHlPbDdSTStpL2Z2M3c4ZkhCLy82MTcvc0hjcGowV2cwU0V4TVJJVUtGWXFzNUxJa1BqNGV0V3JWc25yOXlXL05talVJRFEzRnQ5OStXK3cxbWNnZTJyZHZEejgvUDN6ODhjZnc5L2MzMjVhV2xnYUZRbUZXTmZyOTk5OC8wcFI4NDR5T2JkdTJZZm55NVVoTFM4UDQ4ZU54L1BoeE5HM2FGTDE2OWJLNjc3aHg0M0RreUJGczJiSUZuVHAxTWlVSUFTQWxKUVdyVjYrR3E2dHJzYjNKaFJDWVBYczJQdmpnQSt6ZHV4YzFhOVkwbTlKdWlVYWp3Wm8xYTdCcDB5WUF3T0RCZzgxNmxycTZ1bUxWcWxVWVBYbzB3c1BETVdiTUdLeGF0YXJJWTNwNGVGaE4xbjd4eFJkRjdtdGtURXdiNzhlUWwvemV1blVyYXRldWJVcVlQbmp3QUhoK0VxRkVSUDlvVEpnU0VUMmlNMmZPWU0rZVBmRHk4c0tISDM1bzB6NlRKMDlHVWxJU3pwNDlpeEVqUnVEYmI3L0ZDeSs4WURZbU56Y1hsU3BWd2tzdnZRVGtUWDlQUzB2RDFhdFhFUklTVXVpWTU4NmRnMUtweE9iTm15MStacytlUFUySjJheXNMQnc1Y2dST1RrN1l0bTBiQUpoNmxNMmVQUnZwNmVsWXQyNWRvZWxtZi83NUp6NzU1QlBNblR2WEZGZCtmZnYydFZpbGFyUjkrM2FzWHIwYWt5Wk5RdS9ldmEyT3kvOER3MWhCYTRtdnJ5ODJiOTZNalJzM29uMzc5bGJINWNka0taVTF0Mjdkd3J4NTgxQzFhbFhzMkxFRHlQc09HLys1Zi8rKzZkOS8vZlVYN3R5NWd6dDM3aUFqSThQMDU3Rmp4NkpQbno0MmZWNU1URXl4bGVuNTFhaFJ3MVExVlp6RXhFUU1IRGdRZm41K0phcjB2bkRoQWthTUdJRW1UWnBnd1lJRjhQRHdLSEw4OWV2WEVSY1hCNTFPWi9ObkVKVW1wVkpwOVR0dzQ4WU5WSzFhMWV6dnF4czNibGlkZG01c25XTVVHUm1KbzBlUElpd3NESmN2WHdZQVhMeDRFYzJiTjBmWHJsMnhldlZxT0RvNll1Yk1tVVgyMlhSMWRjV2tTWk1RR0JpSXp6Ly9IRnUzYm9WQ29ZQWtTWmc5ZXpZMEdnMENBd050Nm4vdTVlV0ZSWXNXWWR5NGNWaXhZZ1dFRUdZemFQS1RKTW5VZDF3dWwyUHk1TWw0OTkxM0M0MXpkbmJHeXBVck1XTEVDRnk0Y0FHSERoMHFNZ2FsVW9sT25UcFozTFo4K2ZKaXp3RUEwdFBUZ2J6a3ExRkVSQVNRdDloVHdYSGx5NWUzNmJoRVJQVHNZc0tVaU9nUnBLV2xZZWJNbVFDQTZkT24yMXhKb0ZBb3NIanhZZ3dkT2hTSmlZa1lQbnc0dnZycUszaDdlNXZHNU9Ua1dKemlscGlZaU9EZ1lMUDNKRW5DdzRjUEFRQ3JWcTJ5MkZlclpjdVdwb1NwczdNelpzNmNpWnljSENCdlJkMzI3ZHNqSmlZR1I0OGVSZCsrZlMwZUl5TWpBeWtwS1JnM2JoeldyVnRuRmk4QU9EZzR3TUhCd2VwNUczdWdPVG82bHJqZm1qVlZxMVkxcTZvbCtxZFpzR0FCTkJvTnBrMmJodVRrWlBUdDI3ZllmVlFxRlR3OFBGQ3VYRG5VcjEvZmxHaEpUVTNGenAwN3JlN1hva1VML1B6enovamxsMTlzanUvOTk5L0hKNTk4WXZQNFIxR3ZYajI4OHNvcitPMjMzekJ3NEVDc1dMRUNQajQrME92MVNFNU9ocXVyS3lwVnF2UlVZeUFxRFpJa0lTRWh3YXlhRTBDeDM3SDhDeG51M0xrVEJ3OGVoRUtoUU51MmJkR2xTeGQwNk5BQlRrNU9HRHg0TUxSYUxhWlBuMTdrQTBtajExOS9IVC8vL0RNOFBEeWcwK21nVUNnUUhCeU1pSWdJTkduU3BFUUxPTFpxMVFyVHBrMURVRkFRbGk5Zmp2djM3MlAwNk5HRmtyWkNDSXdkT3hiTGxpM0RyRm16aXF5c2QzTnp3emZmZklPOWUvZWlYNzkrMkxObmo4M3gyT0wwNmROd2QzZUhtNXNia3BPVHNYUG5UaWlWU3RORFpvMUdnN2k0T0hoNmVzTEx5OHUwWDJKaUlnQVVlaGhlbEFzWExxQkJnd1lsN3ZGS1JFUlBGNi9LUlBUTTgvWDFiUllURXhNRjRKa29HWHJ3NEFIOC9mMlJucDZPdm4zN29sV3JWaVhhMzlYVkZTdFhyc1RvMGFOeDdkbzFEQnc0RUxObXpVS1hMbDN3NE1FRFpHUmtvSExseW9YMjY5U3BFMDZjT0dIMjNxcFZxN0IrL1hwNGVIakF6YzBOVzdac2didTd1OVhQbHN2bG1ERmpCbEpUVStIbDVZVU9IVHBBTHBkanhZb1ZjSEp5d3FoUm95enUxNnhaTXdRR0JtTE9uRGtZTzNZc05tM2F4Q1FGUFpQVWFuVmx2Vjd2R2gwZC9hZTlZM2tjdTNmdlJtaG9LUHo4L05Dc1dUTWtKZjNkOHExang0NW8xNjRkWEYxZDRlcnFDamMzTjdpN3UrUGt5Wk5vMkxCaG9XU0wwYzJiTjAxVFhDMlJ5K1hvMzc4L09uZnViSHBQcTlWaTVzeVpxRmF0R3NhTkcxZG9uMGRkOWJva2xFb2xGaXhZZ0NWTGxtRGJ0bTBZTW1RSTFxNWRpOHFWSzZOZnYzN28zcjA3Z29LQ25ub2M5R3p4OWZXdGxaT1RrM1hseXBVMEc0YVhDWmN2WDBaV1ZoYnExcTFyOW41UVVGQ2hQdVpHQlI4YWR1N2NHVzNhdEVISGpoM05XbEpvTkJyVXJsMGJkZXJVUWI5Ky9XeU9hZEdpUmFiakhEaHdBTjk5OXgxVUtoVm16SmhoODByd1JtKzk5UmJ1M3IyTGxTdFhZdDI2ZGJoMDZSS0Nnb0lLM2JPMGF0VUtXN2R1dGVuNEZTcFVzSG1HVDBtdFc3Y081OCtmTjN0djVNaVJwcXJhbUpnWTZIUTZORy9lM0xROU56Y1hrWkdScUY2OU9sUXFsYzJmdFdEQkF1ajFlbXpkdXZVSm5nRVJFVDB1Smt5SjZKbW5VQ2grYWRxMGFackJZTmdzazhuMmFyWGFtekV4TWZjQTJMN2sraE0wZi81OFhMNThHV3ExR3A5KytxblZjUWFEd2VvMGNFOVBUMnpZc0FIang0L0h4WXNYRVJVVmhTNWR1aUErUGg3SXR5QlRVVTZlUEluTm16ZkQxOWNYTTJmT3hJQUJBekJwMGlRc1hicTB5S1JwMTY1ZHpWN3YyTEVERVJFUkdETm1USkZKME42OWUrUHExYXZZdUhFanhvOGZqN1ZyMTVib0J3RlJhUkJDTkpQTDVUdlZhblcwRUdLelRxZjdKU2NuNTA1Q1FrSVdBSU85NDdORlJFUUVGaTFhaERwMTZoVHFjZGlzV1RPTGxWMXZ2ZlVXL1B6OHJDWk1HemR1akdQSGpnRjUwOWJmZSs4OXZQbm1tNmJxTldPVmVQNzlRMEpDWURBWTBLMWJOM1RwMHVXSm5GdEtTb3JGOTdWYUxSWXRXb1FCQXdZVVNnNEpJVEJseWhTNHVia2hJU0VCUGo0K3lNcktLdEZuUmtWRjRjNmRPOFgyVDZTeVFTNlh2K3Z1N2o1THJWYi9iakFZMWtxU2RGYW4wMlhHeHNabUE1RHNIZCtqK1AzMzM0RzhXU0g1MWFwVnkyb1AwNElyMkwvNjZxc1d4ems1T1dIZXZIbUZwdkFYeDVnc1RVeE14Snc1Y3lDRXdQejU4d3ZOTWpFeTlrMjFkdTh6Wk1nUWxDOWZIdlBtelVOY1hCd3lNek10M3ErVU5CbGJuSnljSEd6WXNNSGl0dnYzNzF2c0ovL1dXMi9CMDlNVHVibTU4UER3UVB2MjdjMWFBQmtmWU9kUG1QNzN2LzlGVmxaV2thMkhMTGw3OTY3Vm52WkVSR1EvVEpnU1VWa2dBRFNReVdUekpVbjZ6TUhCSVZxdFZwOFVRcHdWUXB3S0R3Ky9WcHJCZlBEQkI0aVBqOGZpeFl1dFRrTVBDd3REYm02dXhVcFJvM0xseWlFNE9CZzdkKzQwOWZNS0RRMEZBTHo4OHN1bWNibTV1V1kvSGd3R0EzYnMySUZseTViQjFkVVZzMmZQaHJlM04yYk5tb1VaTTJaZzRNQ0JtRDU5dWsyVnI4bkp5Vml4WWdYcTFLbUR3WU1IbTIxTFQwK0hFTUpzaXRqWXNXT1JtSmlJME5CUUhEeDRFTDYrdnZqNjY2K0wvUnhqa21UbnpwMm1wRTFSaGc4ZmJqWHhRMVFjSVlRTVFGdEprdG9vRklvN2JtNXVFV3ExK2t5K2EwYTZ2V08wNXZMbHk1ZzhlVEpVS2hXKy9QTExRcjBMRXhNVHJYNkhidHk0WVhGYjNicDE0ZW5wYVhyQVlXd2hJcGZMaTN6b1laeWUvOXBycnhVWnMxYXJMVElSay84elRwMDZoZXZYcjV1dDdHMHdHQkFZR0lqRGh3L2pqei8rc0ZvSis5RkhIeFg1SUNxL0hUdDJJQ0VoQVZGUlVhYWVnbzBhTldMQzlCOUVDS0VBMEYwbWs3ME80SVpjTGc5djNManhTUUJuTlJyTnVjdVhMOSszZDR5MmV2andJZmJ1M1FzSEJ3ZW8xV3F6YlVPSERyV2FRSHo0OENFYU5XcGs4K2NVMVRxbktON2UzdWpXclJ0cTE2NXR0Vys0VHFmRG1UTm5BS0RJZTU4MzMzd1RGU3BVUUlVS0ZaNVlsYnBHbzBGcWFxclY2MWwyZHJaTjl5cjU5ZWpSbzhqZTdNYjdOV1BDOU9MRmkxaTJiQm1VU2lYNjkrOXZkVCtaVEFZaGhDbTUvUERoUTZTbHBhRng0OFlsaW8rSWlKNCtKa3lKcUV3UlFxZ0F0QlpDdEFadzEyQXdwRFZ0MmpRU3dCYWRUdmQ3ZEhSMDl0T09vVUdEQnZqaGh4L01WbXorejMvK2d6VnIxc0RWMVJXU0pDRTVPUmtBaWwyOTNkbloyZlFEWHFQUjRLZWZma0t0V3JWdzY5WXRiTnUyRFE0T0RqaDM3aHdhTjI0TXJWYUx3NGNQWS9QbXpiaDgrVEs4dkx6dzVaZGZtaW85dW5YckJpY25KOHljT1JOanhveEI0OGFOMGExYk43ejIybXRtUGM3eWs4dmxxRkdqQm1iTW1BRzlYby9CZ3dlalhMbHl5TTNOeGZuejUrSGo0Mk4ybmpLWkRQUG16Y08rZmZ2UXQyOWZSRVJFNE55NWN6YjlkM055Y2tKS1NvclZDclA4M243N2JadU9TV1NGd04vWEN3R2draERpTlFDdkFzaVVKQ210YWRPbXgvUjYvYmFvcUtpUVo2bnFORGMzRjJQR2pJRkdvOEdxVmF2ZzVlV0ZNMmZPbUQwODJMTm5qOVZlZmNlUEg4Zng0OGNMdlQ5dDJyUVNmNmMwR2cxQ1FrSlFvMGFOUWxPRUMxcTZkS2xwVVNwTHdzUERUWCtXSkFrN2QrNDBWYzVLa29TNWMrZmk4T0hEcUZHakJwWXNXV0syNytyVnE5R3JWeTlUajhDQ3lkTHM3R3lFaElRZ01qSVMwZEhSdUhqeElnQWdPRGdZS3BVS2pSbzF3anZ2dklQZzRHQ3JDK2RRMlpiM1BYOVJrcVJxTXBuc2RTRkVoa3FsdXFsV3F3L29kTHF0TVRFeE1mYU9zVGcvLy93ejd0eTVnOTY5ZXhmcWlmN21tMjlhclQ0MEx0NzR0TWxrTXN5Y09kUHNmZ0I1TTArUTkvZjduVHQza0ptWmlTcFZxaFM3R0p5dGl6VmFzMnJWS2h3NmRBanU3dTV3ZEhURWpSczNrSm1aYWZWQmNhVktsYXhlTjk5Nzc3MFNmLzYxYTlkdzllcFZWSzFhRlZXcVZNR3VYYnV3Yk5reWFEUWF6Sm8xQzFXclZyVzZyMHdtZzVlWEY0NGZQNDRsUzVZZ09Ua1pPcDNPNG9LYVJFUmtYMHlZRWxGWklDSHZoM1VCSGtJSUR3QjFBYndqbDh0dnFkWHEzWklrL1NDRStPUCsvZnYzRWhJU0hqNk5nQXIrYVBEeDhVRjZlcnFwa3NuVDB4TTllL2EwYVpFV28renNiQ2lWU3J6Ly92c0FnRjI3ZGtHbjA2RktsU29ZUG53NE5tM2FoTldyVjhQSnlRbURCZzNDcUZHakN2Mnc2dENoQS9iczJZTlZxMWJoNE1HRFNFaElzTG95TEFCVXExWU5QL3p3Z3lrSmtabVppVXVYTGtFSWdabzFheUl3TUxEUVBpcVZDbjUrZnNEZi9TSUw5VlVsc2pQSnlqVkREcUNpRUtJaWdIL0o1ZktSYXJYNnFpUkozeHNNaHQyNXVibFhYVnhjN29XSGg1ZHN6dW9UcEZRcTBiVnJWN3p5eWl0UXE5VklUVTJGdjc4L1dyWnNpWWtUSndJQUJnNGNpTzdkdXhmYXQzLy8vdWphdFN1R0RCbFNhRnVWS2xWS0hNdmh3NGZ4NE1HRFlxdEw4WGMvU2ROQ2N2bUZoSVJBbzlFVWVuL1hybDBZTW1RSVhGeGNNSFBtVFB6eXl5K29XYk1tMXF4Wlk5WVdKRHc4SEd2WHJzVzJiZHNRRkJTRTl1M2I0K0hEaDlpM2I1K3B0MkJvYUtpcDBxdGl4WXB3ZDNmSG5UdDNFQndjRExWYWJicFdHMWNIcDM4R0lZU2w3N2dBb0pRa3lST0FweENpaVlPRHd6UzFXaDBqU2RJNm1VejJQNFBCa0I0WkdYbmZYaTE5ck9uVHB3L09uRGxqc1FLNlQ1OCtWcWZrRjdjNi9KTlU4TDRIZWZjUVlXRmhRTjREWUxWYWpVOCsrZVNwZjllcVY2K08xTlJVWEw5K0hjaXJuRldyMVpnNmRXcWhzZVhMbDBkV1ZwYlY2dE1xVmFxVWVFWDdQLy84RXlxVkNzMmJOOGZ0MjdleGF0VXFBTURjdVhPTHJFbzErdVNUVHpCLy9ueHMzYm9WY3JrY0xWcTB3SnR2dmxtaUdJaUk2T2w3c2cxaWlQN0J2T3MzV1NaazhKY00wcmRKbDZOR0c5OXYwcVJKUi90RzlzOG5rOGwrQnVBbVNaSnBXcHJ4UjVJUXd1d0hVOTdyWENIRUg1SWtuWllrNllKT3B6dHg0Y0tGY084R1RUcEFTRnZkM2R3OGcxY3VRK3VXemExK3ByM2N2SGtUbFNwVnNyaFNxckVDdFVlUEhqYXROSitkblkzcjE2OFhXK2xCdGpsOTloekdUNTZLdE52cG1VcTVZWktMVWw2bUZ4WDZCMnNwaFBoY0NPRm82elVEd0FNQXNRRE9TSkowSVRjM04rVGl4WXR4OXI1bUJBUUU0TGZmZnNQYXRXdFJ2bng1OU92WEQ1TW5UN1k0M2JOWnMyYnc4L05EUUVDQXhXTmxabWFpWjgrZXB0Y2FqUVp5dWR3MFJYZllzR0ZtaTZlODk5NTdpSStQUjVzMmJmRHFxNitpYjkrK3VIMzdkcEZUYmZQTHlzb3lMVUN6ZlBseXhNYkdZb0V4VXo0QUFCeWhTVVJCVk9EQWdhaFdyUnB1M0xnQlB6OC9KQ1VsNGV6WnMzajU1WmV4ZlBseWkwbUxRNGNPWWZiczJjak56Y1h3NGNNeGRPaFF2UExLSzZicHJMVnIxOGJnd1lQUnVIRmplSGw1WWRhc1dkaTNieDhPSHo1c1dweEZwOU9oVmF0VzZOS2xDeFl1WEdoVC9FOUMvbXVHbzBLYW9uS1FKWlRhaC8vRHlXU3kvcElrRFFNZ2c0WHZkWDc1cHJQZmt5UXBRZ2dSSmtsU2pGYXJQWExod29Yay9HTzk2elJxRFlWc3E2T2owanQ0NVZKMGFQL3ZwM29lbVptWjBPbDBxRlNwRXZKZnI1NUhzYkd4VUtsVVZ2dWpXcVBYNjAzVDNFdVRWcXZGL2Z2M1VhRkNCVVJGUmFGeTVjcW9WcTFhcWNaZ3E5Tm56MkhVdUltNGQvL2VUWVdRZmVLcXhFVWJkMDJLakl6TU5MNW8wcVJKT1FDMi9nL0t6czNOdlJvYkc1dmJxRkdqMWdxRllvOGtTVTZTSkwwVkdSbDU5TkhPaElpb2RMSENsT2d4eVdReUxtbjVsRW1TNUZMd1J0amFqWEhlRHlZbGdKY0JOQlJDNUNxVnlqUzFXaDJ2MFVsUkQzVFA5b01pVDA5UHE5dWNuSnp3N3J2djJud3NGeGNYSmt1ZkFnRkE1YUR3azhsRUUzdkhRb1ZKa3FUTXV3YVlLZWFhNFN5RWFDWkpVbE1oaEVhcFZONVVxOVZ4MlEvMWtibVNmVElZb2FHaCtPMjMzOUNwVXllbzFXb2tKU1dadG1WbVptTDc5dTJGOXJsdzRRS0NnNFBOM2hzeFlnUmtNaG1VU3FWcDRhYnM3R3djT1hJRUw3NzRvcW4vWWY2RjVrNmRPb1g0K0hpbzFXcWNPblVLYm01dU9IbnlKQzVldklodDI3YkJ3OFBEcHZoMU9sMmhSV2phdFd1SHlNaEkweFQrRGgwNllQNzgrWVdxNVkyNmRldUdhdFdxWWNLRUNkaTZkU3Q2OWVxRjRPQmdWSzVjR1crKytTYnExYXRubGdpMkpEYzNGd0RzVm1FcUFEZzV5QWJLWkRKZWtKOGNsNEtGSC9tLzQvbVRwL24rN0M2RTZDQkpVbnNoUkxaU3FielJwRW1UVXdhRFlYdDBkUFN2OXFnNk5TYjE4UlFXT2lwckhuVkt1cVhLMTlMZzRPQmdhbmRVVnZxUENrbklYSnpFS0FGVXQyVzhYcThmRCtDL3h0Y0dnNkc5WEM3L3lxYlBFaUpDb1ZDTUI1QmlNQmh1QTlndWhIRFE2WFEzSCtjY2lJaEtFeE9tUkk5SmtpVEx2L0xJcnZKVmt5a2tTWElGNENtQUJFalBkc0tVeWdaSlFNSHYvalBya2U1dDhpVlZGRUlJZDBtU1BPVnltVE4wcGIvZ2RrWkdCdWJObXdma0xmaVNuMHdtUTJabUp0YXNXUU9GUW1HcVJuZHlja0ppWWlJU0V4T0J2S3BLblU2SFljT0dRU2FUUWFWU1ljNmNPVURlWW05SGpoeEI4K2JOTGJiZDJMeDVNNUMzb25WRVJBU1ExNC81eUpFaitQenp6L0hsbDE4V2V3NkhEaDJDVENhejJNZDV4SWdSbURKbGlxbG5hWEdMT1BuNittTERoZzFJVDArSGw1Y1h2THk4a0ptWldlUSsrUm5iQlRnN085dTh6NU1tRThLQjE0d25KMi9CSjF2SEZwcTZMMG1TVWdqaElaUEpLa3VTcE9Lc08zb2VDQUVCU1hJWE1wbjFwL1A1eUdReXA0S3ZoUkEyN1N0SlVrVjVYamI3d29VTFZ3RDRQMkxZUkVSMnc0UXAwV09TSk9rdGU4ZndIUGhaQ0dFMkJ6My85TnI4OGw3ckpVbEtBbkRHWURCRUdReUdVOUhSMGFlOEd6UnBCNEhlcFJvNS9lTklBQjdrNm41MFVjcm4yVHNXc3FpRkVHSXVBTE55d3FLdUdaSWthUUhFUzVKMFJwS2thTDFlZnl3bUppWXE3NXJ4Zm1rR3I5ZnJFUmdZYU9xSDdPTGlBdVJOLzBTQktza0pFeVpZWFkxNTRjS0ZSUzdFWk0ycFU2ZHc5dXhadEdyVkNpKy8vTExwL2Q2OWUrUDMzMy9IMGFOSHNYdjM3aUw3TThmSHgrUDQ4ZVBvMkxHaldRV2RVYWRPbmRDZ1FRTmN1blFKQnc4ZXRLbm5YODJhTlZHelpzMFNudzhBcEtXbEFZQk5yVXllQmdsQVRxNStQYWZrUHpsQ2lQNEFodVZQZEZxYmtvLy8vOTVySkVtS0JuRFdZRERFQURnYUZSV1Y4Q3d0L0ViME5Pa2xTYS9WeWRZTGhlR2FMZU1sU1FvcjhQcWt3V0N3NmU5RUlVVEdyVnUzYmo5cXJFUkV6d0ltVElrZUUvdndQSDFxdFZxSElucVU1ZTlQWmpBWURrbVN0RTJ2MTBkcE5KcmJDUWtKOTBvNVhQcUhFeklCclVIK0o3Lzd6NmFtVFpzNjVVK0FGSFBOU0RjWURMc05Cc01lbVV4MnlXQXczSTZPanM0dXhYQUxXYmh3SWM2ZVBZdHk1Y3FaVlZFK2ZQajMrblg1RTZZeE1URldWMzQyVnBxV2hFNm53K0xGaXlHRXdQang0d3R0bnpGakJ2ejgvUERsbDEraWVmUG1xRkdqaHNYanJGMjdGZ0F3ZVBCZ2k5dUZFSmd4WXdZR0RScUVoUXNYb21uVHBrVzJJd0dBR3pkdXdNM056ZWFrWjA1T0R2YnQyd2NQRHc4Y1BIZ1FBRXJjRy9GSkVUS0JYTDFJK09NaXJ4bFBTcE1tVGRySVpETEorUDB1Nm5zdVNkSlZBRC9xOWZxZmhSREoyZG5aNlU5clFVaWlaNWtRQWprNktUcjJ3cU5kaTZLaW9xNER1UDdrSXlNaWVqWXhZVXBFWllFQmVUK0lDbFNIUFpBazZSNkFQeVJKV2dmZ3Avek42WW5vK2FQWDZ5V1pUQ1lacnhYNWtpWUdBRGw1QzcrRUdReUdUVkZSVVQ4L1M2dGxaMlJrWU0rZVBWQ3IxV2pidHExcDVXVUF1SC8vUHBBMzlkN28xMTkveFcrLy9XYnhXQWFEN1VWenQyLy9YUVIwNE1BQlhMMTZGVys4OFFZYU5HaFFhTnA3eFlvVkVSQVFnR25UcG1IV3JGbFl0MjVkb2VuMHNiR3hPSHo0TU5ScXRhay9xaVVOR2pUQWtDRkRzRzdkT2t5Y09CSHIxNjh2Y3NyODk5OS9qLy85NzMrWU0yY09PbllzZnExRloyZG5yRjY5R2hxTkJnRGc1ZVZsMDM1VU5nZ2hwQUt2algvVUFjaVdKT2t2ZzhId204RmcyQndkSFgzTUxrRVNFUkZSbWNhRUtSR1ZCYVpWY1BPU3BERUFUZ3Nod29RUXA4K2ZQODlwamxaa1ptWmkzYnAxR0RSb2tNMnJXOXNxT1RrWjkrL2ZSNzE2OVV4OUZJbnNUUzZYbXpJbmVWWHBHVUtJQ0FCaFFvaXpraVNkaVlpSXVHSGZLQzJyVUtFQ0Jnd1lnQ0ZEaHVDbm4zNHkyMmFjVnA1L0pmbEpreVk5MHBSODR3cno0ZUhoZU8rOTl4QWZINDhSSTBaZ3k1WXQ4UER3d0lRSkU2ekcyTFZyVi96ODg4ODRkZW9VdnYvK2V3d2FOTWkwVGF2Vll2YnMyWkFrQ1NOR2pDajJmRWVNR0lFVEowN2cwcVZMbUQ1OU9oWXZYbXoxV25MaXhBbGtaV1dablg5UmhCQll2SGl4YVI5ZlgxOGNQMzRjVmF0V1JjT0dEVzA2QmoyN0pFa1NRZ2pqZDF3Q2NCTkFPSUJUZXIzK25FNm5PM2Z4NHNVTWU4ZEpRRVJFQkdiTm1vVUJBd2JBejgvUDZyak16RXg4OU5GSGVPMjExekJzMkxCU2paR0lpTWdTL3NJbG9ySkFraVFwUVpLa0hYcTlmcDlNSnJ1bTFXcHZ4OGJHNXRvN3NHZmR2bjM3OE9PUFB5SXBLUWtyVjY1OG9zZGVzbVFKamg4L2pzT0hEMXZzVTBoa0wzblZwT2NrU2RvQjRGZTlYbjhqT2pvNkk2LzY3SmxtTFZsNS9mcmZzeUM5dkx5UW5mMTMxNENNakF3a0pTVlpIRytzU0RWS1NVbkJMNy84Z3JObnp5SXFLZ29BY1BYcVZkU3ZYeC9EaGczRGYvN3pIMmcwR256MjJXZW1sWit0bVRwMUt2ejgvUER0dDkvaTFWZGZoWmVYRndCZ3pabzF1SExsQ2w1Ly9YVzBhdFdxMkhOMWNIREFzbVhMTUdqUUlJU0dobUxxMUtsWXNHQkJvYVJwU2tvS1VsSlNUSWxQVzdWdDI5YnM5Ylp0MnhBUkVZRTllL1pZYlNkQVpZY2tTWG9oeEZFQVAwcVNkUHJCZ3dlM0xsMjY5QmQ3a2o1YlRwOCtqZXZYcjZOaXhZcEZqb3VLaWtKOGZEemVlKys5VW91TmlJaW9LRXlZRXRsSUV0QUpBQklrZm05S21jRmc2QjRWRlJVQlFHdnZXTXFhOTk5L0gvdjI3Y1BKa3lkeDVzd1ptNUlZUkdXWlRxYzdyOWZyMVJjdlh2eEhWWjcvOGNjZmNIUjBSS1ZLbFV3SjB3MGJObUREaGcwMjdYLzI3Rm5URlArWFhub0pyNzMybWluWk9XL2VQR1JrWktCcjE2N28zcjE3c2NmeTh2TENzR0hEOE91dnY1cmVPMzM2TkRadDJnUTNOemRNbmp6WjV2TjY0WVVYc0dMRkNnd2JOZ3hIamh6QnhJa1Q4Y1VYWDhEVjFkVTA1dmp4NHdDQTl1M2JGMm9CVUJLcHFhbFFLQlNvVnEzYUl4K0RuaG03SGo1OHVDRTJOdmFtdlFPaG9wMDVjd1pLcGJMUUE0eUNJaU1qZ2IvNzA1WlNaRVJFUkVWajRvZklWcEowRjBKQVFOaG5tZDNuV0ZSVTFGbDd4L0FzMnJ0M0w2S2pvNHNkNSt6c0RFOVBUeHc2ZEFpSERoMHFjbXozN3QzUm9rV0xKeGdsVWVtS2pvNU9BNUJtN3ppZUpJUEJnTWpJU05TdVhkdXNqL01ISDN5QTExOS8zZUkrbXpkdk5rdG8rdnI2d3QvZkgxMjZkRUhWcWxYTnh0YXNXUk8xYXRYQ2pCa3piSTVwOE9EQitPQ0REK0RrNUlRLy8vd1RBUUVCME92MUNBZ0lLTFpDdGFENjlldGo2ZEtsbURScEVrNmVQSWtCQXdaZzhlTEZxRnUzTGdDWXJsdVdlcEFXWE93bk1EQVFBUUVCVUtsVVp1OXJOQnJjdW5VTGRlclVZUXVSZjRESXlNaDRlOGRBMW0zZHVoVWFqUWFTSkNFMk5oYVZLMWZHdG0zYnpNYTBidDBhS1NrcFNFMU5CUUNFaElSQUpwTWhORFFVb2FHaFptUExsU3VIM3IxN2wrbzVFQkVSOFk2UnlFWUNTQWNBU1VoRnp5a2lLaVhuenAzRGdRTUhiQjVmc0NlaUpmWHIxeTl4d2pRbEpjWGlsUHpUcDA4aktpb0tvMGFOS3RIeGlNamN1WFBuY1AvKy9VSVY0cDZlbm5qcHBaY3M3bE93MTJmZHVuVk5DY2lDQmd3WWdIZmZmUmNPRGc0Mng2UlFLS0JRS0tEVmF1SHY3NCtzckN3TUhqellhb1dxc1c5cWdZWDdURnEyYklrMWE5WmcvUGp4dUg3OU9sSlNVbEMzYmwxY3YzNGQwZEhSY0hSME5EdC9WMWRYeU9WeUpDUWttQzBJcUZRcW9WUXFDeDMvNk5HamtDU0ovVXVKU3NGMzMzMkh1M2Z2bWw3ZnZIa1RYMy85dGRrWWxVcUZJMGVPSUN3c3pPejlGU3RXRkRwZXJWcTFtREFsSXFKU3g0UXBrWTBNRUhma0FJU1F2V2p2V0lnQTRQUFBQOGZzMmJNdGJ0dXhZd2UrL1BKTDFLeFpFOTk5OXgwOFBEeHNPcVpjTGdjQTVPVGtXQjNqNE9CZ2xsalp0V3NYWG43NVpiTXgwZEhSbUR4NU1qUWFEUm8yYkloMjdkclplRlpFVkpDeE1xdGd3blRGaWhXbWFmWUY2WFFsYTlkYWttUnB3ZjJHRGgyS2tKQVFmUHp4eDFiSG5UaHhBc2liZ20vTlN5KzloQTBiTmlBbUpnYWRPblVDQU5ORG9WYXRXc0hKeWNrMFZxRlFvRkdqUm9pSWlFRC8vdjFSdDI1ZHE4blllL2Z1NGVUSmt3Q0FOOTU0NDVIT2s0aHNkL0RnUVVpU2hNREFRSnc0Y1FJSERoeUFzN096MlJpRlFvRStmZnBBcjlmai9QbnptREJoQWo3KytHTzgrKzY3aFk3M09LMDRpSWlJSGhVVHBrUTIwaHR5NDJYQ1FSSkMxS2xSbzBiNWE5ZXUvV1h2bU9qNUpwUEpMUDZJT0hyMEtKWXVYWW9YWG5nQjMzenpqZGxDQzNxOUh0OSsreTFlZU9FRnZQUE9PeGFQbTVtWmljNmRPMXY5M0pFalI1cFZqUjQ2ZEFqKy92Nm1LdFBMbHk5ai9QangwR2cwbURCaEFwT2xSSS9oenovL1JFaElDTHk4dk5Dc1dUT3piYTFhdFVLalJvMHM3bmZzMkRGY3VIQ2hWR0xzMDZjUGV2WHFaWFk5bWpGakJzNmZQdytWU29XY25CemN2SGtUUWdqOCs5Ly9MdkpZMWF0WFIvWHExVTJ2alF0VWRlalFvZERZV2JObVllN2N1WWlPanNZZmYveFI1SEZmZU9FRmpCdzVFbXExK2hIT2tJaEtRcWxVUXFQUjROU3BVMmpYcmgza2Nqa09IVHFFaGcwYm9uYnQycVp4eG9lMHNiR3hRTjQxcldBN0RTSWlJbnRod3BUSVJrcWRMRldTNHlvQWJ6aVZmd080dHNYZU1SRVZGQjRlanNEQVFIaDRlT0NiYjc2QnA2ZW4yWGFOUm9Oang0NGhQajRlRGc0TzZOT25UNkZqS0pWS2kxVllOMi9leExsejV3cE5kODNOemNXV0xWc3didHc0bkQ5L0hoTW5Ua1JXVmhZbVRweUlBUU1HUElXekpIcCsrUGo0WU55NGNYQnpjeXYwZ0tSMTY5Ym8zNysveGYzdTNMbFRhZ2xUNUV0OEdGV3ZYaDM3OSs4SDhpckpmSHg4TUdMRUNLdHRBYXhac1dJRlFrSkNMQzRFVTcxNmRheFpzd1lHZ3dFYWpjYnFNUlFLaGNWcCtrVDA5SVNHaGtLajBhQjc5KzY0ZGVzVzVzeVpnd2tUSnBnbFRJM0N3OE9oVXFsUXYzNTl1OFJLUkVSa0NST21SRGE2cjlUbXVBbkZSUURlUW9haDN0N2VPNU9Ta3F6L1FpTXFaV0ZoWWZEMzk0ZXpzek9DZzRQaDQrTlRhSXlMaXd0V3JseUpJVU9HSUNnb0NDcVZDbDI3ZGpVYm8xS3BNR2ZPbkVMN3JsaXhBdWZPblVQcjFxM04zcTlXclJxMmI5K09GMTk4RVlzWEw0WmVyOGVNR1RNc0ptT0p5RFp2di8wMnVuWHJob29WSzJMSWtDRm1peHQ1ZTNzalBEeTh5UDBEQWdJUUVCRHdXREdVSzFldTJNK3hadVRJa1JnNWN1UmpmVDd5S3VtTjAvT0xHc09xTktKbnkvLys5eis0dUxqZzMvLytONUtUa3d0dDkvZjNOL1V2MVdnMEVFTGdsVmRlc1hxOEhqMTZJREF3OEtuR1RFUkVsQjhUcGtRMlNyOThPVnRWci9GWnVWeDBFd0pOaElOYlN3Q2hOdXhLOU5RZE9IQUFRVUZCY0hGeHNab3NSVjVmUTFkWFZ3UUZCZUhqanovR2pCa3o0Tzd1WGlnSmFzbnZ2LzhPVDA5UC9PdGYveko3LzhNUFAwUlFVQkRtelpzSGxVcUZwVXVYb2syYk5rL3MzSWllUnlxVnlpd0phSzAvSnhIUnN5WTFOUlVuVHB6QUcyKzhBVWRIUjR0ak9uYnNpRnExYWlFeE1SSEhqaDFEdTNidFVLdFdMYXZITEhqdlFVUkU5TFF4WVVwa080TkJadGdqazJTREFmaEljdG5vR2pWOFk2NWRpMkV2VTdJYm5VNkh3WU1INDlLbFN3QUFSMGRIVEpnd0FUcWREbHF0RmxxdDF2Um5hNHZBVEpreUJldlhyeTl5cW14c2JDeFNVbElzVHYvdDJMRWp0bS9manZqNGVFeWJObzNKVWlJaW91Zlk3dDI3SVVrU0dqWnNpS1NrSk55NGNRTUE4TmRmZnlFcEtRa0EwTGx6WjdpNXVXSGh3b1ZBWHNXcHQ3ZTNYZU1tSWlMS2owc09FcFZBeXFXWWl3WmdreEJDQ09BdG1iTXNBRjVlempic1N2UlVLQlFLVTlXRnE2c3JYRnhjb0ZLcGNPdldMZWoxZWpSdDJoUWRPblJBejU0OVRZbk1ObTNhWU96WXNmRDM5OGM3Nzd5RG5Kd2MrUHY3SXlNancrcm5yRisvSGdEUXExZXZRdHVFRVBqb280OEFBQnMyYkVCdWJ1NVRPbHNpSWlKNjFobVRvZ3NXTEVDL2Z2MHdjZUpFQU1EbXpadlJyMTgvOU92WHo5VGorT1RKay9EMDlHU3lsSWlJbmptc01DVXFHY1BEdjZRdm5jdmhKU0VUN3dwSUU3eGRLdnJBV3pFcUtTa3AwOTdCMGZOcDdOaXhHRDU4dUdtQnA5emNYTFJwMHdaTm1qVEIwcVZMVGVNT0hUcUVVNmRPb1czYnRtYVZvamR2M2tSR1JnYjBlcjNGNDErNWNnVkhqaHhCbXpadFVLOWVQWXRqT25ic2lGZGZmUlcvLy80N3Z2NzZhMHlhTk9tSm55Y1JFUkU5Kzk1NTV4MjBiZHZXOVByMjdkc0lEZzVHbHk1ZFRDMkFHamR1alBUMGRLU2twTURiMnh1clZxMnllcnhHalJxaGZmdjJwUkk3RVJHUkVST21SQ1YwNjFaMGRqV1BlaDhySmVkYWdHZ0tJYjB0T1hwVXExSFhkNDdoZ2VGOGl0UERiQ1FrUExSM25QVDhLRisrdk5uclc3ZHVBUUFxVktoZzAvNXo1ODZGbzZPajFWV2t2Lzc2YXdEQTRNR0RpenpPdEduVEVCNGVqaDkrK0FFTkdqUkFqeDQ5YkR3RElpSWkrcWRvMmJLbDJldUVoQVFFQndlalljT0dlT3V0dDB6dnA2YW1RaWFUNGRxMWE5aTRjV09oNHhnTUJnQ0FuNThmRTZaRVJGVHFtREFsZWdRMy92Z2ozYnVlN3lBaHhEaEppR0V5bVdnSG1meFhtYXNzekVjb29xVjZqUk1NQWlreVNXUVpKRjMydGZnTHY5bzdabnAreE1YRkFYa3JhZHZDemMzTjZyWURCdzRnTkRRVVRabzBRWXNXTFlvOFRvVUtGVEI5K25RRUJBVGc4ODgvUjlXcVZhRldxMHNZUFJFUkVmM1RhVFFhVksxYUZXRmhZUmEzMzc1OUc0TUdEY0xkdTNmNUFKYUlpT3lDUFV5SkhsSFNIekdYY2pMeHFWYlM5VEJJMHY4Z1NibENpQmFBR0Nia1lxNWNpRldRUyt2a2N2bjM5bzZWbmkraG9hRkEzaFMyeDNIbnpoMHNYcndZQ29VQzA2ZFB0Mm1mTGwyNllPVElrZEJxdFJnM2JoekN3OE1mS3dZaUlpSXFleVJKUW5wNk9pSWpJM0hpeEFrQXdQNzkrekYwNkZCMDd0d1p3NFlOQXdCY3UzYXQwTDRQSGp5QXY3OC8wdExTTUhmdVhQajYrcFo2L0VSRVJLd3dKWG9NdDI1RlorTVdmZ2Z3dTFjRFgxK0ZKTjRBeEJ1QThCYVFGRUlTTWtsSUR2YU9rNTRmcWFtcCtQWFhYMUdwVWlXOC9QTExOdTkzOGVKRjdOaXhBMisvL1RaOGZYMmgwK2tRR0JpSXUzZnY0c01QUDBUdDJyVnRQdGFvVWFPUWtwS0MvZnYzWTl5NGNaZy9mejQ2ZHV6NGlHZEVSRVJFWmNYdDI3Y3hjdVJJM0x4NXM5QWlrTmV1WFVPTkdqWFFyRmt6dEc3ZEdyR3hzUmc2ZENqYXRXdUhxVk9ub25MbHlqQVlESmcrZlRvdVhib0VmMzkvZE83YzJXN25Ra1JFenpjbVRJbWVrSlJMTVRFQVlnQXNyRlR6WDFWY0hSVWVrbHlvSklQTTJkNngwZk5Ccjlkanhvd1owT2wwR0RCZ0FHUXkyeWNSL1BYWFg5aTNieDhlUG55SUJRc1dZT0hDaFFnTEMwUGR1blV4ZlBqd0VzY3ljK1pNWkdkbkl5UWtCSk1uVDhhSEgzNkkwYU5IbHlnbUlpSWlLbHZLbHk4UGc4R0FaczJhd2R2Ykd6VnIxb1JDb1VCUVVCQSsrdWdqREJvMHlEUTJNek1UblR0M3hxRkRoM0R1M0RsTW1EQUJWNjVjUVdob0tONTU1eDBNSERqUXJ1ZENSRVRQTnlaTWlaNDhRL3JWdU5SMElOWGVnZER6NDhHREI1ZzJiUm9pSWlMZzYrdUw5OTkvdjlBWUlZVFYvZS9ldlFzQThQVDB4RTgvL1lUZHUzZWpmUG55V0xac0dSd2RIUzN1bzlmcnJSN1h3Y0VCaXhjdnhoZGZmSUU5ZS9ZZ1BEd2N1Ym01Y0hKeWVveXpKQ0lpb21lWlFxSEFUei85WlBaZVFrS0N4YkhseXBYRC9QbnowYlZyVjN6eHhSZVlOMjhlQUtCVnExYVlNbVZLcWNSTFJFUmtEVXQ5aUlqS3VCTW5UdUQ5OTkvSHNXUEg0T1BqZzBXTEZrR2hLUHc4ekpqNC9PdXZ2d3B0TS82WXFWNjlPanAxNm9TWFhub0pTNVlzUWRXcVZTMStaa1pHQnVMaTR1RGs1QVIzZDNlTFkrUnlPVDc3N0ROTW5qd1p5NWN2WjdLVWlJaUlDdW5Zc1NOMjd0eUo3dDI3QXdDaW82TUxKVjJKaUloS0d5dE1pWWpLcUgzNzltSFhybDJJaVlrQkFMUnYzeDV6NXN5Qmg0ZUh4ZkgxNjllSEVBTGJ0MjlIZG5ZMlhGeGNBQURwNmVuWXYzOC9aRElaV3JWcUJYZDNkMnpjdUJGeXVkeTA3NVVyVnpCeTVFaTR1N3REb1ZEZ3hvMGIwR2cwNk5LbFM1R1Zxd0RRdjMvL0ozcmVSRVJFOU0vaTd1Nk9vS0FndEduVEJnc1dMTUM4ZWZOdzl1eFpMRml3d042aEVSSFJjNG9KVXlLaU1pb3NMQXd4TVRIdzhmSEJSeDk5aEM1ZHVoUTUzdFBURTlPblQ4ZTZkZXV3WThjT1NKSUU1RTJmcTFHakJrYU5HZ1V2THk4Z3J6bzB2NW8xYXlJbkp3ZVptWmxBM2pTNkRoMDZjTW9jRVJFUlBURTllL1pFNDhhTkVSZ1lhS280SlNJaXNnY21USW1JeXFncFU2YWdXN2R1YU5PbVRiRlZua1o5Ky9aRjM3NTlTL3haQ29VQ3AwNmRlb1FvaVlpSTZIbFdwMDRkaEllSDJ6emV5OHNMR3pkdXRQbmVob2lJNkdsZ3dwU0lxSXh5ZFhWRjI3WnQ3UjBHRVJFUjBSUEZaQ2tSRWRrYkYzMGlJaUlpSWlJaUlpSWl5c09FS1JFUkVSRVJFUkVSRVZFZUpreUppSWlJaUlpSWlJaUk4akJoU2tSRVJFUkVSRVJFUkpTSENWTWlJaUlpSWlJaUlpS2lQRXlZRWhFUkVSRVJFUkVSRWVWaHdwU0lpSWlJaUlpSWlJZ29EeE9tUkVSRVJFUkVSRVJFUkhtWU1DVWlJaUlpSWlJaUlpTEt3NFFwRVJFUkVSRVJFUkVSVVI0bVRJbUlpSWlJaUlpSWlJanlLT3dkQUJGUmFkUHI5SWlOdTJ6dk1LaU1pWTI3REsxV2ErOHd5QTU0emFCSHdXdEcyU1VaRElpN0hBOUhSMGQ3aDBMMDJHTGpMa092MDlzN0RDS2lNb2NKVXlKNjdqelFhTEJ5OVJvNE9EallPeFFxUTdSYUxlN2R2Mi92TU1nT2VNMmdSOEZyUnRtbDFlbnc3ZHIxVURvbzdSMEswV1BUYXJWNG9OSFlPd3dpb2pLSENWTWllbTdrU29aVXBSQ3BCa2x5eXJ4M3o5N2hVRmtsU2JkeUpTblYzbUhRMDhkckJqMFJ2R2FVR1FZaHBja2hYWmNneXQyOXgyUTMvZU9rNWtvR1hvdUlpR3drN0IwQUVWRXBrdFdvMDdDQlRPSHdncjBEb2JKTEx3enB5WEhSc1FBTTlvNkZuanBlTStpeDhacFJwc2g4NmplcUt3bFpWWHNIUXZTa1NYcmRyYXZ4Rnk3eldr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msxZjhCeGJWTng3YkNRU0FBQUFBQVNVVk9SSzVDWUlJPSIsCgkiVGhlbWUiIDogIiIsCgkiVHlwZSIgOiAiZmxvdyIsCgkiVXNlcklkIiA6ICIzMTUyODA0MDQiLAoJIlZlcnNpb24iIDogIjI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340</Words>
  <Characters>376</Characters>
  <Lines>0</Lines>
  <Paragraphs>0</Paragraphs>
  <TotalTime>1</TotalTime>
  <ScaleCrop>false</ScaleCrop>
  <LinksUpToDate>false</LinksUpToDate>
  <CharactersWithSpaces>417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2025-10-29T00:48:00Z</dcterms:created>
  <dc:creator>發發發</dc:creator>
  <cp:lastModifiedBy>刘宇灏</cp:lastModifiedBy>
  <dcterms:modified xsi:type="dcterms:W3CDTF">2025-12-08T06:53:41Z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FB4CA0B7977441529352FAA7E13E6503_13</vt:lpwstr>
  </property>
  <property fmtid="{D5CDD505-2E9C-101B-9397-08002B2CF9AE}" pid="4" name="KSOTemplateDocerSaveRecord">
    <vt:lpwstr>eyJoZGlkIjoiMGM3YjIxM2FiOTIzOGI2MzEyMTNjM2RmZTY5NGQ4OWQiLCJ1c2VySWQiOiIzMTUyODA0MDQifQ==</vt:lpwstr>
  </property>
</Properties>
</file>