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1"/>
        <w:keepNext w:val="0"/>
        <w:keepLines w:val="0"/>
        <w:pageBreakBefore w:val="0"/>
        <w:widowControl w:val="0"/>
        <w:kinsoku/>
        <w:wordWrap/>
        <w:overflowPunct/>
        <w:topLinePunct/>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0831FAC8">
      <w:pPr>
        <w:pStyle w:val="31"/>
        <w:keepNext w:val="0"/>
        <w:keepLines w:val="0"/>
        <w:pageBreakBefore w:val="0"/>
        <w:widowControl w:val="0"/>
        <w:kinsoku/>
        <w:wordWrap/>
        <w:overflowPunct/>
        <w:topLinePunct/>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岳县环评﹝2026﹞1号</w:t>
      </w:r>
    </w:p>
    <w:p w14:paraId="2B14E7CA">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3A93321C">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autoSpaceDE w:val="0"/>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color w:val="auto"/>
          <w:spacing w:val="0"/>
          <w:kern w:val="2"/>
          <w:sz w:val="44"/>
          <w:szCs w:val="44"/>
          <w:lang w:val="en-US" w:eastAsia="zh-CN"/>
        </w:rPr>
        <w:t>年处置12万只报废液化石油气钢瓶项目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环境影响报告表的批复</w:t>
      </w:r>
    </w:p>
    <w:p w14:paraId="7ACD5ECA">
      <w:pPr>
        <w:keepNext w:val="0"/>
        <w:keepLines w:val="0"/>
        <w:pageBreakBefore w:val="0"/>
        <w:widowControl w:val="0"/>
        <w:kinsoku/>
        <w:wordWrap/>
        <w:overflowPunct/>
        <w:topLinePunct/>
        <w:autoSpaceDE w:val="0"/>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岳阳县长富钢瓶检测厂新墙分厂：</w:t>
      </w:r>
    </w:p>
    <w:p w14:paraId="2B69560A">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地址：新墙镇老街居委会廖家片</w:t>
      </w:r>
      <w:r>
        <w:rPr>
          <w:rFonts w:hint="eastAsia" w:ascii="仿宋_GB2312" w:hAnsi="仿宋_GB2312" w:eastAsia="仿宋_GB2312" w:cs="仿宋_GB2312"/>
          <w:color w:val="auto"/>
          <w:sz w:val="32"/>
          <w:szCs w:val="32"/>
          <w:u w:val="none" w:color="auto"/>
          <w:lang w:val="en-US" w:eastAsia="zh-CN"/>
        </w:rPr>
        <w:t>，法人代表：李辉林，统一社会信用代码：91430621MAEWRBC13Q）提交的《年处置12万只报废液化石油气钢瓶项目环境影响报告表》及有关附件收悉。</w:t>
      </w:r>
      <w:r>
        <w:rPr>
          <w:rFonts w:hint="eastAsia" w:ascii="仿宋_GB2312" w:hAnsi="仿宋_GB2312" w:eastAsia="仿宋_GB2312" w:cs="仿宋_GB2312"/>
          <w:color w:val="auto"/>
          <w:sz w:val="32"/>
          <w:szCs w:val="32"/>
          <w:u w:val="none" w:color="auto"/>
          <w:lang w:val="en-US" w:eastAsia="en-US"/>
        </w:rPr>
        <w:t>经审查，</w:t>
      </w:r>
      <w:r>
        <w:rPr>
          <w:rFonts w:hint="eastAsia" w:ascii="仿宋_GB2312" w:hAnsi="仿宋_GB2312" w:eastAsia="仿宋_GB2312" w:cs="仿宋_GB2312"/>
          <w:color w:val="auto"/>
          <w:sz w:val="32"/>
          <w:szCs w:val="32"/>
          <w:u w:val="none" w:color="auto"/>
          <w:lang w:val="en-US" w:eastAsia="zh-CN"/>
        </w:rPr>
        <w:t>你公司委托湖南京帝环保科技研究院有限公司编制</w:t>
      </w:r>
      <w:r>
        <w:rPr>
          <w:rFonts w:hint="eastAsia" w:ascii="仿宋_GB2312" w:hAnsi="仿宋_GB2312" w:eastAsia="仿宋_GB2312" w:cs="仿宋_GB2312"/>
          <w:color w:val="auto"/>
          <w:sz w:val="32"/>
          <w:szCs w:val="32"/>
          <w:u w:val="none" w:color="auto"/>
          <w:lang w:val="en-US" w:eastAsia="en-US"/>
        </w:rPr>
        <w:t>并通过专家评审取得审查意见的</w:t>
      </w:r>
      <w:r>
        <w:rPr>
          <w:rFonts w:hint="eastAsia" w:ascii="仿宋_GB2312" w:hAnsi="仿宋_GB2312" w:eastAsia="仿宋_GB2312" w:cs="仿宋_GB2312"/>
          <w:color w:val="auto"/>
          <w:sz w:val="32"/>
          <w:szCs w:val="32"/>
          <w:u w:val="none" w:color="auto"/>
          <w:lang w:val="en-US" w:eastAsia="zh-CN"/>
        </w:rPr>
        <w:t>《年处置12万只报废液化石油气钢瓶项目环境影响报告表》（以下简称报告表）符合国家关于建设项目环境影响评价文件审批的有关规定。根据报告表分析结论、专家评审意见、岳阳市岳阳县生态环境事务中心《岳阳县长富钢瓶检测厂新墙分厂年处置12万只报废液化石油气钢瓶项目环境影响报告表技术评估报告》（岳县环事评估〔2026〕1号），本项目符合国家产业政策和相关选址要求。经研究，我局原则同意你公司环境影响报告表中所列建设内容及其环境影响评价结论和环境保护对策措施。批复如下：</w:t>
      </w:r>
    </w:p>
    <w:p w14:paraId="0C496F09">
      <w:pPr>
        <w:keepNext w:val="0"/>
        <w:keepLines w:val="0"/>
        <w:pageBreakBefore w:val="0"/>
        <w:widowControl w:val="0"/>
        <w:numPr>
          <w:ilvl w:val="0"/>
          <w:numId w:val="2"/>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你公司年处置12万只报废液化石油气钢瓶项目位于新墙镇老街居委会廖家片，拟投资160万元（</w:t>
      </w:r>
      <w:r>
        <w:rPr>
          <w:rFonts w:hint="eastAsia" w:ascii="仿宋_GB2312" w:hAnsi="仿宋_GB2312" w:eastAsia="仿宋_GB2312" w:cs="仿宋_GB2312"/>
          <w:kern w:val="0"/>
          <w:sz w:val="32"/>
          <w:szCs w:val="32"/>
        </w:rPr>
        <w:t>环保投</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color="auto"/>
          <w:lang w:val="en-US" w:eastAsia="zh-CN"/>
        </w:rPr>
        <w:t>，建设项目用地系租赁湖南</w:t>
      </w:r>
      <w:r>
        <w:rPr>
          <w:rFonts w:hint="eastAsia" w:ascii="仿宋_GB2312" w:hAnsi="仿宋_GB2312" w:eastAsia="仿宋_GB2312" w:cs="仿宋_GB2312"/>
          <w:kern w:val="2"/>
          <w:sz w:val="32"/>
          <w:szCs w:val="32"/>
          <w:lang w:val="en-US" w:eastAsia="zh-CN" w:bidi="ar-SA"/>
        </w:rPr>
        <w:t>湘阳食品有限公司闲置厂房，</w:t>
      </w:r>
      <w:r>
        <w:rPr>
          <w:rFonts w:hint="default" w:ascii="仿宋_GB2312" w:hAnsi="仿宋_GB2312" w:eastAsia="仿宋_GB2312" w:cs="仿宋_GB2312"/>
          <w:kern w:val="2"/>
          <w:sz w:val="32"/>
          <w:szCs w:val="32"/>
          <w:lang w:val="en-US" w:eastAsia="zh-CN" w:bidi="ar-SA"/>
        </w:rPr>
        <w:t>占地面积为</w:t>
      </w:r>
      <w:r>
        <w:rPr>
          <w:rFonts w:hint="eastAsia" w:ascii="仿宋_GB2312" w:hAnsi="仿宋_GB2312" w:eastAsia="仿宋_GB2312" w:cs="仿宋_GB2312"/>
          <w:kern w:val="2"/>
          <w:sz w:val="32"/>
          <w:szCs w:val="32"/>
          <w:lang w:val="en-US" w:eastAsia="zh-CN" w:bidi="ar-SA"/>
        </w:rPr>
        <w:t>1250</w:t>
      </w:r>
      <w:r>
        <w:rPr>
          <w:rFonts w:hint="default" w:ascii="仿宋_GB2312" w:hAnsi="仿宋_GB2312" w:eastAsia="仿宋_GB2312" w:cs="仿宋_GB2312"/>
          <w:kern w:val="2"/>
          <w:sz w:val="32"/>
          <w:szCs w:val="32"/>
          <w:lang w:val="en-US" w:eastAsia="zh-CN" w:bidi="ar-SA"/>
        </w:rPr>
        <w:t>m</w:t>
      </w:r>
      <w:r>
        <w:rPr>
          <w:rFonts w:hint="default" w:ascii="仿宋_GB2312" w:hAnsi="仿宋_GB2312" w:eastAsia="仿宋_GB2312" w:cs="仿宋_GB2312"/>
          <w:kern w:val="2"/>
          <w:sz w:val="32"/>
          <w:szCs w:val="32"/>
          <w:vertAlign w:val="superscript"/>
          <w:lang w:val="en-US" w:eastAsia="zh-CN" w:bidi="ar-SA"/>
        </w:rPr>
        <w:t>2</w:t>
      </w:r>
      <w:r>
        <w:rPr>
          <w:rFonts w:hint="eastAsia" w:ascii="仿宋_GB2312" w:hAnsi="仿宋_GB2312" w:eastAsia="仿宋_GB2312" w:cs="仿宋_GB2312"/>
          <w:kern w:val="2"/>
          <w:sz w:val="32"/>
          <w:szCs w:val="32"/>
          <w:vertAlign w:val="baseline"/>
          <w:lang w:val="en-US" w:eastAsia="zh-CN" w:bidi="ar-SA"/>
        </w:rPr>
        <w:t>。</w:t>
      </w:r>
      <w:r>
        <w:rPr>
          <w:rFonts w:hint="eastAsia" w:ascii="仿宋_GB2312" w:hAnsi="仿宋_GB2312" w:eastAsia="仿宋_GB2312" w:cs="仿宋_GB2312"/>
          <w:bCs/>
          <w:color w:val="auto"/>
          <w:kern w:val="2"/>
          <w:sz w:val="32"/>
          <w:szCs w:val="32"/>
          <w:u w:val="none" w:color="auto"/>
          <w:lang w:val="en-US" w:eastAsia="zh-CN" w:bidi="ar-SA"/>
        </w:rPr>
        <w:t>生产工艺流程为：</w:t>
      </w:r>
      <w:r>
        <w:rPr>
          <w:rFonts w:hint="eastAsia" w:ascii="仿宋_GB2312" w:hAnsi="仿宋_GB2312" w:eastAsia="仿宋_GB2312" w:cs="仿宋_GB2312"/>
          <w:color w:val="auto"/>
          <w:sz w:val="32"/>
          <w:szCs w:val="32"/>
          <w:u w:val="none" w:color="auto"/>
          <w:lang w:val="en-US" w:eastAsia="zh-CN"/>
        </w:rPr>
        <w:t>报废钢瓶通过抽残装置抽取残液后进行拆卸，拆下的瓶阀作为不可回收的固体废物单独收集，钢瓶使用高温焚烧表面涂层及内壁残留物，最后进行压扁处理。</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36CE3C7E">
      <w:pPr>
        <w:pStyle w:val="41"/>
        <w:keepNext w:val="0"/>
        <w:keepLines w:val="0"/>
        <w:pageBreakBefore w:val="0"/>
        <w:widowControl w:val="0"/>
        <w:kinsoku/>
        <w:wordWrap/>
        <w:overflowPunct/>
        <w:topLinePunct/>
        <w:autoSpaceDE w:val="0"/>
        <w:autoSpaceDN/>
        <w:bidi w:val="0"/>
        <w:adjustRightInd/>
        <w:snapToGrid/>
        <w:spacing w:after="0" w:line="576" w:lineRule="exact"/>
        <w:ind w:firstLine="643" w:firstLineChars="200"/>
        <w:jc w:val="both"/>
        <w:textAlignment w:val="baseline"/>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default" w:ascii="仿宋_GB2312" w:hAnsi="仿宋_GB2312" w:eastAsia="仿宋_GB2312" w:cs="仿宋_GB2312"/>
          <w:color w:val="auto"/>
          <w:sz w:val="32"/>
          <w:szCs w:val="32"/>
          <w:u w:val="none" w:color="auto"/>
          <w:lang w:val="en-US" w:eastAsia="zh-CN"/>
        </w:rPr>
        <w:t>项目采用密闭式残气回收系统，通过密封接头与钢瓶阀口精准对接，配合负压抽吸装置，减少逸散环节</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厂区内无组织排放</w:t>
      </w:r>
      <w:r>
        <w:rPr>
          <w:rFonts w:hint="eastAsia" w:ascii="仿宋_GB2312" w:hAnsi="仿宋_GB2312" w:eastAsia="仿宋_GB2312" w:cs="仿宋_GB2312"/>
          <w:color w:val="auto"/>
          <w:sz w:val="32"/>
          <w:szCs w:val="32"/>
          <w:u w:val="none" w:color="auto"/>
          <w:lang w:val="en-US" w:eastAsia="zh-CN"/>
        </w:rPr>
        <w:t>的</w:t>
      </w:r>
      <w:r>
        <w:rPr>
          <w:rFonts w:hint="default" w:ascii="仿宋_GB2312" w:hAnsi="仿宋_GB2312" w:eastAsia="仿宋_GB2312" w:cs="仿宋_GB2312"/>
          <w:color w:val="auto"/>
          <w:sz w:val="32"/>
          <w:szCs w:val="32"/>
          <w:u w:val="none" w:color="auto"/>
          <w:lang w:val="en-US" w:eastAsia="zh-CN"/>
        </w:rPr>
        <w:t>非甲烷总烃</w:t>
      </w:r>
      <w:r>
        <w:rPr>
          <w:rFonts w:hint="eastAsia" w:ascii="仿宋_GB2312" w:hAnsi="仿宋_GB2312" w:eastAsia="仿宋_GB2312" w:cs="仿宋_GB2312"/>
          <w:color w:val="auto"/>
          <w:sz w:val="32"/>
          <w:szCs w:val="32"/>
          <w:u w:val="none" w:color="auto"/>
          <w:lang w:val="en-US" w:eastAsia="zh-CN"/>
        </w:rPr>
        <w:t>执行《挥发性有机物无组织排放控制标准》（GB37822-2019）中标准</w:t>
      </w:r>
      <w:r>
        <w:rPr>
          <w:rFonts w:hint="default" w:ascii="仿宋_GB2312" w:hAnsi="仿宋_GB2312" w:eastAsia="仿宋_GB2312" w:cs="仿宋_GB2312"/>
          <w:color w:val="auto"/>
          <w:sz w:val="32"/>
          <w:szCs w:val="32"/>
          <w:u w:val="none" w:color="auto"/>
          <w:lang w:val="en-US" w:eastAsia="zh-CN"/>
        </w:rPr>
        <w:t>要求</w:t>
      </w:r>
      <w:r>
        <w:rPr>
          <w:rFonts w:hint="eastAsia" w:ascii="仿宋_GB2312" w:hAnsi="仿宋_GB2312" w:eastAsia="仿宋_GB2312" w:cs="仿宋_GB2312"/>
          <w:color w:val="auto"/>
          <w:sz w:val="32"/>
          <w:szCs w:val="32"/>
          <w:u w:val="none" w:color="auto"/>
          <w:lang w:val="en-US" w:eastAsia="zh-CN"/>
        </w:rPr>
        <w:t>；厂界无组织排放的</w:t>
      </w:r>
      <w:r>
        <w:rPr>
          <w:rFonts w:hint="default" w:ascii="仿宋_GB2312" w:hAnsi="仿宋_GB2312" w:eastAsia="仿宋_GB2312" w:cs="仿宋_GB2312"/>
          <w:color w:val="auto"/>
          <w:sz w:val="32"/>
          <w:szCs w:val="32"/>
          <w:u w:val="none" w:color="auto"/>
          <w:lang w:val="en-US" w:eastAsia="zh-CN"/>
        </w:rPr>
        <w:t>非甲烷总烃</w:t>
      </w:r>
      <w:r>
        <w:rPr>
          <w:rFonts w:hint="eastAsia" w:ascii="仿宋_GB2312" w:hAnsi="仿宋_GB2312" w:eastAsia="仿宋_GB2312" w:cs="仿宋_GB2312"/>
          <w:color w:val="auto"/>
          <w:sz w:val="32"/>
          <w:szCs w:val="32"/>
          <w:u w:val="none" w:color="auto"/>
          <w:lang w:val="en-US" w:eastAsia="zh-CN"/>
        </w:rPr>
        <w:t>执行《大气污染物综合排放标准》（GB16297-1996）中厂界浓度限值，无组织排放的恶臭气体执行《恶臭污染物排放标准》（</w:t>
      </w:r>
      <w:r>
        <w:rPr>
          <w:rFonts w:hint="default" w:ascii="仿宋_GB2312" w:hAnsi="仿宋_GB2312" w:eastAsia="仿宋_GB2312" w:cs="仿宋_GB2312"/>
          <w:color w:val="auto"/>
          <w:sz w:val="32"/>
          <w:szCs w:val="32"/>
          <w:u w:val="none" w:color="auto"/>
          <w:lang w:val="en-US" w:eastAsia="zh-CN"/>
        </w:rPr>
        <w:t>GB14554-1993</w:t>
      </w:r>
      <w:r>
        <w:rPr>
          <w:rFonts w:hint="eastAsia" w:ascii="仿宋_GB2312" w:hAnsi="仿宋_GB2312" w:eastAsia="仿宋_GB2312" w:cs="仿宋_GB2312"/>
          <w:color w:val="auto"/>
          <w:sz w:val="32"/>
          <w:szCs w:val="32"/>
          <w:u w:val="none" w:color="auto"/>
          <w:lang w:val="en-US" w:eastAsia="zh-CN"/>
        </w:rPr>
        <w:t>）中厂界浓度限值。项目焚烧炉产生的污染物经高温布袋除尘器处理后通过15m高的排气筒（DA001）外排，排放的废气污染物执行《湖南省工业炉窑大气污染综合治理实施方案》中暂未制定行业排放标准的工业炉窑排放标准（颗粒物：30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，二氧化物：200mg/m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，氮氧化物：300mg/m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kern w:val="2"/>
          <w:sz w:val="32"/>
          <w:szCs w:val="32"/>
          <w:u w:val="none" w:color="auto"/>
          <w:lang w:val="en-US" w:eastAsia="zh-CN" w:bidi="ar-SA"/>
        </w:rPr>
        <w:t>。</w:t>
      </w:r>
    </w:p>
    <w:p w14:paraId="0FC1CA0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按照“清污分流、雨污分流”原则，设计、建设、完善给排水系统。生活污水经三级</w:t>
      </w:r>
      <w:r>
        <w:rPr>
          <w:rFonts w:hint="default" w:ascii="仿宋_GB2312" w:hAnsi="仿宋_GB2312" w:eastAsia="仿宋_GB2312" w:cs="仿宋_GB2312"/>
          <w:color w:val="auto"/>
          <w:sz w:val="32"/>
          <w:szCs w:val="32"/>
          <w:u w:val="none" w:color="auto"/>
          <w:lang w:val="en-US" w:eastAsia="zh-CN"/>
        </w:rPr>
        <w:t>化粪池处理后</w:t>
      </w:r>
      <w:r>
        <w:rPr>
          <w:rFonts w:hint="eastAsia" w:ascii="仿宋_GB2312" w:hAnsi="仿宋_GB2312" w:eastAsia="仿宋_GB2312" w:cs="仿宋_GB2312"/>
          <w:color w:val="auto"/>
          <w:sz w:val="32"/>
          <w:szCs w:val="32"/>
          <w:u w:val="none" w:color="auto"/>
          <w:lang w:val="en-US" w:eastAsia="zh-CN"/>
        </w:rPr>
        <w:t>用作农肥，全部综合利用。</w:t>
      </w:r>
    </w:p>
    <w:p w14:paraId="7007F5AA">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sz w:val="32"/>
          <w:szCs w:val="32"/>
          <w:u w:val="none" w:color="auto"/>
          <w:lang w:val="en-US" w:eastAsia="zh-CN"/>
        </w:rPr>
        <w:t>优化平面布局，优先选择低噪声设备和工艺，采取减振、隔声、消声等措施有效控制噪声污染，加强厂区内固定设备、运输工具、货物装卸等噪声源管理，同时避免突发噪声扰民。厂界噪声执行《工业企业厂界环境噪声排放标准》（GB12348-2008）中的2类标准。</w:t>
      </w:r>
    </w:p>
    <w:p w14:paraId="0F24EDD1">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w:t>
      </w:r>
      <w:r>
        <w:rPr>
          <w:rFonts w:hint="eastAsia" w:ascii="仿宋_GB2312" w:hAnsi="仿宋_GB2312" w:eastAsia="仿宋_GB2312" w:cs="仿宋_GB2312"/>
          <w:color w:val="auto"/>
          <w:sz w:val="32"/>
          <w:szCs w:val="32"/>
          <w:u w:val="none" w:color="auto"/>
        </w:rPr>
        <w:t>交由环卫部门处理</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焚烧炉废气处理收集的粉尘经</w:t>
      </w:r>
      <w:r>
        <w:rPr>
          <w:rFonts w:hint="eastAsia" w:ascii="仿宋_GB2312" w:hAnsi="仿宋_GB2312" w:eastAsia="仿宋_GB2312" w:cs="仿宋_GB2312"/>
          <w:color w:val="auto"/>
          <w:sz w:val="32"/>
          <w:szCs w:val="32"/>
          <w:u w:val="none" w:color="auto"/>
        </w:rPr>
        <w:t>收集后</w:t>
      </w:r>
      <w:r>
        <w:rPr>
          <w:rFonts w:hint="eastAsia" w:ascii="仿宋_GB2312" w:hAnsi="仿宋_GB2312" w:eastAsia="仿宋_GB2312" w:cs="仿宋_GB2312"/>
          <w:color w:val="auto"/>
          <w:sz w:val="32"/>
          <w:szCs w:val="32"/>
          <w:u w:val="none" w:color="auto"/>
          <w:lang w:val="en-US" w:eastAsia="zh-CN"/>
        </w:rPr>
        <w:t>综合利用；废机油和废机油桶等危险废物，暂存于危废间内，委托有资质单位定期处理。</w:t>
      </w:r>
    </w:p>
    <w:p w14:paraId="4E3AB0C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4B767E5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color w:val="auto"/>
          <w:kern w:val="2"/>
          <w:sz w:val="32"/>
          <w:szCs w:val="32"/>
          <w:u w:val="none" w:color="auto"/>
          <w:lang w:val="en-US" w:eastAsia="zh-CN"/>
        </w:rPr>
        <w:t>本项目污染物年排放总量控制指标为</w:t>
      </w:r>
      <w:r>
        <w:rPr>
          <w:rFonts w:hint="eastAsia" w:ascii="仿宋_GB2312" w:hAnsi="仿宋_GB2312" w:eastAsia="仿宋_GB2312" w:cs="仿宋_GB2312"/>
          <w:color w:val="auto"/>
          <w:sz w:val="32"/>
          <w:szCs w:val="32"/>
          <w:u w:val="none" w:color="auto"/>
          <w:lang w:val="en-US" w:eastAsia="zh-CN"/>
        </w:rPr>
        <w:t>：颗粒物≤0.01</w:t>
      </w:r>
      <w:r>
        <w:rPr>
          <w:rFonts w:hint="eastAsia" w:ascii="仿宋_GB2312" w:hAnsi="仿宋_GB2312" w:eastAsia="仿宋_GB2312" w:cs="仿宋_GB2312"/>
          <w:bCs/>
          <w:color w:val="auto"/>
          <w:kern w:val="2"/>
          <w:sz w:val="32"/>
          <w:szCs w:val="32"/>
          <w:u w:val="none" w:color="auto"/>
          <w:lang w:val="en-US" w:eastAsia="zh-CN" w:bidi="ar-SA"/>
        </w:rPr>
        <w:t>t、</w:t>
      </w:r>
      <w:r>
        <w:rPr>
          <w:rFonts w:hint="eastAsia" w:ascii="仿宋_GB2312" w:hAnsi="仿宋_GB2312" w:eastAsia="仿宋_GB2312" w:cs="仿宋_GB2312"/>
          <w:color w:val="auto"/>
          <w:sz w:val="32"/>
          <w:szCs w:val="32"/>
          <w:u w:val="none" w:color="auto"/>
          <w:lang w:val="en-US" w:eastAsia="zh-CN"/>
        </w:rPr>
        <w:t>二氧化硫≤</w:t>
      </w:r>
      <w:r>
        <w:rPr>
          <w:rFonts w:hint="eastAsia" w:ascii="仿宋_GB2312" w:hAnsi="仿宋_GB2312" w:eastAsia="仿宋_GB2312" w:cs="仿宋_GB2312"/>
          <w:bCs/>
          <w:color w:val="auto"/>
          <w:kern w:val="2"/>
          <w:sz w:val="32"/>
          <w:szCs w:val="32"/>
          <w:u w:val="none" w:color="auto"/>
          <w:lang w:val="en-US" w:eastAsia="zh-CN" w:bidi="ar-SA"/>
        </w:rPr>
        <w:t>0.04t、</w:t>
      </w:r>
      <w:r>
        <w:rPr>
          <w:rFonts w:hint="eastAsia" w:ascii="仿宋_GB2312" w:hAnsi="仿宋_GB2312" w:eastAsia="仿宋_GB2312" w:cs="仿宋_GB2312"/>
          <w:color w:val="auto"/>
          <w:sz w:val="32"/>
          <w:szCs w:val="32"/>
          <w:u w:val="none" w:color="auto"/>
          <w:lang w:val="en-US" w:eastAsia="zh-CN"/>
        </w:rPr>
        <w:t>氮氧化物≤</w:t>
      </w:r>
      <w:r>
        <w:rPr>
          <w:rFonts w:hint="eastAsia" w:ascii="仿宋_GB2312" w:hAnsi="仿宋_GB2312" w:eastAsia="仿宋_GB2312" w:cs="仿宋_GB2312"/>
          <w:bCs/>
          <w:color w:val="auto"/>
          <w:kern w:val="2"/>
          <w:sz w:val="32"/>
          <w:szCs w:val="32"/>
          <w:u w:val="none" w:color="auto"/>
          <w:lang w:val="en-US" w:eastAsia="zh-CN" w:bidi="ar-SA"/>
        </w:rPr>
        <w:t>0.2t。</w:t>
      </w:r>
    </w:p>
    <w:p w14:paraId="2B71E0D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四、建设项目的环境影响评价文件经批准后，项目的性质、规模、地点或者防治污染、防止生态破坏的措施发生重大变动的，应当重新报批该项目的环境影响环评文件。</w:t>
      </w:r>
    </w:p>
    <w:p w14:paraId="312E73D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0C6830FB">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693" w:tblpY="3176"/>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1C880E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4074EA27">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抄送：新墙镇人民政府、岳阳市岳阳县生态环境保护综合行政执法大队、湖南京帝环保科技研究院有限公司</w:t>
            </w:r>
          </w:p>
        </w:tc>
      </w:tr>
    </w:tbl>
    <w:p w14:paraId="6796DD13">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2026年1月2</w:t>
      </w:r>
      <w:bookmarkStart w:id="0" w:name="_GoBack"/>
      <w:bookmarkEnd w:id="0"/>
      <w:r>
        <w:rPr>
          <w:rFonts w:hint="eastAsia" w:ascii="仿宋_GB2312" w:hAnsi="仿宋_GB2312" w:eastAsia="仿宋_GB2312" w:cs="仿宋_GB2312"/>
          <w:color w:val="auto"/>
          <w:sz w:val="32"/>
          <w:szCs w:val="32"/>
          <w:u w:val="none" w:color="auto"/>
          <w:lang w:val="en-US" w:eastAsia="zh-CN"/>
        </w:rPr>
        <w:t>3日</w:t>
      </w: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A3BF1CC-2AA5-4DDD-B918-F512E35A74D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D88DC83-3AC1-4880-9E98-5210EE14A451}"/>
  </w:font>
  <w:font w:name="仿宋_GB2312">
    <w:panose1 w:val="02010609030101010101"/>
    <w:charset w:val="86"/>
    <w:family w:val="modern"/>
    <w:pitch w:val="default"/>
    <w:sig w:usb0="00000001" w:usb1="080E0000" w:usb2="00000000" w:usb3="00000000" w:csb0="00040000" w:csb1="00000000"/>
    <w:embedRegular r:id="rId3" w:fontKey="{19C23383-AABF-4F38-838B-19C2D9A5C86C}"/>
  </w:font>
  <w:font w:name="方正小标宋简体">
    <w:panose1 w:val="02000000000000000000"/>
    <w:charset w:val="86"/>
    <w:family w:val="auto"/>
    <w:pitch w:val="default"/>
    <w:sig w:usb0="00000001" w:usb1="08000000" w:usb2="00000000" w:usb3="00000000" w:csb0="00040000" w:csb1="00000000"/>
    <w:embedRegular r:id="rId4" w:fontKey="{5E5E0C12-C250-48B3-B8F1-572E2E6144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8CDC"/>
    <w:multiLevelType w:val="singleLevel"/>
    <w:tmpl w:val="EBC78CD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07870"/>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8830DD"/>
    <w:rsid w:val="26B7248D"/>
    <w:rsid w:val="26EF057C"/>
    <w:rsid w:val="27157BE2"/>
    <w:rsid w:val="27157D3C"/>
    <w:rsid w:val="27357DDA"/>
    <w:rsid w:val="274C0DA9"/>
    <w:rsid w:val="27684CB5"/>
    <w:rsid w:val="27786E27"/>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B474E1"/>
    <w:rsid w:val="29B9024C"/>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D7348"/>
    <w:rsid w:val="327106BC"/>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B63D4"/>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BD4226"/>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7E2395"/>
    <w:rsid w:val="4FA0775A"/>
    <w:rsid w:val="4FA978AB"/>
    <w:rsid w:val="502A587C"/>
    <w:rsid w:val="503E21BB"/>
    <w:rsid w:val="5051480E"/>
    <w:rsid w:val="50B72EA8"/>
    <w:rsid w:val="510E100C"/>
    <w:rsid w:val="512A18AC"/>
    <w:rsid w:val="513C0D41"/>
    <w:rsid w:val="5176064D"/>
    <w:rsid w:val="5183308C"/>
    <w:rsid w:val="51C66F43"/>
    <w:rsid w:val="51CD6957"/>
    <w:rsid w:val="52174C68"/>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DE23F89"/>
    <w:rsid w:val="5E3B3D89"/>
    <w:rsid w:val="5EF24640"/>
    <w:rsid w:val="5F261904"/>
    <w:rsid w:val="5F6D4912"/>
    <w:rsid w:val="5F7D78A8"/>
    <w:rsid w:val="5F903222"/>
    <w:rsid w:val="5F912F4D"/>
    <w:rsid w:val="5FA34F4D"/>
    <w:rsid w:val="5FC1162D"/>
    <w:rsid w:val="5FE5744D"/>
    <w:rsid w:val="60003368"/>
    <w:rsid w:val="60882A8D"/>
    <w:rsid w:val="60BE2C44"/>
    <w:rsid w:val="60E31383"/>
    <w:rsid w:val="610A2B60"/>
    <w:rsid w:val="61190980"/>
    <w:rsid w:val="61497E44"/>
    <w:rsid w:val="61795FBE"/>
    <w:rsid w:val="619568CD"/>
    <w:rsid w:val="61B74A96"/>
    <w:rsid w:val="61BF548E"/>
    <w:rsid w:val="61DA6504"/>
    <w:rsid w:val="62176272"/>
    <w:rsid w:val="623A31B8"/>
    <w:rsid w:val="62D82F16"/>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76EA5"/>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458A2"/>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6B2741"/>
    <w:rsid w:val="6F8B7FB3"/>
    <w:rsid w:val="701557A9"/>
    <w:rsid w:val="7031567F"/>
    <w:rsid w:val="7048104D"/>
    <w:rsid w:val="70967060"/>
    <w:rsid w:val="70F34949"/>
    <w:rsid w:val="710D7763"/>
    <w:rsid w:val="71172C34"/>
    <w:rsid w:val="715C7408"/>
    <w:rsid w:val="718D56D9"/>
    <w:rsid w:val="71AA7506"/>
    <w:rsid w:val="71AD21A3"/>
    <w:rsid w:val="71DA0B5A"/>
    <w:rsid w:val="71EC32CB"/>
    <w:rsid w:val="71FB4625"/>
    <w:rsid w:val="72083B4D"/>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6230E1"/>
    <w:rsid w:val="797E0817"/>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26085"/>
    <w:rsid w:val="7CCD740C"/>
    <w:rsid w:val="7D7805FA"/>
    <w:rsid w:val="7D790DF2"/>
    <w:rsid w:val="7D7D0EC6"/>
    <w:rsid w:val="7D977508"/>
    <w:rsid w:val="7DA617D2"/>
    <w:rsid w:val="7DEC6A9C"/>
    <w:rsid w:val="7E085630"/>
    <w:rsid w:val="7E1370A0"/>
    <w:rsid w:val="7E14077C"/>
    <w:rsid w:val="7E875C8F"/>
    <w:rsid w:val="7EC80CAB"/>
    <w:rsid w:val="7ECF2FC7"/>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1757</Words>
  <Characters>1891</Characters>
  <Lines>11</Lines>
  <Paragraphs>3</Paragraphs>
  <TotalTime>13</TotalTime>
  <ScaleCrop>false</ScaleCrop>
  <LinksUpToDate>false</LinksUpToDate>
  <CharactersWithSpaces>1917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2025-08-26T07:17:00Z</cp:lastPrinted>
  <dcterms:modified xsi:type="dcterms:W3CDTF">2026-01-23T06:11:05Z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