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岳阳县文化馆2026年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2026年单位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2026年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hint="eastAsia" w:ascii="inherit" w:hAnsi="inherit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岳阳县文化馆的主要职责是全民艺术普及，其中包括：免费开放、艺术创作、艺术培训、群文活动、民间艺术文化保护传承和挖掘。是政府为了向广大人民群众进行宣传教育，组织辅导群众开展文化活动而设立的公益类事业单位，是当地群众文化艺术活动的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岳阳县文化馆设下列内设机构:综合部、培训部、创研部、岳阳县花鼓戏传承保护中心。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包括一般公共预算、政府性基金、国有资本经营预算等财政拨款收入，以及经营收入、事业收入等单位资金。2026年本单位收入预算603.12万元，其中，一般公共预算拨款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603.12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本单位2026年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收入较上年减少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84.50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万元，主要是因为预算执行进度加快，本年度年初结转资金较上年度年初结转资金减少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2026年本单位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603.12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文化旅游体育与传媒支出510.49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社会保障和就业支出44.61万元，卫生健康支出21.22万元，住房保障支出26.80万元。支出较</w:t>
      </w:r>
      <w:r>
        <w:rPr>
          <w:rFonts w:hint="eastAsia" w:eastAsia="仿宋_GB2312"/>
          <w:sz w:val="32"/>
          <w:szCs w:val="32"/>
          <w:lang w:eastAsia="zh-CN"/>
        </w:rPr>
        <w:t>上年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84.50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其中基本支出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11.28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95.78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其中基本支出较上年增加主要是</w:t>
      </w:r>
      <w:r>
        <w:rPr>
          <w:rFonts w:hint="eastAsia" w:eastAsia="仿宋_GB2312"/>
          <w:sz w:val="32"/>
          <w:szCs w:val="32"/>
          <w:lang w:val="en-US" w:eastAsia="zh-CN"/>
        </w:rPr>
        <w:t>因为人员工资晋级晋档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导致人员经费增加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项目支出减少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主要是因为预算执行进度加快，本年度年初结转项目资金较上年度年初结转项目资金减少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2026年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603.12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文化旅游体育与传媒支出510.49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84.64%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社会保障和就业支出44.61万元，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7.40%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卫生健康支出21.22万元，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3.52%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住房保障支出26.80万元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4.44%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2026年基本支出年初预算数为420.12万元，是指为保障单位机构正常运转、完成日常工作任务而发生的各项支出，包括用于基本工资、奖金、津贴补贴、绩效工资、机关事业单位基本养老保险缴费、职业年金缴费、 其他社会保障缴费、职工基本医疗保险缴费、公务员医疗补助缴费、住房公积金等人员经费以及办公费、电费、印刷费、 公务接待费、差旅费、其他交通费用、其他商品和服务支出、  水费、培训费、维修（护）费、物业管理费、邮电费等日常公用经费。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2026年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183.00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183.00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、2026一元剧场、送戏下乡演出专项、2026文化遗产传承人员补助经费、非遗传承保护专项</w:t>
      </w:r>
      <w:r>
        <w:rPr>
          <w:rFonts w:hint="eastAsia" w:eastAsia="仿宋_GB2312"/>
          <w:sz w:val="32"/>
          <w:szCs w:val="32"/>
        </w:rPr>
        <w:t>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2026年度本单位无政府性基金安排的支出，所以公开的附件16-18（政府性基金预算）为空。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机关运行经费当年一般公共预算拨款54.54万元，比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1.98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3.50</w:t>
      </w:r>
      <w:r>
        <w:rPr>
          <w:rFonts w:hint="eastAsia" w:eastAsia="仿宋_GB2312" w:cs="仿宋_GB2312"/>
          <w:kern w:val="0"/>
          <w:sz w:val="32"/>
          <w:szCs w:val="32"/>
        </w:rPr>
        <w:t>%。主要原因是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本年度年初结转公用经费较上年度年初结转公用经费减少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</w:t>
      </w:r>
      <w:r>
        <w:rPr>
          <w:rFonts w:hint="eastAsia" w:eastAsia="仿宋_GB2312" w:cs="仿宋_GB2312"/>
          <w:kern w:val="0"/>
          <w:sz w:val="32"/>
          <w:szCs w:val="32"/>
        </w:rPr>
        <w:t>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1.6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100.00</w:t>
      </w:r>
      <w:r>
        <w:rPr>
          <w:rFonts w:hint="eastAsia" w:eastAsia="仿宋_GB2312" w:cs="仿宋_GB2312"/>
          <w:kern w:val="0"/>
          <w:sz w:val="32"/>
          <w:szCs w:val="32"/>
        </w:rPr>
        <w:t>%。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，主要原因是按上级文件要求严控三公经费开支。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本单位2026年培训费预算2万元，拟开展3次培训，人数12人，内容为干部职工执业能力提升培训；2026年度本单位未计划安排会议，未计划举办节庆、晚会、论坛、赛事活动。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2026年度本单位政府采购预算总额32万元，其中工程类0万元，货物类11万元，服务类21万元。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2026年度本单位未计划处置或新增车辆、设备等。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2026年单位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603.12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420.12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183.00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岳阳县文化馆单位预算公开表格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8273F-D72A-428D-B70A-D2A0891B40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298C8C-7911-4626-811E-1011F6C824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1A88626-BE17-43DB-BD84-C77F182C7A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701F48-E59F-44A3-9FB9-63C613AD8E30}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F1AC14ED-F9D4-4B6C-8E6D-D111656E0E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38352AD-9F9D-439C-BA5D-773D4503E4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2F14EB6-EE8E-469A-9379-064518D82C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AzYWI3YTMwMjNkYjY2ODU3M2Q2ODhjMGI3MTEifQ==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9837D0"/>
    <w:rsid w:val="042F62B6"/>
    <w:rsid w:val="04335DA6"/>
    <w:rsid w:val="04497920"/>
    <w:rsid w:val="069419C6"/>
    <w:rsid w:val="070C65B9"/>
    <w:rsid w:val="08281851"/>
    <w:rsid w:val="09327787"/>
    <w:rsid w:val="0A3B1293"/>
    <w:rsid w:val="0AF15A72"/>
    <w:rsid w:val="0B5C0021"/>
    <w:rsid w:val="0C0C6008"/>
    <w:rsid w:val="0C4F7AFC"/>
    <w:rsid w:val="0D5B6622"/>
    <w:rsid w:val="0D8970B2"/>
    <w:rsid w:val="0E064421"/>
    <w:rsid w:val="0EB846B3"/>
    <w:rsid w:val="0ED234CD"/>
    <w:rsid w:val="0F654CC7"/>
    <w:rsid w:val="0F9E0A26"/>
    <w:rsid w:val="0FF13EE2"/>
    <w:rsid w:val="12041C48"/>
    <w:rsid w:val="1231570E"/>
    <w:rsid w:val="14B506ED"/>
    <w:rsid w:val="15D8652F"/>
    <w:rsid w:val="15D9563A"/>
    <w:rsid w:val="181810E3"/>
    <w:rsid w:val="183439D8"/>
    <w:rsid w:val="19420C90"/>
    <w:rsid w:val="19AA220F"/>
    <w:rsid w:val="19D5374E"/>
    <w:rsid w:val="1A4D6694"/>
    <w:rsid w:val="1AC31CB7"/>
    <w:rsid w:val="1B952161"/>
    <w:rsid w:val="1BEF6124"/>
    <w:rsid w:val="1F1F1226"/>
    <w:rsid w:val="1FA12E5F"/>
    <w:rsid w:val="26570D53"/>
    <w:rsid w:val="271409BD"/>
    <w:rsid w:val="27D848B8"/>
    <w:rsid w:val="2B451C10"/>
    <w:rsid w:val="2B545336"/>
    <w:rsid w:val="2BEF737C"/>
    <w:rsid w:val="2CDB483B"/>
    <w:rsid w:val="2ECD0C4F"/>
    <w:rsid w:val="2FC40521"/>
    <w:rsid w:val="3405688C"/>
    <w:rsid w:val="343835A7"/>
    <w:rsid w:val="34E11E02"/>
    <w:rsid w:val="35085527"/>
    <w:rsid w:val="367E56C3"/>
    <w:rsid w:val="388764A3"/>
    <w:rsid w:val="3AD735EE"/>
    <w:rsid w:val="3BC82B6A"/>
    <w:rsid w:val="3DEE3AD2"/>
    <w:rsid w:val="3E466385"/>
    <w:rsid w:val="3E4D3BDD"/>
    <w:rsid w:val="3E813CBF"/>
    <w:rsid w:val="3F7927D8"/>
    <w:rsid w:val="41DA7DB9"/>
    <w:rsid w:val="433A4E85"/>
    <w:rsid w:val="447637E8"/>
    <w:rsid w:val="46334724"/>
    <w:rsid w:val="46F340C9"/>
    <w:rsid w:val="49EF4858"/>
    <w:rsid w:val="4AD67CC5"/>
    <w:rsid w:val="4AE9742D"/>
    <w:rsid w:val="4BA67C06"/>
    <w:rsid w:val="4CA46ED7"/>
    <w:rsid w:val="4D013E21"/>
    <w:rsid w:val="4D8D7228"/>
    <w:rsid w:val="4DDD2C7F"/>
    <w:rsid w:val="4E147F73"/>
    <w:rsid w:val="4EA931BA"/>
    <w:rsid w:val="4F1826FF"/>
    <w:rsid w:val="4FCD194B"/>
    <w:rsid w:val="506C2AB0"/>
    <w:rsid w:val="51CB3A8E"/>
    <w:rsid w:val="524456CC"/>
    <w:rsid w:val="53344C63"/>
    <w:rsid w:val="5437467A"/>
    <w:rsid w:val="54604425"/>
    <w:rsid w:val="54F478A3"/>
    <w:rsid w:val="55295806"/>
    <w:rsid w:val="555E164E"/>
    <w:rsid w:val="55684751"/>
    <w:rsid w:val="55D3446A"/>
    <w:rsid w:val="589D0AFE"/>
    <w:rsid w:val="593F63D3"/>
    <w:rsid w:val="59E34602"/>
    <w:rsid w:val="5B423ECD"/>
    <w:rsid w:val="5BAE6D9A"/>
    <w:rsid w:val="5C166E0B"/>
    <w:rsid w:val="5C781AC0"/>
    <w:rsid w:val="5CDA4DA9"/>
    <w:rsid w:val="5D466B0F"/>
    <w:rsid w:val="5F09470F"/>
    <w:rsid w:val="60A03DAA"/>
    <w:rsid w:val="619134D5"/>
    <w:rsid w:val="61F50CD8"/>
    <w:rsid w:val="62820F98"/>
    <w:rsid w:val="63376618"/>
    <w:rsid w:val="633D2346"/>
    <w:rsid w:val="64035B71"/>
    <w:rsid w:val="64A96679"/>
    <w:rsid w:val="64DB31B9"/>
    <w:rsid w:val="65C24764"/>
    <w:rsid w:val="66571397"/>
    <w:rsid w:val="681842B0"/>
    <w:rsid w:val="688B12C0"/>
    <w:rsid w:val="689E66A8"/>
    <w:rsid w:val="6AE87D9C"/>
    <w:rsid w:val="6D0B588B"/>
    <w:rsid w:val="6D6B5DC9"/>
    <w:rsid w:val="6F615109"/>
    <w:rsid w:val="6F8561D3"/>
    <w:rsid w:val="70271B5B"/>
    <w:rsid w:val="71AC0C24"/>
    <w:rsid w:val="73FB2961"/>
    <w:rsid w:val="74FB24CD"/>
    <w:rsid w:val="75344BFC"/>
    <w:rsid w:val="7547419D"/>
    <w:rsid w:val="76286F0E"/>
    <w:rsid w:val="762B56CB"/>
    <w:rsid w:val="76AA31C3"/>
    <w:rsid w:val="773C67F0"/>
    <w:rsid w:val="77C3648D"/>
    <w:rsid w:val="77E33076"/>
    <w:rsid w:val="789A2290"/>
    <w:rsid w:val="7B5B0730"/>
    <w:rsid w:val="7DFA5EB0"/>
    <w:rsid w:val="7E394FC2"/>
    <w:rsid w:val="7E3E736E"/>
    <w:rsid w:val="7EFE5E07"/>
    <w:rsid w:val="7F4F0D7A"/>
    <w:rsid w:val="7FA55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2637</Words>
  <Characters>2866</Characters>
  <Lines>38</Lines>
  <Paragraphs>10</Paragraphs>
  <TotalTime>10</TotalTime>
  <ScaleCrop>false</ScaleCrop>
  <LinksUpToDate>false</LinksUpToDate>
  <CharactersWithSpaces>2891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毛鹏春 10.105.116.98</cp:lastModifiedBy>
  <cp:lastPrinted>2019-05-05T07:55:00Z</cp:lastPrinted>
  <dcterms:modified xsi:type="dcterms:W3CDTF">2026-03-17T02:43:33Z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5E8BD144427B4992B6AB84D4B376F7F3</vt:lpwstr>
  </property>
</Properties>
</file>