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岳阳县文化市场综合行政执法大队</w:t>
      </w:r>
    </w:p>
    <w:p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年度单位预算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eastAsia="黑体" w:cs="黑体"/>
          <w:kern w:val="0"/>
          <w:sz w:val="32"/>
          <w:szCs w:val="32"/>
        </w:rPr>
        <w:t>年单位预算说明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二、部门收支总体情况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（一）基本支出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（二）项目支出</w:t>
      </w:r>
    </w:p>
    <w:p>
      <w:pPr>
        <w:widowControl/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（二）“三公”经费预算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（三）一般性支出情况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（五）国有资产占有使用情况及新增资产配置情况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六、名词解释</w:t>
      </w: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</w:p>
    <w:p>
      <w:pPr>
        <w:pStyle w:val="2"/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年单位预算说明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1.指导全县文化和旅游市场发展，对文化和旅游市场经营进行行业监管，依法规范文化和旅游市场。负责对各类广播电视机构进行业务指导和行业监管，会同有关部门对网络视听节目服务机构进行管理。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2.指导全县文化旅游市场综合执法，组织查处文化、文物、广播电视、电影、旅游等市场的违法行为，维护市场秩序。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3.承办县委、县政府交办的其他任务。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岳阳县文化旅游市场综合执法大队属参照公务员管理的事业单位，在职在编人数21人，退休7人，内设4个股室:综合</w:t>
      </w:r>
      <w:r>
        <w:rPr>
          <w:rFonts w:hint="eastAsia" w:ascii="仿宋" w:hAnsi="仿宋" w:eastAsia="仿宋" w:cs="仿宋"/>
          <w:sz w:val="32"/>
          <w:szCs w:val="32"/>
        </w:rPr>
        <w:t>办公室、执法一中队、执法二中队、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财务室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297.44</w:t>
      </w:r>
      <w:r>
        <w:rPr>
          <w:rFonts w:hint="eastAsia" w:eastAsia="仿宋_GB2312" w:cs="仿宋_GB2312"/>
          <w:kern w:val="0"/>
          <w:sz w:val="32"/>
          <w:szCs w:val="32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297.44</w:t>
      </w:r>
      <w:r>
        <w:rPr>
          <w:rFonts w:hint="eastAsia" w:eastAsia="仿宋_GB2312" w:cs="仿宋_GB2312"/>
          <w:kern w:val="0"/>
          <w:sz w:val="32"/>
          <w:szCs w:val="32"/>
        </w:rPr>
        <w:t>万元，政府性基金预算拨款0万元，国有资本经营预算拨款0万元，财政专户管理资金0万元，上级补助收入0万元，事业单位经营收入0万元，上年结转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本单位202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eastAsia="仿宋_GB2312" w:cs="仿宋_GB2312"/>
          <w:color w:val="FF0000"/>
          <w:kern w:val="0"/>
          <w:sz w:val="32"/>
          <w:szCs w:val="32"/>
          <w:u w:val="single"/>
        </w:rPr>
        <w:t>16-18（政府性基金预算）、19（国有资本经营预算）、20表（财政专户管理资金预算）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</w:rPr>
        <w:t>收入较去年</w:t>
      </w:r>
      <w:r>
        <w:rPr>
          <w:rFonts w:hint="eastAsia" w:ascii="宋体" w:hAnsi="宋体" w:eastAsia="仿宋_GB2312" w:cs="宋体"/>
          <w:color w:val="3216DC"/>
          <w:kern w:val="0"/>
          <w:sz w:val="32"/>
          <w:szCs w:val="32"/>
          <w:u w:val="single"/>
          <w:lang w:val="en-US" w:eastAsia="zh-CN"/>
        </w:rPr>
        <w:t>资金增加16.77</w:t>
      </w:r>
      <w:r>
        <w:rPr>
          <w:rFonts w:hint="eastAsia" w:eastAsia="仿宋_GB2312" w:cs="仿宋_GB2312"/>
          <w:kern w:val="0"/>
          <w:sz w:val="32"/>
          <w:szCs w:val="32"/>
        </w:rPr>
        <w:t>万元，主要是因为人员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晋级调资增加了人员经费。</w:t>
      </w:r>
    </w:p>
    <w:p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 w:cs="仿宋_GB2312"/>
          <w:kern w:val="0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297.44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243.42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23.86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13.33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16.84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color w:val="3216DC"/>
          <w:sz w:val="32"/>
          <w:szCs w:val="32"/>
        </w:rPr>
        <w:t>（按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类级</w:t>
      </w:r>
      <w:r>
        <w:rPr>
          <w:rFonts w:hint="eastAsia" w:eastAsia="仿宋_GB2312"/>
          <w:color w:val="3216DC"/>
          <w:sz w:val="32"/>
          <w:szCs w:val="32"/>
        </w:rPr>
        <w:t>功能科目列出支出预算明细，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见表6</w:t>
      </w:r>
      <w:r>
        <w:rPr>
          <w:rFonts w:hint="eastAsia" w:eastAsia="仿宋_GB2312"/>
          <w:color w:val="3216DC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增加16.77</w:t>
      </w:r>
      <w:r>
        <w:rPr>
          <w:rFonts w:hint="eastAsia" w:eastAsia="仿宋_GB2312"/>
          <w:sz w:val="32"/>
          <w:szCs w:val="32"/>
        </w:rPr>
        <w:t>万元，其中基本支出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增加16.77</w:t>
      </w:r>
      <w:r>
        <w:rPr>
          <w:rFonts w:hint="eastAsia" w:eastAsia="仿宋_GB2312"/>
          <w:sz w:val="32"/>
          <w:szCs w:val="32"/>
        </w:rPr>
        <w:t>万元，项目支出</w:t>
      </w:r>
      <w:r>
        <w:rPr>
          <w:rFonts w:hint="eastAsia" w:ascii="宋体" w:hAnsi="宋体" w:cs="宋体"/>
          <w:color w:val="3216DC"/>
          <w:kern w:val="0"/>
          <w:sz w:val="32"/>
          <w:szCs w:val="32"/>
          <w:u w:val="single"/>
        </w:rPr>
        <w:t>与去年</w:t>
      </w:r>
      <w:r>
        <w:rPr>
          <w:rFonts w:hint="eastAsia" w:ascii="宋体" w:hAnsi="宋体" w:cs="宋体"/>
          <w:color w:val="3216DC"/>
          <w:kern w:val="0"/>
          <w:sz w:val="32"/>
          <w:szCs w:val="32"/>
          <w:u w:val="single"/>
          <w:lang w:val="en-US" w:eastAsia="zh-CN"/>
        </w:rPr>
        <w:t>基本持平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见表7、16、19、20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，将其基本支出、项目支出相加）</w:t>
      </w:r>
      <w:r>
        <w:rPr>
          <w:rFonts w:hint="eastAsia" w:eastAsia="仿宋_GB2312"/>
          <w:sz w:val="32"/>
          <w:szCs w:val="32"/>
        </w:rPr>
        <w:t>。其中基本支出较上年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增加</w:t>
      </w:r>
      <w:r>
        <w:rPr>
          <w:rFonts w:hint="eastAsia" w:eastAsia="仿宋_GB2312"/>
          <w:sz w:val="32"/>
          <w:szCs w:val="32"/>
        </w:rPr>
        <w:t>主要是因人员</w:t>
      </w:r>
      <w:r>
        <w:rPr>
          <w:rFonts w:hint="eastAsia" w:eastAsia="仿宋_GB2312"/>
          <w:sz w:val="32"/>
          <w:szCs w:val="32"/>
          <w:lang w:val="en-US" w:eastAsia="zh-CN"/>
        </w:rPr>
        <w:t>调资增加。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297.44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/>
          <w:sz w:val="32"/>
          <w:szCs w:val="32"/>
          <w:lang w:val="en-US" w:eastAsia="zh-CN"/>
        </w:rPr>
        <w:t>243.42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81.84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23.86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8.02</w:t>
      </w:r>
      <w:r>
        <w:rPr>
          <w:rFonts w:hint="eastAsia" w:eastAsia="仿宋_GB2312"/>
          <w:b/>
          <w:sz w:val="32"/>
          <w:szCs w:val="32"/>
        </w:rPr>
        <w:t>%，卫生健康支出</w:t>
      </w:r>
      <w:r>
        <w:rPr>
          <w:rFonts w:hint="eastAsia" w:eastAsia="仿宋_GB2312"/>
          <w:b/>
          <w:sz w:val="32"/>
          <w:szCs w:val="32"/>
          <w:lang w:val="en-US" w:eastAsia="zh-CN"/>
        </w:rPr>
        <w:t>13.33</w:t>
      </w:r>
      <w:r>
        <w:rPr>
          <w:rFonts w:hint="eastAsia" w:eastAsia="仿宋_GB2312"/>
          <w:b/>
          <w:sz w:val="32"/>
          <w:szCs w:val="32"/>
        </w:rPr>
        <w:t>万元，占比</w:t>
      </w:r>
      <w:r>
        <w:rPr>
          <w:rFonts w:hint="eastAsia" w:eastAsia="仿宋_GB2312"/>
          <w:b/>
          <w:sz w:val="32"/>
          <w:szCs w:val="32"/>
          <w:lang w:val="en-US" w:eastAsia="zh-CN"/>
        </w:rPr>
        <w:t>4.48</w:t>
      </w:r>
      <w:r>
        <w:rPr>
          <w:rFonts w:hint="eastAsia" w:eastAsia="仿宋_GB2312"/>
          <w:b/>
          <w:sz w:val="32"/>
          <w:szCs w:val="32"/>
        </w:rPr>
        <w:t>%，住房保障支出</w:t>
      </w:r>
      <w:r>
        <w:rPr>
          <w:rFonts w:hint="eastAsia" w:eastAsia="仿宋_GB2312"/>
          <w:b/>
          <w:sz w:val="32"/>
          <w:szCs w:val="32"/>
          <w:lang w:val="en-US" w:eastAsia="zh-CN"/>
        </w:rPr>
        <w:t>16.84</w:t>
      </w:r>
      <w:r>
        <w:rPr>
          <w:rFonts w:hint="eastAsia" w:eastAsia="仿宋_GB2312"/>
          <w:b/>
          <w:sz w:val="32"/>
          <w:szCs w:val="32"/>
        </w:rPr>
        <w:t>万元，占比</w:t>
      </w:r>
      <w:r>
        <w:rPr>
          <w:rFonts w:hint="eastAsia" w:eastAsia="仿宋_GB2312"/>
          <w:b/>
          <w:sz w:val="32"/>
          <w:szCs w:val="32"/>
          <w:lang w:val="en-US" w:eastAsia="zh-CN"/>
        </w:rPr>
        <w:t>5.66</w:t>
      </w:r>
      <w:r>
        <w:rPr>
          <w:rFonts w:hint="eastAsia" w:eastAsia="仿宋_GB2312"/>
          <w:b/>
          <w:sz w:val="32"/>
          <w:szCs w:val="32"/>
        </w:rPr>
        <w:t>%</w:t>
      </w:r>
      <w:r>
        <w:rPr>
          <w:rFonts w:hint="eastAsia" w:eastAsia="仿宋_GB2312" w:cs="仿宋_GB2312"/>
          <w:b/>
          <w:kern w:val="0"/>
          <w:sz w:val="32"/>
          <w:szCs w:val="32"/>
        </w:rPr>
        <w:t>……</w:t>
      </w:r>
      <w:r>
        <w:rPr>
          <w:rFonts w:hint="eastAsia" w:eastAsia="仿宋_GB2312" w:cs="仿宋_GB2312"/>
          <w:b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见表7</w:t>
      </w:r>
      <w:r>
        <w:rPr>
          <w:rFonts w:hint="eastAsia" w:eastAsia="仿宋_GB2312" w:cs="仿宋_GB2312"/>
          <w:b/>
          <w:color w:val="3216DC"/>
          <w:kern w:val="0"/>
          <w:sz w:val="32"/>
          <w:szCs w:val="32"/>
        </w:rPr>
        <w:t>，按类级功能科目说明每大类功能科目下的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金额和比例）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263.44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见表5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，是指为保障单位机构正常运转、完成日常工作任务而发生的各项支出，包括用于基本工资、津贴补贴等人员经费以及办公费、印刷费、水电费、差旅费等日常公用经费，其中：工资福利支出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224.32</w:t>
      </w:r>
      <w:r>
        <w:rPr>
          <w:rFonts w:hint="eastAsia" w:eastAsia="仿宋_GB2312" w:cs="仿宋_GB2312"/>
          <w:kern w:val="0"/>
          <w:sz w:val="32"/>
          <w:szCs w:val="32"/>
        </w:rPr>
        <w:t>万元，一般商品和服务支出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39.12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34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见表5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，是指单位为完成特定行政工作任务或事业发展目标而发生的支出，包括文化旅游市场专项工作经费与扫黄打非工作经费支出</w:t>
      </w:r>
      <w:r>
        <w:rPr>
          <w:rFonts w:hint="eastAsia" w:eastAsia="仿宋_GB2312"/>
          <w:sz w:val="32"/>
          <w:szCs w:val="32"/>
        </w:rPr>
        <w:t>。其中：文化</w:t>
      </w:r>
      <w:r>
        <w:rPr>
          <w:rFonts w:hint="eastAsia" w:eastAsia="仿宋_GB2312"/>
          <w:sz w:val="32"/>
          <w:szCs w:val="32"/>
          <w:lang w:val="en-US" w:eastAsia="zh-CN"/>
        </w:rPr>
        <w:t>旅游</w:t>
      </w:r>
      <w:r>
        <w:rPr>
          <w:rFonts w:hint="eastAsia" w:eastAsia="仿宋_GB2312"/>
          <w:sz w:val="32"/>
          <w:szCs w:val="32"/>
        </w:rPr>
        <w:t>市场</w:t>
      </w:r>
      <w:r>
        <w:rPr>
          <w:rFonts w:hint="eastAsia" w:eastAsia="仿宋_GB2312"/>
          <w:sz w:val="32"/>
          <w:szCs w:val="32"/>
          <w:lang w:val="en-US" w:eastAsia="zh-CN"/>
        </w:rPr>
        <w:t>执法24万元</w:t>
      </w:r>
      <w:r>
        <w:rPr>
          <w:rFonts w:hint="eastAsia" w:eastAsia="仿宋_GB2312"/>
          <w:sz w:val="32"/>
          <w:szCs w:val="32"/>
        </w:rPr>
        <w:t>，文化执法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万元。</w:t>
      </w:r>
      <w:bookmarkStart w:id="0" w:name="_GoBack"/>
      <w:bookmarkEnd w:id="0"/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202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年度本单位无政府性基金安排的支出，所以公开的附件</w:t>
      </w:r>
      <w:r>
        <w:rPr>
          <w:rFonts w:hint="eastAsia" w:eastAsia="仿宋_GB2312" w:cs="仿宋_GB2312"/>
          <w:color w:val="FF0000"/>
          <w:kern w:val="0"/>
          <w:sz w:val="32"/>
          <w:szCs w:val="32"/>
          <w:u w:val="single"/>
        </w:rPr>
        <w:t>16-18（政府性基金预算）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为空。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40" w:firstLineChars="200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39.12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见表14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与上年持平无变化。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见表15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减少0.6万元，严格执行中央八项规定，做到零接待。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年会议费预算0万元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见表14会议费+培训费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，拟召开0次会议，人数0人；培训费预算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元，拟开展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次培训，人数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人，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年政府采购预算总额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1.28</w:t>
      </w:r>
      <w:r>
        <w:rPr>
          <w:rFonts w:hint="eastAsia" w:eastAsia="仿宋_GB2312" w:cs="仿宋_GB2312"/>
          <w:kern w:val="0"/>
          <w:sz w:val="32"/>
          <w:szCs w:val="32"/>
        </w:rPr>
        <w:t>万元，其中工程类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万元，货物类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1.28</w:t>
      </w:r>
      <w:r>
        <w:rPr>
          <w:rFonts w:hint="eastAsia" w:eastAsia="仿宋_GB2312" w:cs="仿宋_GB2312"/>
          <w:kern w:val="0"/>
          <w:sz w:val="32"/>
          <w:szCs w:val="32"/>
        </w:rPr>
        <w:t>万元，服务类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（没有政府采购预算的也需要说明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“202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年度本单位未安排政府采购预算。”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</w:rPr>
        <w:t>报废处置公务用车0辆，</w:t>
      </w:r>
      <w:r>
        <w:rPr>
          <w:rFonts w:hint="eastAsia" w:eastAsia="仿宋_GB2312" w:cs="仿宋_GB2312"/>
          <w:kern w:val="0"/>
          <w:sz w:val="32"/>
          <w:szCs w:val="32"/>
        </w:rPr>
        <w:t>拟新增配置车辆0辆，其中领导干部用车0辆，一般公务用车0辆，其他用车0辆。202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kern w:val="0"/>
          <w:sz w:val="32"/>
          <w:szCs w:val="32"/>
        </w:rPr>
        <w:t>年拟新增配备单位价值50万元以上通用设备0台，单位价值100万元以上专用设备0台。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</w:rPr>
        <w:t>202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</w:rPr>
        <w:t>年度本单位未计划处置或新增车辆、设备等。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297.44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263.44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34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附件：岳阳县文化市场综合行政执法大队预算公开表格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76DB13-6253-41B8-90AC-529C69585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CC7CBD7-965F-49A9-80FA-8A441AE9705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FD1E6EA-ABA8-4C65-9A4B-5ED7034BDD9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9FB1351-9D00-4644-BB79-BCE6BD0710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F4F36B-43AB-495F-843C-A1CF2F29064E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1167777B-FD42-4B30-8812-A002463556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0B39DA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7232C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20686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34FE1"/>
    <w:rsid w:val="008459F5"/>
    <w:rsid w:val="008511BD"/>
    <w:rsid w:val="00854FCA"/>
    <w:rsid w:val="0085589C"/>
    <w:rsid w:val="008819C8"/>
    <w:rsid w:val="008827C7"/>
    <w:rsid w:val="00893563"/>
    <w:rsid w:val="008974A0"/>
    <w:rsid w:val="008B6C7A"/>
    <w:rsid w:val="008C1057"/>
    <w:rsid w:val="008C36D9"/>
    <w:rsid w:val="008E61DB"/>
    <w:rsid w:val="008E6571"/>
    <w:rsid w:val="009037BC"/>
    <w:rsid w:val="009143CB"/>
    <w:rsid w:val="009247CD"/>
    <w:rsid w:val="0093410B"/>
    <w:rsid w:val="009844AC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3377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20EB1"/>
    <w:rsid w:val="00C36022"/>
    <w:rsid w:val="00C5316A"/>
    <w:rsid w:val="00CA5057"/>
    <w:rsid w:val="00CB0DBD"/>
    <w:rsid w:val="00CB1E6F"/>
    <w:rsid w:val="00CB5C8F"/>
    <w:rsid w:val="00CF2BA3"/>
    <w:rsid w:val="00D1730A"/>
    <w:rsid w:val="00D279D7"/>
    <w:rsid w:val="00D60DAB"/>
    <w:rsid w:val="00D6235D"/>
    <w:rsid w:val="00D75CFA"/>
    <w:rsid w:val="00D84D40"/>
    <w:rsid w:val="00D96317"/>
    <w:rsid w:val="00DA7A99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18BB"/>
    <w:rsid w:val="00EA5C43"/>
    <w:rsid w:val="00EC052E"/>
    <w:rsid w:val="00EE5E87"/>
    <w:rsid w:val="00F05F5B"/>
    <w:rsid w:val="00F06D7F"/>
    <w:rsid w:val="00F078E9"/>
    <w:rsid w:val="00F144AD"/>
    <w:rsid w:val="00F24836"/>
    <w:rsid w:val="00F36C19"/>
    <w:rsid w:val="00F65D16"/>
    <w:rsid w:val="00F7366B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BB3F68"/>
    <w:rsid w:val="15D9563A"/>
    <w:rsid w:val="178928D3"/>
    <w:rsid w:val="19420C90"/>
    <w:rsid w:val="19D5374E"/>
    <w:rsid w:val="1AC31CB7"/>
    <w:rsid w:val="1BEF6124"/>
    <w:rsid w:val="1EAD2225"/>
    <w:rsid w:val="1EC13A96"/>
    <w:rsid w:val="1F1F1226"/>
    <w:rsid w:val="254C2E19"/>
    <w:rsid w:val="26253DA1"/>
    <w:rsid w:val="26570D53"/>
    <w:rsid w:val="27D848B8"/>
    <w:rsid w:val="2CDB483B"/>
    <w:rsid w:val="2FC40521"/>
    <w:rsid w:val="3405688C"/>
    <w:rsid w:val="34E11E02"/>
    <w:rsid w:val="354A1B9C"/>
    <w:rsid w:val="388764A3"/>
    <w:rsid w:val="3BA10234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63E3E14"/>
    <w:rsid w:val="593F63D3"/>
    <w:rsid w:val="5B423ECD"/>
    <w:rsid w:val="5CDA4DA9"/>
    <w:rsid w:val="5DB40048"/>
    <w:rsid w:val="62820F98"/>
    <w:rsid w:val="62873CEC"/>
    <w:rsid w:val="64035B71"/>
    <w:rsid w:val="64DB31B9"/>
    <w:rsid w:val="681842B0"/>
    <w:rsid w:val="6AE87D9C"/>
    <w:rsid w:val="6E8D1116"/>
    <w:rsid w:val="6F8561D3"/>
    <w:rsid w:val="70271B5B"/>
    <w:rsid w:val="71AC0C24"/>
    <w:rsid w:val="773C67F0"/>
    <w:rsid w:val="7DFA5EB0"/>
    <w:rsid w:val="7E3E736E"/>
    <w:rsid w:val="7E897283"/>
    <w:rsid w:val="7F5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501</Words>
  <Characters>2857</Characters>
  <Lines>23</Lines>
  <Paragraphs>6</Paragraphs>
  <TotalTime>122</TotalTime>
  <ScaleCrop>false</ScaleCrop>
  <LinksUpToDate>false</LinksUpToDate>
  <CharactersWithSpaces>3352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2026-03-13T07:19:52Z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5E8BD144427B4992B6AB84D4B376F7F3</vt:lpwstr>
  </property>
</Properties>
</file>