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D6C4E">
      <w:pPr>
        <w:widowControl/>
        <w:rPr>
          <w:rFonts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023934FA">
      <w:pPr>
        <w:widowControl/>
        <w:jc w:val="center"/>
        <w:rPr>
          <w:rFonts w:ascii="微软雅黑" w:hAnsi="微软雅黑" w:eastAsia="微软雅黑" w:cs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岳阳县文物保护中心2026年度</w:t>
      </w:r>
    </w:p>
    <w:p w14:paraId="20BA1BAC">
      <w:pPr>
        <w:widowControl/>
        <w:jc w:val="center"/>
        <w:rPr>
          <w:rFonts w:ascii="微软雅黑" w:hAnsi="微软雅黑" w:eastAsia="微软雅黑" w:cs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单位预算</w:t>
      </w:r>
    </w:p>
    <w:p w14:paraId="1B37B252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 w14:paraId="1BFAC22F"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07CC3CA0"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4A09D528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第一部分2026年单位预算说明</w:t>
      </w:r>
    </w:p>
    <w:p w14:paraId="00F57B30"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 w14:paraId="2CD8833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440E92B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1CBBBFF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437A41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0EC8F30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2CAB816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0BC88DC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7EF3C5FE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61936D3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636F559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4BDC7EB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4F4EB57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0A33F56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01C666E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2BFC229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125502A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04E1B57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72B7996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2F383C5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274EE85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37226DB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036BD2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 w14:paraId="28D8A2D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0D445549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第一部分2026年单位预算说明</w:t>
      </w:r>
    </w:p>
    <w:p w14:paraId="3E1F30C1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 w14:paraId="2B54D791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 w14:paraId="39445219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7A64FC60">
      <w:pPr>
        <w:tabs>
          <w:tab w:val="left" w:pos="5138"/>
        </w:tabs>
        <w:spacing w:line="56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（一）承担宣传贯彻《中华人民共和国文物保护法》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相关事务性工作</w:t>
      </w:r>
      <w:r>
        <w:rPr>
          <w:rFonts w:hint="eastAsia" w:ascii="仿宋_GB2312" w:hAnsi="仿宋" w:eastAsia="仿宋_GB2312" w:cs="仿宋"/>
          <w:sz w:val="32"/>
          <w:szCs w:val="32"/>
        </w:rPr>
        <w:t>，增强文物保护意识。</w:t>
      </w:r>
    </w:p>
    <w:p w14:paraId="34619F66">
      <w:pPr>
        <w:tabs>
          <w:tab w:val="left" w:pos="5138"/>
        </w:tabs>
        <w:spacing w:line="56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（二）承担拟订有关不可移动文物保护管理办法、组织编制全县不可移动文物保护规划、提出年度文物保护计划等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相关事务性工作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184D3E8B">
      <w:pPr>
        <w:tabs>
          <w:tab w:val="left" w:pos="5138"/>
        </w:tabs>
        <w:spacing w:line="56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（三）承担全县文物与古迹的调查研究、勘探、维修、保护等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相关事务性工作，</w:t>
      </w:r>
      <w:r>
        <w:rPr>
          <w:rFonts w:hint="eastAsia" w:ascii="仿宋_GB2312" w:hAnsi="仿宋" w:eastAsia="仿宋_GB2312" w:cs="仿宋"/>
          <w:sz w:val="32"/>
          <w:szCs w:val="32"/>
        </w:rPr>
        <w:t>配合全县文物的抢救性发掘和考古课题研究。</w:t>
      </w:r>
    </w:p>
    <w:p w14:paraId="7B123979">
      <w:pPr>
        <w:tabs>
          <w:tab w:val="left" w:pos="5138"/>
        </w:tabs>
        <w:spacing w:line="56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（四）承担文物科技保护、修复、鉴定、研究等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相关事务性工作</w:t>
      </w:r>
      <w:r>
        <w:rPr>
          <w:rFonts w:hint="eastAsia" w:ascii="仿宋_GB2312" w:hAnsi="仿宋" w:eastAsia="仿宋_GB2312" w:cs="仿宋"/>
          <w:sz w:val="32"/>
          <w:szCs w:val="32"/>
        </w:rPr>
        <w:t>；</w:t>
      </w:r>
    </w:p>
    <w:p w14:paraId="6615C619">
      <w:pPr>
        <w:tabs>
          <w:tab w:val="left" w:pos="5138"/>
        </w:tabs>
        <w:spacing w:line="56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（五）承担全县文物保护单位做好文物“四有”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相关事务性工作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5C085F54">
      <w:pPr>
        <w:tabs>
          <w:tab w:val="left" w:pos="5138"/>
        </w:tabs>
        <w:spacing w:line="560" w:lineRule="exact"/>
        <w:ind w:firstLine="640"/>
        <w:rPr>
          <w:rFonts w:ascii="??_GB2312" w:hAnsi="??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（六）承办县文化旅游广电局交办的其他事项。</w:t>
      </w:r>
    </w:p>
    <w:p w14:paraId="2393CB8F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15B19997">
      <w:pPr>
        <w:tabs>
          <w:tab w:val="left" w:pos="5138"/>
        </w:tabs>
        <w:spacing w:line="56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（一）办公室</w:t>
      </w:r>
    </w:p>
    <w:p w14:paraId="21114CB0">
      <w:pPr>
        <w:tabs>
          <w:tab w:val="left" w:pos="5138"/>
        </w:tabs>
        <w:spacing w:line="560" w:lineRule="exact"/>
        <w:ind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负责岳阳县文物保护中心的日常管理工作。负责文秘、会务、档案、财务、教育培训、后勤等工作。</w:t>
      </w:r>
    </w:p>
    <w:p w14:paraId="7231E39E">
      <w:pPr>
        <w:pStyle w:val="8"/>
        <w:tabs>
          <w:tab w:val="left" w:pos="5138"/>
        </w:tabs>
        <w:spacing w:line="560" w:lineRule="exact"/>
        <w:ind w:left="220" w:firstLine="42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（二）文物保护股</w:t>
      </w:r>
    </w:p>
    <w:p w14:paraId="32AFFA57">
      <w:pPr>
        <w:pStyle w:val="8"/>
        <w:tabs>
          <w:tab w:val="left" w:pos="5138"/>
        </w:tabs>
        <w:spacing w:line="560" w:lineRule="exact"/>
        <w:ind w:firstLine="64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开展文物、古迹的调查、勘探和抢救性发掘工作。开展文物科技保护、修复、鉴定、研究等工作。</w:t>
      </w:r>
    </w:p>
    <w:p w14:paraId="60121FE2">
      <w:pPr>
        <w:pStyle w:val="8"/>
        <w:tabs>
          <w:tab w:val="left" w:pos="5138"/>
        </w:tabs>
        <w:spacing w:line="560" w:lineRule="exact"/>
        <w:ind w:firstLine="64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（三）项目建设股</w:t>
      </w:r>
    </w:p>
    <w:p w14:paraId="26139433">
      <w:pPr>
        <w:pStyle w:val="8"/>
        <w:tabs>
          <w:tab w:val="left" w:pos="5138"/>
        </w:tabs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组织编制文物保护单位保护修缮专项规划、方案、经费预算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相关事务性工作</w:t>
      </w:r>
      <w:r>
        <w:rPr>
          <w:rFonts w:hint="eastAsia" w:ascii="仿宋_GB2312" w:hAnsi="仿宋" w:eastAsia="仿宋_GB2312" w:cs="仿宋"/>
          <w:sz w:val="32"/>
          <w:szCs w:val="32"/>
        </w:rPr>
        <w:t>。做好文物保护工程方案论证、设计、施工、质量监督与验收等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相关事务性工作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0B942C8F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 w14:paraId="2E96376C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4E81B7BE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2026年本单位收入预算77.4万元，其中，一般公共预算拨款77.4万元，政府性基金预算拨款0万元，国有资本经营预算拨款0万元，财政专户管理资金0万元，上级补助收入0万元，事业单位经营收入0万元，上年结转0万元。收入较去年增加15.46万元，主要是因为本年度人员</w:t>
      </w:r>
      <w:r>
        <w:rPr>
          <w:rFonts w:hint="eastAsia" w:ascii="宋体" w:hAnsi="宋体" w:cs="宋体"/>
          <w:kern w:val="0"/>
          <w:sz w:val="32"/>
          <w:szCs w:val="32"/>
        </w:rPr>
        <w:t>调入。</w:t>
      </w:r>
    </w:p>
    <w:p w14:paraId="0FAFA8AE"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4DD27EFD"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2026年本单位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</w:rPr>
        <w:t>77.4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文化旅游体育和</w:t>
      </w:r>
      <w:r>
        <w:rPr>
          <w:rFonts w:hint="eastAsia" w:ascii="宋体" w:hAnsi="宋体" w:cs="宋体"/>
          <w:sz w:val="32"/>
          <w:szCs w:val="32"/>
        </w:rPr>
        <w:t>传媒支出</w:t>
      </w:r>
      <w:r>
        <w:rPr>
          <w:rFonts w:hint="eastAsia" w:eastAsia="仿宋_GB2312"/>
          <w:sz w:val="32"/>
          <w:szCs w:val="32"/>
        </w:rPr>
        <w:t>科目63.22万元，</w:t>
      </w:r>
      <w:r>
        <w:rPr>
          <w:rFonts w:hint="eastAsia" w:ascii="宋体" w:hAnsi="宋体" w:cs="宋体"/>
          <w:sz w:val="32"/>
          <w:szCs w:val="32"/>
        </w:rPr>
        <w:t>社会保障和就业支出6.26万元，卫生健康支出3.5万元，住房保障支出4.42万元。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支出较去年增加</w:t>
      </w:r>
      <w:r>
        <w:rPr>
          <w:rFonts w:hint="eastAsia" w:eastAsia="仿宋_GB2312" w:cs="仿宋_GB2312"/>
          <w:kern w:val="0"/>
          <w:sz w:val="32"/>
          <w:szCs w:val="32"/>
        </w:rPr>
        <w:t>15.46</w:t>
      </w:r>
      <w:r>
        <w:rPr>
          <w:rFonts w:hint="eastAsia" w:eastAsia="仿宋_GB2312"/>
          <w:sz w:val="32"/>
          <w:szCs w:val="32"/>
        </w:rPr>
        <w:t>万元，其中基本支出增加</w:t>
      </w:r>
      <w:r>
        <w:rPr>
          <w:rFonts w:hint="eastAsia" w:ascii="宋体" w:hAnsi="宋体" w:cs="宋体"/>
          <w:sz w:val="32"/>
          <w:szCs w:val="32"/>
        </w:rPr>
        <w:t>14.76</w:t>
      </w:r>
      <w:r>
        <w:rPr>
          <w:rFonts w:hint="eastAsia" w:eastAsia="仿宋_GB2312"/>
          <w:sz w:val="32"/>
          <w:szCs w:val="32"/>
        </w:rPr>
        <w:t>万元，项目支出增加</w:t>
      </w:r>
      <w:r>
        <w:rPr>
          <w:rFonts w:hint="eastAsia" w:ascii="宋体" w:hAnsi="宋体" w:cs="宋体"/>
          <w:sz w:val="32"/>
          <w:szCs w:val="32"/>
        </w:rPr>
        <w:t>0.7</w:t>
      </w:r>
      <w:r>
        <w:rPr>
          <w:rFonts w:hint="eastAsia" w:eastAsia="仿宋_GB2312"/>
          <w:sz w:val="32"/>
          <w:szCs w:val="32"/>
        </w:rPr>
        <w:t>万元。其中基本支出较上年增加主要是因为</w:t>
      </w:r>
      <w:r>
        <w:rPr>
          <w:rFonts w:hint="eastAsia" w:ascii="宋体" w:hAnsi="宋体" w:cs="宋体"/>
          <w:sz w:val="32"/>
          <w:szCs w:val="32"/>
        </w:rPr>
        <w:t>人员增加</w:t>
      </w:r>
      <w:r>
        <w:rPr>
          <w:rFonts w:hint="eastAsia" w:eastAsia="仿宋_GB2312"/>
          <w:sz w:val="32"/>
          <w:szCs w:val="32"/>
        </w:rPr>
        <w:t>，项目支出增加主要是因为人物</w:t>
      </w:r>
      <w:r>
        <w:rPr>
          <w:rFonts w:hint="eastAsia" w:ascii="宋体" w:hAnsi="宋体" w:cs="宋体"/>
          <w:sz w:val="32"/>
          <w:szCs w:val="32"/>
        </w:rPr>
        <w:t>普查业务增加。</w:t>
      </w:r>
    </w:p>
    <w:p w14:paraId="217564D1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 w14:paraId="17742F84">
      <w:pPr>
        <w:widowControl/>
        <w:spacing w:line="60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2026年一般公共预算拨款支出预算77.4万元，其中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文化旅游体育和</w:t>
      </w:r>
      <w:r>
        <w:rPr>
          <w:rFonts w:hint="eastAsia" w:ascii="宋体" w:hAnsi="宋体" w:cs="宋体"/>
          <w:sz w:val="32"/>
          <w:szCs w:val="32"/>
        </w:rPr>
        <w:t>传媒支出</w:t>
      </w:r>
      <w:r>
        <w:rPr>
          <w:rFonts w:hint="eastAsia" w:eastAsia="仿宋_GB2312"/>
          <w:sz w:val="32"/>
          <w:szCs w:val="32"/>
        </w:rPr>
        <w:t>科目63.22万元</w:t>
      </w:r>
      <w:r>
        <w:rPr>
          <w:rFonts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</w:rPr>
        <w:t>82%</w:t>
      </w:r>
      <w:r>
        <w:rPr>
          <w:rFonts w:eastAsia="仿宋_GB2312"/>
          <w:sz w:val="32"/>
          <w:szCs w:val="32"/>
        </w:rPr>
        <w:t>；</w:t>
      </w:r>
      <w:r>
        <w:rPr>
          <w:rFonts w:hint="eastAsia" w:ascii="宋体" w:hAnsi="宋体" w:cs="宋体"/>
          <w:sz w:val="32"/>
          <w:szCs w:val="32"/>
        </w:rPr>
        <w:t>社会保障和就业支出6.26万元</w:t>
      </w:r>
      <w:r>
        <w:rPr>
          <w:rFonts w:hint="eastAsia" w:eastAsia="仿宋_GB2312"/>
          <w:sz w:val="32"/>
          <w:szCs w:val="32"/>
        </w:rPr>
        <w:t>，占8%，</w:t>
      </w:r>
      <w:r>
        <w:rPr>
          <w:rFonts w:hint="eastAsia" w:ascii="宋体" w:hAnsi="宋体" w:cs="宋体"/>
          <w:sz w:val="32"/>
          <w:szCs w:val="32"/>
        </w:rPr>
        <w:t>卫生健康支出3.5万，占5%，住房保障支出4.42万元，占6%。</w:t>
      </w:r>
    </w:p>
    <w:p w14:paraId="02525B21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 w14:paraId="0E1C3D24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2026年基本支出年初预算数为70.4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0F9DB458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（二）项目支出：2026年项目支出年初预算数为7万元，是指单位为完成特定行政工作任务或事业发展目标而发生的支出，包括有关业务工作经费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、运行维护经费等。其中：业务工作经费支出</w:t>
      </w:r>
      <w:r>
        <w:rPr>
          <w:rFonts w:hint="eastAsia" w:eastAsia="仿宋_GB2312" w:cs="仿宋_GB2312"/>
          <w:kern w:val="0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万元，主要用于人物</w:t>
      </w:r>
      <w:r>
        <w:rPr>
          <w:rFonts w:hint="eastAsia" w:ascii="宋体" w:hAnsi="宋体" w:cs="宋体"/>
          <w:sz w:val="32"/>
          <w:szCs w:val="32"/>
        </w:rPr>
        <w:t>普查</w:t>
      </w:r>
      <w:r>
        <w:rPr>
          <w:rFonts w:hint="eastAsia" w:eastAsia="仿宋_GB2312"/>
          <w:sz w:val="32"/>
          <w:szCs w:val="32"/>
        </w:rPr>
        <w:t>等方面</w:t>
      </w:r>
      <w:r>
        <w:rPr>
          <w:rFonts w:hint="eastAsia" w:ascii="宋体" w:hAnsi="宋体" w:cs="宋体"/>
          <w:sz w:val="32"/>
          <w:szCs w:val="32"/>
        </w:rPr>
        <w:t>。</w:t>
      </w:r>
    </w:p>
    <w:p w14:paraId="769C91BF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 w14:paraId="5AF228CD"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2026年政府性基金预算拨款支出预算0万元：本单位无政府基金</w:t>
      </w:r>
    </w:p>
    <w:p w14:paraId="1C9B832F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 w14:paraId="64A1A9B9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3302D2C2">
      <w:pPr>
        <w:autoSpaceDE w:val="0"/>
        <w:autoSpaceDN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本单位2026年机关运行经费当年一般公共预算拨款</w:t>
      </w:r>
      <w:r>
        <w:rPr>
          <w:rFonts w:hint="eastAsia" w:eastAsia="仿宋_GB2312"/>
          <w:kern w:val="0"/>
          <w:sz w:val="32"/>
          <w:szCs w:val="32"/>
        </w:rPr>
        <w:t>11.16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</w:rPr>
        <w:t>上一年增加</w:t>
      </w:r>
      <w:r>
        <w:rPr>
          <w:rFonts w:hint="eastAsia" w:ascii="宋体" w:hAnsi="宋体" w:cs="宋体"/>
          <w:kern w:val="0"/>
          <w:sz w:val="32"/>
          <w:szCs w:val="32"/>
        </w:rPr>
        <w:t>1.92</w:t>
      </w:r>
      <w:r>
        <w:rPr>
          <w:rFonts w:hint="eastAsia" w:eastAsia="仿宋_GB2312" w:cs="仿宋_GB2312"/>
          <w:kern w:val="0"/>
          <w:sz w:val="32"/>
          <w:szCs w:val="32"/>
        </w:rPr>
        <w:t>元，增加</w:t>
      </w:r>
      <w:r>
        <w:rPr>
          <w:rFonts w:hint="eastAsia" w:ascii="宋体" w:hAnsi="宋体" w:cs="宋体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 w:cs="仿宋_GB2312"/>
          <w:kern w:val="0"/>
          <w:sz w:val="32"/>
          <w:szCs w:val="32"/>
        </w:rPr>
        <w:t>。主要原因是人员</w:t>
      </w:r>
      <w:r>
        <w:rPr>
          <w:rFonts w:hint="eastAsia" w:ascii="宋体" w:hAnsi="宋体" w:cs="宋体"/>
          <w:kern w:val="0"/>
          <w:sz w:val="32"/>
          <w:szCs w:val="32"/>
        </w:rPr>
        <w:t>调入。</w:t>
      </w:r>
    </w:p>
    <w:p w14:paraId="30BEB56B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540F6093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本单位2026年“三公”经费预算数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万元，其中公务用车购置费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万元。比</w:t>
      </w:r>
      <w:r>
        <w:rPr>
          <w:rFonts w:hint="eastAsia" w:eastAsia="仿宋_GB2312"/>
          <w:kern w:val="0"/>
          <w:sz w:val="32"/>
          <w:szCs w:val="32"/>
        </w:rPr>
        <w:t>上一年减少</w:t>
      </w:r>
      <w:r>
        <w:rPr>
          <w:rFonts w:hint="eastAsia" w:ascii="宋体" w:hAnsi="宋体" w:cs="宋体"/>
          <w:kern w:val="0"/>
          <w:sz w:val="32"/>
          <w:szCs w:val="32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万元，降低</w:t>
      </w:r>
      <w:r>
        <w:rPr>
          <w:rFonts w:hint="eastAsia" w:eastAsia="仿宋_GB2312"/>
          <w:kern w:val="0"/>
          <w:sz w:val="32"/>
          <w:szCs w:val="32"/>
        </w:rPr>
        <w:t>100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ascii="宋体" w:hAnsi="宋体" w:cs="宋体"/>
          <w:kern w:val="0"/>
          <w:sz w:val="32"/>
          <w:szCs w:val="32"/>
        </w:rPr>
        <w:t>响应党中央政策实行零接待。</w:t>
      </w:r>
    </w:p>
    <w:p w14:paraId="34B447A9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 w14:paraId="2DB9A928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本单位2026年会议费预算0万元，拟召开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次会议，人数0人，内容无；培训费预算0万元，拟开展0次培训，人数0人，内容为无；计划举办节庆、晚会、论坛、赛事活动0万元，内容为无。</w:t>
      </w:r>
    </w:p>
    <w:p w14:paraId="13B15E4E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 w14:paraId="76BABA24">
      <w:pPr>
        <w:widowControl/>
        <w:spacing w:line="600" w:lineRule="exact"/>
        <w:ind w:firstLine="640" w:firstLineChars="20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本单位2026年政府采购预算总额</w:t>
      </w:r>
      <w:r>
        <w:rPr>
          <w:rFonts w:hint="eastAsia" w:eastAsia="仿宋_GB2312"/>
          <w:kern w:val="0"/>
          <w:sz w:val="32"/>
          <w:szCs w:val="32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万元，其中工程类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万元，货物类</w:t>
      </w:r>
      <w:r>
        <w:rPr>
          <w:rFonts w:hint="eastAsia" w:eastAsia="仿宋_GB2312"/>
          <w:kern w:val="0"/>
          <w:sz w:val="32"/>
          <w:szCs w:val="32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万元，服务类</w:t>
      </w:r>
      <w:r>
        <w:rPr>
          <w:rFonts w:hint="eastAsia" w:eastAsia="仿宋_GB2312"/>
          <w:kern w:val="0"/>
          <w:sz w:val="32"/>
          <w:szCs w:val="32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</w:p>
    <w:p w14:paraId="1F7F82A0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 w14:paraId="57FB4B7C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截至上一年12月底，本单位共有车辆0辆，其中领导干部用车0辆，一般公务用车0辆，其</w:t>
      </w:r>
      <w:bookmarkStart w:id="0" w:name="_GoBack"/>
      <w:bookmarkEnd w:id="0"/>
      <w:r>
        <w:rPr>
          <w:rFonts w:hint="eastAsia" w:eastAsia="仿宋_GB2312" w:cs="仿宋_GB2312"/>
          <w:kern w:val="0"/>
          <w:sz w:val="32"/>
          <w:szCs w:val="32"/>
        </w:rPr>
        <w:t>他用车0辆。单位价值50万元以上通用设备0台，单位价值100万元以上专用设备0台。</w:t>
      </w:r>
    </w:p>
    <w:p w14:paraId="3E68FBC5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2026年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</w:rPr>
        <w:t>报废处置公务用车0辆，</w:t>
      </w:r>
      <w:r>
        <w:rPr>
          <w:rFonts w:hint="eastAsia" w:eastAsia="仿宋_GB2312" w:cs="仿宋_GB2312"/>
          <w:kern w:val="0"/>
          <w:sz w:val="32"/>
          <w:szCs w:val="32"/>
        </w:rPr>
        <w:t>拟新增配置车辆0辆，其中领导干部用车0辆，一般公务用车0辆，其他用车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辆，主要用于无，资金来源为无。</w:t>
      </w:r>
    </w:p>
    <w:p w14:paraId="4B6FD3A2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6"/>
          <w:szCs w:val="36"/>
        </w:rPr>
      </w:pPr>
      <w:r>
        <w:rPr>
          <w:rFonts w:hint="eastAsia" w:eastAsia="仿宋_GB2312" w:cs="仿宋_GB2312"/>
          <w:kern w:val="0"/>
          <w:sz w:val="32"/>
          <w:szCs w:val="32"/>
        </w:rPr>
        <w:t>2026年拟新增配备单位价值50万元以上通用设备0台，单位价值100万元以上专用设备0台。</w:t>
      </w:r>
      <w:r>
        <w:rPr>
          <w:rFonts w:hint="eastAsia" w:ascii="宋体" w:hAnsi="宋体" w:cs="宋体"/>
          <w:kern w:val="0"/>
          <w:sz w:val="32"/>
          <w:szCs w:val="32"/>
        </w:rPr>
        <w:t>2026年度本单位未计划处置或新增国辆、设备等。</w:t>
      </w:r>
    </w:p>
    <w:p w14:paraId="3457C004"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 w14:paraId="2EF80820"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2026年单位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</w:rPr>
        <w:t>77.4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70.4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详见文尾附表中单位预算公开表格的表22-23。</w:t>
      </w:r>
    </w:p>
    <w:p w14:paraId="294F7608"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 w14:paraId="168A82B2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245024D8"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779C37CF"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第二部分单位预算公开表格</w:t>
      </w:r>
    </w:p>
    <w:p w14:paraId="269FE31C"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附附件：XX单位预算公开表格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EC356-510B-4311-BEAB-C74D5FA15C6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9BC15E-B782-4825-B347-179358152D3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1AE777E0-37BC-487A-83C8-F7F1D4287F8E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28B9414-EECD-4B56-8148-3868244388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5F5180D-48A7-4438-A063-A374D59BADF2}"/>
  </w:font>
  <w:font w:name="??_GB2312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62AAE6D7-49E1-49C8-BC8D-C2AFD642F07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9BE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4ODk0NzM2ZTlhZmRjMmU3YmRjN2NiZDIwYmYyMjIifQ=="/>
  </w:docVars>
  <w:rsids>
    <w:rsidRoot w:val="00CA5057"/>
    <w:rsid w:val="00001697"/>
    <w:rsid w:val="000034D6"/>
    <w:rsid w:val="00031745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04C0"/>
    <w:rsid w:val="0025517E"/>
    <w:rsid w:val="00270E85"/>
    <w:rsid w:val="002B0968"/>
    <w:rsid w:val="002C117B"/>
    <w:rsid w:val="002E34B1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0678"/>
    <w:rsid w:val="004B4F1A"/>
    <w:rsid w:val="004B766D"/>
    <w:rsid w:val="004C6D51"/>
    <w:rsid w:val="004D0879"/>
    <w:rsid w:val="004E302C"/>
    <w:rsid w:val="00533B85"/>
    <w:rsid w:val="0054440F"/>
    <w:rsid w:val="00571657"/>
    <w:rsid w:val="005944CA"/>
    <w:rsid w:val="005E6320"/>
    <w:rsid w:val="006137D9"/>
    <w:rsid w:val="00617392"/>
    <w:rsid w:val="00637664"/>
    <w:rsid w:val="00687143"/>
    <w:rsid w:val="00695750"/>
    <w:rsid w:val="006C1259"/>
    <w:rsid w:val="006E013D"/>
    <w:rsid w:val="006E1B80"/>
    <w:rsid w:val="006E335E"/>
    <w:rsid w:val="006F2FD2"/>
    <w:rsid w:val="00714685"/>
    <w:rsid w:val="00754296"/>
    <w:rsid w:val="00755471"/>
    <w:rsid w:val="00765885"/>
    <w:rsid w:val="007B0161"/>
    <w:rsid w:val="007C48A3"/>
    <w:rsid w:val="00804C21"/>
    <w:rsid w:val="00812DE3"/>
    <w:rsid w:val="00832EBB"/>
    <w:rsid w:val="008459F5"/>
    <w:rsid w:val="008511BD"/>
    <w:rsid w:val="00854FCA"/>
    <w:rsid w:val="0085589C"/>
    <w:rsid w:val="00877CD5"/>
    <w:rsid w:val="008827C7"/>
    <w:rsid w:val="00884833"/>
    <w:rsid w:val="0089304D"/>
    <w:rsid w:val="00893563"/>
    <w:rsid w:val="008974A0"/>
    <w:rsid w:val="008C1057"/>
    <w:rsid w:val="008E61DB"/>
    <w:rsid w:val="008E6571"/>
    <w:rsid w:val="009111FF"/>
    <w:rsid w:val="009143CB"/>
    <w:rsid w:val="0093410B"/>
    <w:rsid w:val="00945041"/>
    <w:rsid w:val="00947429"/>
    <w:rsid w:val="00990520"/>
    <w:rsid w:val="00995AF1"/>
    <w:rsid w:val="009A2369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23CE1"/>
    <w:rsid w:val="00B366B4"/>
    <w:rsid w:val="00B82665"/>
    <w:rsid w:val="00BC04D7"/>
    <w:rsid w:val="00BE4229"/>
    <w:rsid w:val="00BF5A08"/>
    <w:rsid w:val="00BF63A5"/>
    <w:rsid w:val="00C36022"/>
    <w:rsid w:val="00C5316A"/>
    <w:rsid w:val="00C7695E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8670D"/>
    <w:rsid w:val="00D96317"/>
    <w:rsid w:val="00DB63BF"/>
    <w:rsid w:val="00DB7FC4"/>
    <w:rsid w:val="00DD2BA7"/>
    <w:rsid w:val="00DD573A"/>
    <w:rsid w:val="00DE2FF0"/>
    <w:rsid w:val="00DF01C8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54EC"/>
    <w:rsid w:val="00F36C19"/>
    <w:rsid w:val="00F50FEC"/>
    <w:rsid w:val="00F74B02"/>
    <w:rsid w:val="00F97B9D"/>
    <w:rsid w:val="00FB0434"/>
    <w:rsid w:val="00FB1B41"/>
    <w:rsid w:val="00FB3CC9"/>
    <w:rsid w:val="00FE2E8C"/>
    <w:rsid w:val="00FE65AB"/>
    <w:rsid w:val="01492937"/>
    <w:rsid w:val="02DF562C"/>
    <w:rsid w:val="032D48E5"/>
    <w:rsid w:val="039837D0"/>
    <w:rsid w:val="04497920"/>
    <w:rsid w:val="05853CB7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2902222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5D5E0DDF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1292</Words>
  <Characters>1356</Characters>
  <Lines>17</Lines>
  <Paragraphs>4</Paragraphs>
  <TotalTime>5</TotalTime>
  <ScaleCrop>false</ScaleCrop>
  <LinksUpToDate>false</LinksUpToDate>
  <CharactersWithSpaces>1361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悬剑</cp:lastModifiedBy>
  <cp:lastPrinted>2019-05-05T07:55:00Z</cp:lastPrinted>
  <dcterms:modified xsi:type="dcterms:W3CDTF">2026-03-25T01:37:20Z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5E8BD144427B4992B6AB84D4B376F7F3</vt:lpwstr>
  </property>
  <property fmtid="{D5CDD505-2E9C-101B-9397-08002B2CF9AE}" pid="4" name="KSOTemplateDocerSaveRecord">
    <vt:lpwstr>eyJoZGlkIjoiZjdlMDBjOTJlNGY3NDY1MmY0MWVjZGM0MTZiYzRiYTgiLCJ1c2VySWQiOiIyNzQ3NjYzMTQifQ==</vt:lpwstr>
  </property>
</Properties>
</file>