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FAC8">
      <w:pPr>
        <w:pStyle w:val="31"/>
        <w:keepNext w:val="0"/>
        <w:keepLines w:val="0"/>
        <w:pageBreakBefore w:val="0"/>
        <w:widowControl w:val="0"/>
        <w:kinsoku/>
        <w:wordWrap/>
        <w:overflowPunct/>
        <w:topLinePunct/>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岳县环评﹝2026﹞5号</w:t>
      </w:r>
    </w:p>
    <w:p w14:paraId="2B14E7CA">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3A93321C">
      <w:pPr>
        <w:pStyle w:val="31"/>
        <w:keepNext w:val="0"/>
        <w:keepLines w:val="0"/>
        <w:pageBreakBefore w:val="0"/>
        <w:widowControl w:val="0"/>
        <w:kinsoku/>
        <w:wordWrap/>
        <w:overflowPunct/>
        <w:topLinePunct/>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autoSpaceDE w:val="0"/>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color w:val="auto"/>
          <w:spacing w:val="0"/>
          <w:kern w:val="2"/>
          <w:sz w:val="44"/>
          <w:szCs w:val="44"/>
          <w:lang w:val="en-US" w:eastAsia="zh-CN"/>
        </w:rPr>
        <w:t>年产硅砂20万吨项目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w:t>
      </w:r>
      <w:r>
        <w:rPr>
          <w:rFonts w:hint="eastAsia" w:ascii="方正小标宋简体" w:hAnsi="方正小标宋简体" w:eastAsia="方正小标宋简体" w:cs="方正小标宋简体"/>
          <w:b w:val="0"/>
          <w:bCs w:val="0"/>
          <w:color w:val="auto"/>
          <w:spacing w:val="0"/>
          <w:kern w:val="2"/>
          <w:sz w:val="44"/>
          <w:szCs w:val="44"/>
          <w:lang w:val="en-US" w:eastAsia="zh-CN"/>
        </w:rPr>
        <w:t xml:space="preserve">  </w:t>
      </w:r>
      <w:r>
        <w:rPr>
          <w:rFonts w:hint="eastAsia" w:ascii="方正小标宋简体" w:hAnsi="方正小标宋简体" w:eastAsia="方正小标宋简体" w:cs="方正小标宋简体"/>
          <w:b w:val="0"/>
          <w:bCs w:val="0"/>
          <w:color w:val="auto"/>
          <w:spacing w:val="0"/>
          <w:kern w:val="2"/>
          <w:sz w:val="44"/>
          <w:szCs w:val="44"/>
          <w:lang w:eastAsia="zh-CN"/>
        </w:rPr>
        <w:t>复</w:t>
      </w:r>
    </w:p>
    <w:p w14:paraId="7ACD5ECA">
      <w:pPr>
        <w:keepNext w:val="0"/>
        <w:keepLines w:val="0"/>
        <w:pageBreakBefore w:val="0"/>
        <w:widowControl w:val="0"/>
        <w:kinsoku/>
        <w:wordWrap/>
        <w:overflowPunct/>
        <w:topLinePunct/>
        <w:autoSpaceDE w:val="0"/>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bookmarkStart w:id="0" w:name="_GoBack"/>
      <w:bookmarkEnd w:id="0"/>
    </w:p>
    <w:p w14:paraId="3CE5FBF4">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岳阳稳固建筑材料有限公司：</w:t>
      </w:r>
    </w:p>
    <w:p w14:paraId="2B69560A">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w:t>
      </w:r>
      <w:r>
        <w:rPr>
          <w:rFonts w:hint="eastAsia" w:ascii="仿宋_GB2312" w:hAnsi="仿宋_GB2312" w:eastAsia="仿宋_GB2312" w:cs="仿宋_GB2312"/>
          <w:bCs/>
          <w:color w:val="auto"/>
          <w:kern w:val="2"/>
          <w:sz w:val="32"/>
          <w:szCs w:val="32"/>
          <w:u w:val="none"/>
          <w:lang w:val="en-US" w:eastAsia="zh-CN" w:bidi="ar-SA"/>
        </w:rPr>
        <w:t>岳阳县荣家湾街道办事处鹿角村程继明组</w:t>
      </w:r>
      <w:r>
        <w:rPr>
          <w:rFonts w:hint="eastAsia" w:ascii="仿宋_GB2312" w:hAnsi="仿宋_GB2312" w:eastAsia="仿宋_GB2312" w:cs="仿宋_GB2312"/>
          <w:color w:val="auto"/>
          <w:sz w:val="32"/>
          <w:szCs w:val="32"/>
          <w:u w:val="none" w:color="auto"/>
          <w:lang w:val="en-US" w:eastAsia="zh-CN"/>
        </w:rPr>
        <w:t>，法人代表：谢敏，统一社会信用代码：91430621MA4RMD0206）提交的《年产硅砂20万吨项目环境影响报告表》（以下简称《报告表》）及有关附件收悉。根据报告表、专家评审意见，结合岳阳市岳阳县生态环境事务中心关于《岳阳稳固建筑材料有限公司年产硅砂20万吨项目环境影响报告表技术评估报告》（岳县环事评估〔2026〕3号），经研究，本项目符合国家产业政策和生态环境分区管控和相关规划要求，我局原则同意你公司《报告表》中所列建设内容及其环境影响评价结论和生态环境保护对策措施。批复如下：</w:t>
      </w:r>
    </w:p>
    <w:p w14:paraId="0C496F09">
      <w:pPr>
        <w:keepNext w:val="0"/>
        <w:keepLines w:val="0"/>
        <w:pageBreakBefore w:val="0"/>
        <w:widowControl w:val="0"/>
        <w:numPr>
          <w:ilvl w:val="0"/>
          <w:numId w:val="2"/>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你公司年产硅砂20万吨项目位于</w:t>
      </w:r>
      <w:r>
        <w:rPr>
          <w:rFonts w:hint="eastAsia" w:ascii="仿宋_GB2312" w:hAnsi="仿宋_GB2312" w:eastAsia="仿宋_GB2312" w:cs="仿宋_GB2312"/>
          <w:bCs/>
          <w:color w:val="auto"/>
          <w:kern w:val="2"/>
          <w:sz w:val="32"/>
          <w:szCs w:val="32"/>
          <w:u w:val="none"/>
          <w:lang w:val="en-US" w:eastAsia="zh-CN" w:bidi="ar-SA"/>
        </w:rPr>
        <w:t>荣家湾街道办事处鹿角村程继明组</w:t>
      </w:r>
      <w:r>
        <w:rPr>
          <w:rFonts w:hint="eastAsia" w:ascii="仿宋_GB2312" w:hAnsi="仿宋_GB2312" w:eastAsia="仿宋_GB2312" w:cs="仿宋_GB2312"/>
          <w:color w:val="auto"/>
          <w:sz w:val="32"/>
          <w:szCs w:val="32"/>
          <w:u w:val="none" w:color="auto"/>
          <w:lang w:val="en-US" w:eastAsia="zh-CN"/>
        </w:rPr>
        <w:t>，拟投资3000万元（</w:t>
      </w:r>
      <w:r>
        <w:rPr>
          <w:rFonts w:hint="eastAsia" w:ascii="仿宋_GB2312" w:hAnsi="仿宋_GB2312" w:eastAsia="仿宋_GB2312" w:cs="仿宋_GB2312"/>
          <w:kern w:val="0"/>
          <w:sz w:val="32"/>
          <w:szCs w:val="32"/>
        </w:rPr>
        <w:t>环保投</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color="auto"/>
          <w:lang w:val="en-US" w:eastAsia="zh-CN"/>
        </w:rPr>
        <w:t>，项目在原有项目的用地红线范围内改建，占地</w:t>
      </w:r>
      <w:r>
        <w:rPr>
          <w:rFonts w:hint="eastAsia" w:ascii="仿宋_GB2312" w:hAnsi="仿宋_GB2312" w:eastAsia="仿宋_GB2312" w:cs="仿宋_GB2312"/>
          <w:bCs/>
          <w:color w:val="auto"/>
          <w:kern w:val="2"/>
          <w:sz w:val="32"/>
          <w:szCs w:val="32"/>
          <w:u w:val="none" w:color="auto"/>
          <w:lang w:val="en-US" w:eastAsia="zh-CN" w:bidi="ar-SA"/>
        </w:rPr>
        <w:t>面积10000m</w:t>
      </w:r>
      <w:r>
        <w:rPr>
          <w:rFonts w:hint="eastAsia" w:ascii="仿宋_GB2312" w:hAnsi="仿宋_GB2312" w:eastAsia="仿宋_GB2312" w:cs="仿宋_GB2312"/>
          <w:bCs/>
          <w:color w:val="auto"/>
          <w:kern w:val="2"/>
          <w:sz w:val="32"/>
          <w:szCs w:val="32"/>
          <w:u w:val="none" w:color="auto"/>
          <w:vertAlign w:val="superscript"/>
          <w:lang w:val="en-US" w:eastAsia="zh-CN" w:bidi="ar-SA"/>
        </w:rPr>
        <w:t>2</w:t>
      </w:r>
      <w:r>
        <w:rPr>
          <w:rFonts w:hint="eastAsia" w:ascii="仿宋_GB2312" w:hAnsi="仿宋_GB2312" w:eastAsia="仿宋_GB2312" w:cs="仿宋_GB2312"/>
          <w:kern w:val="2"/>
          <w:sz w:val="32"/>
          <w:szCs w:val="32"/>
          <w:vertAlign w:val="baseline"/>
          <w:lang w:val="en-US" w:eastAsia="zh-CN" w:bidi="ar-SA"/>
        </w:rPr>
        <w:t>。</w:t>
      </w:r>
      <w:r>
        <w:rPr>
          <w:rFonts w:hint="eastAsia" w:ascii="仿宋_GB2312" w:hAnsi="仿宋_GB2312" w:eastAsia="仿宋_GB2312" w:cs="仿宋_GB2312"/>
          <w:kern w:val="2"/>
          <w:sz w:val="32"/>
          <w:szCs w:val="32"/>
          <w:lang w:val="en-US" w:eastAsia="zh-CN" w:bidi="ar-SA"/>
        </w:rPr>
        <w:t>项目以</w:t>
      </w:r>
      <w:r>
        <w:rPr>
          <w:rFonts w:hint="default" w:ascii="仿宋_GB2312" w:hAnsi="仿宋_GB2312" w:eastAsia="仿宋_GB2312" w:cs="仿宋_GB2312"/>
          <w:kern w:val="2"/>
          <w:sz w:val="32"/>
          <w:szCs w:val="32"/>
          <w:lang w:val="en-US" w:eastAsia="zh-CN" w:bidi="ar-SA"/>
        </w:rPr>
        <w:t>硅砂</w:t>
      </w:r>
      <w:r>
        <w:rPr>
          <w:rFonts w:hint="eastAsia" w:ascii="仿宋_GB2312" w:hAnsi="仿宋_GB2312" w:eastAsia="仿宋_GB2312" w:cs="仿宋_GB2312"/>
          <w:kern w:val="2"/>
          <w:sz w:val="32"/>
          <w:szCs w:val="32"/>
          <w:lang w:val="en-US" w:eastAsia="zh-CN" w:bidi="ar-SA"/>
        </w:rPr>
        <w:t>矿为原料，经投料、一次水洗、破碎、筛分、二次水洗、破碎、脱水、石碾机细磨筛分、磁选、脱水等工序生产不同粒径的硅砂，生产规模为</w:t>
      </w:r>
      <w:r>
        <w:rPr>
          <w:rFonts w:hint="eastAsia" w:ascii="仿宋_GB2312" w:hAnsi="仿宋_GB2312" w:eastAsia="仿宋_GB2312" w:cs="仿宋_GB2312"/>
          <w:color w:val="auto"/>
          <w:sz w:val="32"/>
          <w:szCs w:val="32"/>
          <w:u w:val="none" w:color="auto"/>
          <w:lang w:val="en-US" w:eastAsia="zh-CN"/>
        </w:rPr>
        <w:t>年产20万吨硅砂。</w:t>
      </w:r>
      <w:r>
        <w:rPr>
          <w:rFonts w:hint="eastAsia" w:ascii="仿宋_GB2312" w:hAnsi="仿宋_GB2312" w:eastAsia="仿宋_GB2312" w:cs="仿宋_GB2312"/>
          <w:kern w:val="2"/>
          <w:sz w:val="32"/>
          <w:szCs w:val="32"/>
          <w:lang w:val="en-US" w:eastAsia="zh-CN" w:bidi="ar-SA"/>
        </w:rPr>
        <w:t>项目使用的原料须有合法来源，不得使用非法采砂、采矿及其他无合法来源的硅砂矿。</w:t>
      </w:r>
    </w:p>
    <w:p w14:paraId="2C64791B">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二、在工程建设和运营过程中，你公司须全面落实《报告表》中提出的各项生态环境保护和风险防范措施，着重落实以下要求：</w:t>
      </w:r>
    </w:p>
    <w:p w14:paraId="7A363AD9">
      <w:pPr>
        <w:pStyle w:val="41"/>
        <w:keepNext w:val="0"/>
        <w:keepLines w:val="0"/>
        <w:pageBreakBefore w:val="0"/>
        <w:widowControl w:val="0"/>
        <w:kinsoku/>
        <w:wordWrap/>
        <w:overflowPunct/>
        <w:topLinePunct/>
        <w:autoSpaceDE w:val="0"/>
        <w:autoSpaceDN/>
        <w:bidi w:val="0"/>
        <w:adjustRightInd/>
        <w:snapToGrid/>
        <w:spacing w:after="0" w:line="576" w:lineRule="exact"/>
        <w:ind w:firstLine="643" w:firstLineChars="200"/>
        <w:jc w:val="both"/>
        <w:textAlignment w:val="baseline"/>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1.落实施工期间各项污染防治措施。</w:t>
      </w:r>
      <w:r>
        <w:rPr>
          <w:rFonts w:hint="eastAsia" w:ascii="仿宋_GB2312" w:hAnsi="仿宋_GB2312" w:eastAsia="仿宋_GB2312" w:cs="仿宋_GB2312"/>
          <w:b w:val="0"/>
          <w:bCs w:val="0"/>
          <w:color w:val="auto"/>
          <w:kern w:val="2"/>
          <w:sz w:val="32"/>
          <w:szCs w:val="32"/>
          <w:u w:val="none" w:color="auto"/>
          <w:lang w:val="en-US" w:eastAsia="zh-CN"/>
        </w:rPr>
        <w:t>施工场地设置硬质围挡、覆盖、洒水抑尘、冲洗车辆等有效防尘措施；装卸物料采取密封或者喷淋等方式防治扬尘污染。施工废水经沉淀处理后回用于抑尘用水，施工期产生的生活废水经依托租用居民化粪池处理后用作农肥。</w:t>
      </w:r>
      <w:r>
        <w:rPr>
          <w:rFonts w:hint="eastAsia" w:ascii="仿宋_GB2312" w:hAnsi="仿宋_GB2312" w:eastAsia="仿宋_GB2312" w:cs="仿宋_GB2312"/>
          <w:color w:val="auto"/>
          <w:kern w:val="2"/>
          <w:sz w:val="32"/>
          <w:szCs w:val="32"/>
          <w:u w:val="none" w:color="auto"/>
          <w:lang w:val="en-US" w:eastAsia="zh-CN"/>
        </w:rPr>
        <w:t>合理安排高噪声设备的作业时间，在夜间和午休时间禁止高噪声设备的施工作业，设置围挡，利用厂区围挡隔声等措施减少噪声对环境影响。</w:t>
      </w:r>
    </w:p>
    <w:p w14:paraId="3BB41510">
      <w:pPr>
        <w:pStyle w:val="41"/>
        <w:keepNext w:val="0"/>
        <w:keepLines w:val="0"/>
        <w:pageBreakBefore w:val="0"/>
        <w:widowControl w:val="0"/>
        <w:kinsoku/>
        <w:wordWrap/>
        <w:overflowPunct/>
        <w:topLinePunct/>
        <w:autoSpaceDE w:val="0"/>
        <w:autoSpaceDN/>
        <w:bidi w:val="0"/>
        <w:adjustRightInd/>
        <w:snapToGrid/>
        <w:spacing w:after="0" w:line="576" w:lineRule="exact"/>
        <w:ind w:firstLine="643" w:firstLineChars="200"/>
        <w:jc w:val="both"/>
        <w:textAlignment w:val="baseline"/>
        <w:outlineLvl w:val="9"/>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2.落实大气污染防治措施。</w:t>
      </w:r>
      <w:r>
        <w:rPr>
          <w:rFonts w:hint="eastAsia" w:ascii="仿宋_GB2312" w:hAnsi="仿宋_GB2312" w:eastAsia="仿宋_GB2312" w:cs="仿宋_GB2312"/>
          <w:b w:val="0"/>
          <w:bCs w:val="0"/>
          <w:color w:val="auto"/>
          <w:sz w:val="32"/>
          <w:szCs w:val="32"/>
          <w:u w:val="none" w:color="auto"/>
          <w:lang w:val="en-US" w:eastAsia="zh-CN"/>
        </w:rPr>
        <w:t>采取运输车辆顶端设篷布遮盖，限制车速，室外采取喷雾除尘等措施</w:t>
      </w:r>
      <w:r>
        <w:rPr>
          <w:rFonts w:hint="eastAsia" w:ascii="仿宋_GB2312" w:hAnsi="仿宋_GB2312" w:eastAsia="仿宋_GB2312" w:cs="仿宋_GB2312"/>
          <w:color w:val="auto"/>
          <w:sz w:val="32"/>
          <w:szCs w:val="32"/>
          <w:u w:val="none" w:color="auto"/>
          <w:lang w:val="zh-CN" w:eastAsia="zh-CN"/>
        </w:rPr>
        <w:t>减少运输扬尘对周边环境的影响</w:t>
      </w:r>
      <w:r>
        <w:rPr>
          <w:rFonts w:hint="eastAsia" w:ascii="仿宋_GB2312" w:hAnsi="仿宋_GB2312" w:eastAsia="仿宋_GB2312" w:cs="仿宋_GB2312"/>
          <w:color w:val="auto"/>
          <w:sz w:val="32"/>
          <w:szCs w:val="32"/>
          <w:u w:val="none" w:color="auto"/>
          <w:lang w:val="en-US" w:eastAsia="zh-CN"/>
        </w:rPr>
        <w:t>；同时采用清洁运输方式，防止车辆尾气污染</w:t>
      </w:r>
      <w:r>
        <w:rPr>
          <w:rFonts w:hint="eastAsia" w:ascii="仿宋_GB2312" w:hAnsi="仿宋_GB2312" w:eastAsia="仿宋_GB2312" w:cs="仿宋_GB2312"/>
          <w:color w:val="auto"/>
          <w:sz w:val="32"/>
          <w:szCs w:val="32"/>
          <w:u w:val="none" w:color="auto"/>
          <w:lang w:val="zh-CN" w:eastAsia="zh-CN"/>
        </w:rPr>
        <w:t>；项目原料及成品均堆存于封闭厂房内，定期洒水抑尘，减少堆存卸料产生的颗粒物</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zh-CN" w:eastAsia="zh-CN"/>
        </w:rPr>
        <w:t>投料过程位于密闭生产车间内，在投料口设置喷雾设施，降低无组织排放颗粒物对环境的影响；破碎、筛分工序产生颗粒物，经密闭式生产车间、半密闭式集气罩收集、布袋除尘器处理后在车间内以无组织形式排放。厂界无组织排放的颗粒物执行《大气污染物综合排放标准》（GB16297-1996）中厂界浓度限值。</w:t>
      </w:r>
    </w:p>
    <w:p w14:paraId="0FC1CA0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按照“清污分流、雨污分流”原则，设计、建设、完善给排水系统。车辆冲洗废水经洗车槽沉淀后（5m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）回用于车辆冲洗；洗砂废水经三级沉淀池（350m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）处理后排入循环水池（120m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），回用于生产；初期雨水经初期雨水收集池（150m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）收集后进入循环水池，回用于生产。生活污水经四池净化池（60m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）处理后用作农肥，全部综合利用。</w:t>
      </w:r>
    </w:p>
    <w:p w14:paraId="3C3D211F">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4.落实噪声污染防治措施。</w:t>
      </w:r>
      <w:r>
        <w:rPr>
          <w:rFonts w:hint="eastAsia" w:ascii="仿宋_GB2312" w:hAnsi="仿宋_GB2312" w:eastAsia="仿宋_GB2312" w:cs="仿宋_GB2312"/>
          <w:color w:val="auto"/>
          <w:sz w:val="32"/>
          <w:szCs w:val="32"/>
          <w:u w:val="none" w:color="auto"/>
          <w:lang w:val="en-US" w:eastAsia="zh-CN"/>
        </w:rPr>
        <w:t>优化平面布局，优先选择</w:t>
      </w:r>
      <w:r>
        <w:rPr>
          <w:rFonts w:hint="eastAsia" w:ascii="仿宋_GB2312" w:hAnsi="仿宋_GB2312" w:eastAsia="仿宋_GB2312" w:cs="仿宋_GB2312"/>
          <w:b w:val="0"/>
          <w:bCs w:val="0"/>
          <w:color w:val="auto"/>
          <w:sz w:val="32"/>
          <w:szCs w:val="32"/>
          <w:u w:val="none" w:color="auto"/>
          <w:lang w:val="en-US" w:eastAsia="zh-CN"/>
        </w:rPr>
        <w:t>低噪音的设备，对于噪声较高的设备采取加固设备基础减少振动等措施，尽量降低设备噪声值，同时采用封闭厂房进行隔音，夜间不生产，厂界噪声符合《工业企业厂界环境噪声排放标准》（GB12348-2008）中的2类标准要求。</w:t>
      </w:r>
    </w:p>
    <w:p w14:paraId="0F24EDD1">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w:t>
      </w:r>
      <w:r>
        <w:rPr>
          <w:rFonts w:hint="eastAsia" w:ascii="仿宋_GB2312" w:hAnsi="仿宋_GB2312" w:eastAsia="仿宋_GB2312" w:cs="仿宋_GB2312"/>
          <w:color w:val="auto"/>
          <w:sz w:val="32"/>
          <w:szCs w:val="32"/>
          <w:u w:val="none" w:color="auto"/>
        </w:rPr>
        <w:t>交由环卫部门处理</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除尘器收集的粉尘、磁选废物、沉渣收集后外售；废机油和废机油桶等危险废物，暂存于危废间内，委托有资质单位定期处理。</w:t>
      </w:r>
    </w:p>
    <w:p w14:paraId="4E3AB0C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6.落实环境风险防范措施。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4B767E5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color w:val="auto"/>
          <w:kern w:val="2"/>
          <w:sz w:val="32"/>
          <w:szCs w:val="32"/>
          <w:u w:val="none" w:color="auto"/>
          <w:lang w:val="en-US" w:eastAsia="zh-CN"/>
        </w:rPr>
        <w:t>本项目污染物年排放总量控制指标为</w:t>
      </w:r>
      <w:r>
        <w:rPr>
          <w:rFonts w:hint="eastAsia" w:ascii="仿宋_GB2312" w:hAnsi="仿宋_GB2312" w:eastAsia="仿宋_GB2312" w:cs="仿宋_GB2312"/>
          <w:color w:val="auto"/>
          <w:sz w:val="32"/>
          <w:szCs w:val="32"/>
          <w:u w:val="none" w:color="auto"/>
          <w:lang w:val="en-US" w:eastAsia="zh-CN"/>
        </w:rPr>
        <w:t>：颗粒物≤</w:t>
      </w:r>
      <w:r>
        <w:rPr>
          <w:rFonts w:hint="eastAsia" w:ascii="仿宋_GB2312" w:hAnsi="仿宋_GB2312" w:eastAsia="仿宋_GB2312" w:cs="仿宋_GB2312"/>
          <w:color w:val="auto"/>
          <w:sz w:val="32"/>
          <w:szCs w:val="32"/>
          <w:highlight w:val="none"/>
          <w:u w:val="none" w:color="auto"/>
          <w:lang w:val="en-US" w:eastAsia="zh-CN"/>
        </w:rPr>
        <w:t>7.9</w:t>
      </w:r>
      <w:r>
        <w:rPr>
          <w:rFonts w:hint="eastAsia" w:ascii="仿宋_GB2312" w:hAnsi="仿宋_GB2312" w:eastAsia="仿宋_GB2312" w:cs="仿宋_GB2312"/>
          <w:bCs/>
          <w:color w:val="auto"/>
          <w:kern w:val="2"/>
          <w:sz w:val="32"/>
          <w:szCs w:val="32"/>
          <w:highlight w:val="none"/>
          <w:u w:val="none" w:color="auto"/>
          <w:lang w:val="en-US" w:eastAsia="zh-CN" w:bidi="ar-SA"/>
        </w:rPr>
        <w:t>t/a。</w:t>
      </w:r>
    </w:p>
    <w:p w14:paraId="2B71E0D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四、建设项目的环境影响评价文件经批准后，项目的性质、规模、地点或者防治污染、防止生态破坏的措施发生重大变动的，应当重新报批该项目的环境影响评价文件。</w:t>
      </w:r>
    </w:p>
    <w:p w14:paraId="312E73DD">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需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0C6830FB">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31BD0DEA">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800" w:tblpY="1776"/>
        <w:tblW w:w="476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39"/>
      </w:tblGrid>
      <w:tr w14:paraId="38C385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000" w:type="pct"/>
          </w:tcPr>
          <w:p w14:paraId="7D1C32A1">
            <w:pPr>
              <w:keepNext w:val="0"/>
              <w:keepLines w:val="0"/>
              <w:pageBreakBefore w:val="0"/>
              <w:widowControl w:val="0"/>
              <w:numPr>
                <w:ilvl w:val="0"/>
                <w:numId w:val="0"/>
              </w:numPr>
              <w:kinsoku/>
              <w:wordWrap/>
              <w:overflowPunct/>
              <w:topLinePunct/>
              <w:autoSpaceDE w:val="0"/>
              <w:autoSpaceDN/>
              <w:bidi w:val="0"/>
              <w:adjustRightInd/>
              <w:snapToGrid/>
              <w:spacing w:after="0" w:line="400"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抄送：荣家湾街道办事处、岳阳市岳阳县生态环境保护综合行政执法大队、湖南聚星励志环保科技有限公司</w:t>
            </w:r>
          </w:p>
        </w:tc>
      </w:tr>
    </w:tbl>
    <w:p w14:paraId="6796DD13">
      <w:pPr>
        <w:keepNext w:val="0"/>
        <w:keepLines w:val="0"/>
        <w:pageBreakBefore w:val="0"/>
        <w:widowControl w:val="0"/>
        <w:numPr>
          <w:ilvl w:val="0"/>
          <w:numId w:val="0"/>
        </w:numPr>
        <w:kinsoku/>
        <w:wordWrap/>
        <w:overflowPunct/>
        <w:topLinePunct/>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2026年4月2日</w:t>
      </w: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C16DAC-F3C7-482E-8C30-6030AEB0ADE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CC893BC-7FBD-42F1-8EB4-049E26D751A4}"/>
  </w:font>
  <w:font w:name="仿宋_GB2312">
    <w:panose1 w:val="02010609030101010101"/>
    <w:charset w:val="86"/>
    <w:family w:val="modern"/>
    <w:pitch w:val="default"/>
    <w:sig w:usb0="00000001" w:usb1="080E0000" w:usb2="00000000" w:usb3="00000000" w:csb0="00040000" w:csb1="00000000"/>
    <w:embedRegular r:id="rId3" w:fontKey="{B9D338A2-904B-4260-BE4A-E1F78F7F3C8D}"/>
  </w:font>
  <w:font w:name="方正小标宋简体">
    <w:panose1 w:val="03000509000000000000"/>
    <w:charset w:val="86"/>
    <w:family w:val="auto"/>
    <w:pitch w:val="default"/>
    <w:sig w:usb0="00000001" w:usb1="080E0000" w:usb2="00000000" w:usb3="00000000" w:csb0="00040000" w:csb1="00000000"/>
    <w:embedRegular r:id="rId4" w:fontKey="{8758C147-37D3-4465-8967-070B6BD5DC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8CDC"/>
    <w:multiLevelType w:val="singleLevel"/>
    <w:tmpl w:val="EBC78CD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C0FFA"/>
    <w:rsid w:val="06691F53"/>
    <w:rsid w:val="06A157E8"/>
    <w:rsid w:val="06A65CED"/>
    <w:rsid w:val="06AA36D4"/>
    <w:rsid w:val="06E320FF"/>
    <w:rsid w:val="06F07F7E"/>
    <w:rsid w:val="06FC4B75"/>
    <w:rsid w:val="071F1BF8"/>
    <w:rsid w:val="073A2466"/>
    <w:rsid w:val="074A1D85"/>
    <w:rsid w:val="07506C6F"/>
    <w:rsid w:val="077C3DB2"/>
    <w:rsid w:val="079C288F"/>
    <w:rsid w:val="07D45A45"/>
    <w:rsid w:val="07DD536D"/>
    <w:rsid w:val="07ED2710"/>
    <w:rsid w:val="07F9103A"/>
    <w:rsid w:val="08034185"/>
    <w:rsid w:val="08134020"/>
    <w:rsid w:val="0869348D"/>
    <w:rsid w:val="087723D8"/>
    <w:rsid w:val="089112ED"/>
    <w:rsid w:val="0899026A"/>
    <w:rsid w:val="08BB636A"/>
    <w:rsid w:val="08DD43F8"/>
    <w:rsid w:val="08E03040"/>
    <w:rsid w:val="08FD5135"/>
    <w:rsid w:val="090949CC"/>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3E2112"/>
    <w:rsid w:val="0C410BD7"/>
    <w:rsid w:val="0C4F3999"/>
    <w:rsid w:val="0C752FA1"/>
    <w:rsid w:val="0C963102"/>
    <w:rsid w:val="0CED3C33"/>
    <w:rsid w:val="0D040924"/>
    <w:rsid w:val="0D501777"/>
    <w:rsid w:val="0D621D65"/>
    <w:rsid w:val="0D74395F"/>
    <w:rsid w:val="0DA11135"/>
    <w:rsid w:val="0DBB4191"/>
    <w:rsid w:val="0DEC10E5"/>
    <w:rsid w:val="0E0B61DD"/>
    <w:rsid w:val="0E5E092C"/>
    <w:rsid w:val="0E803C6F"/>
    <w:rsid w:val="0E9C5859"/>
    <w:rsid w:val="0EBE1322"/>
    <w:rsid w:val="0EDF4D64"/>
    <w:rsid w:val="0F26281D"/>
    <w:rsid w:val="0F4E1CE6"/>
    <w:rsid w:val="0F5764BE"/>
    <w:rsid w:val="0F645140"/>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75D99"/>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937DA0"/>
    <w:rsid w:val="24B73349"/>
    <w:rsid w:val="2504136D"/>
    <w:rsid w:val="256166A7"/>
    <w:rsid w:val="256C0CC0"/>
    <w:rsid w:val="257D383A"/>
    <w:rsid w:val="25982BAC"/>
    <w:rsid w:val="25C26D29"/>
    <w:rsid w:val="26217CFD"/>
    <w:rsid w:val="262B521C"/>
    <w:rsid w:val="266C291D"/>
    <w:rsid w:val="268830DD"/>
    <w:rsid w:val="26B7248D"/>
    <w:rsid w:val="26EF057C"/>
    <w:rsid w:val="27157BE2"/>
    <w:rsid w:val="27157D3C"/>
    <w:rsid w:val="27357DDA"/>
    <w:rsid w:val="274C0DA9"/>
    <w:rsid w:val="27684CB5"/>
    <w:rsid w:val="27786E27"/>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9B178A"/>
    <w:rsid w:val="29B474E1"/>
    <w:rsid w:val="29B9024C"/>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D7348"/>
    <w:rsid w:val="327106BC"/>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5EB7B15"/>
    <w:rsid w:val="36050F29"/>
    <w:rsid w:val="360B3AD4"/>
    <w:rsid w:val="361C52BB"/>
    <w:rsid w:val="361D7638"/>
    <w:rsid w:val="36315D3A"/>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B63D4"/>
    <w:rsid w:val="3A2E433E"/>
    <w:rsid w:val="3A66569A"/>
    <w:rsid w:val="3A920D71"/>
    <w:rsid w:val="3A997AF1"/>
    <w:rsid w:val="3A9B37A6"/>
    <w:rsid w:val="3AA27206"/>
    <w:rsid w:val="3AB36572"/>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0C7687"/>
    <w:rsid w:val="3E1A387D"/>
    <w:rsid w:val="3E2D0960"/>
    <w:rsid w:val="3E3A651A"/>
    <w:rsid w:val="3E3E08AE"/>
    <w:rsid w:val="3E487D2A"/>
    <w:rsid w:val="3E6F7B87"/>
    <w:rsid w:val="3E79523A"/>
    <w:rsid w:val="3E7A6366"/>
    <w:rsid w:val="3E9D4B5C"/>
    <w:rsid w:val="3EA80B63"/>
    <w:rsid w:val="3EAE3C1F"/>
    <w:rsid w:val="3EE12D6D"/>
    <w:rsid w:val="3EF913BF"/>
    <w:rsid w:val="3F2F7F48"/>
    <w:rsid w:val="3F536E9A"/>
    <w:rsid w:val="3F6472E0"/>
    <w:rsid w:val="3F665642"/>
    <w:rsid w:val="3F6B44E7"/>
    <w:rsid w:val="3FA23805"/>
    <w:rsid w:val="3FB6105E"/>
    <w:rsid w:val="404A0FF2"/>
    <w:rsid w:val="404A7B97"/>
    <w:rsid w:val="40515C61"/>
    <w:rsid w:val="40673BF4"/>
    <w:rsid w:val="40774125"/>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BD4226"/>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7E2395"/>
    <w:rsid w:val="4FA0775A"/>
    <w:rsid w:val="4FA978AB"/>
    <w:rsid w:val="502A587C"/>
    <w:rsid w:val="503E21BB"/>
    <w:rsid w:val="5051480E"/>
    <w:rsid w:val="50B72EA8"/>
    <w:rsid w:val="510E100C"/>
    <w:rsid w:val="51293A21"/>
    <w:rsid w:val="512A18AC"/>
    <w:rsid w:val="513C0D41"/>
    <w:rsid w:val="5176064D"/>
    <w:rsid w:val="5183308C"/>
    <w:rsid w:val="51C66F43"/>
    <w:rsid w:val="51CD6957"/>
    <w:rsid w:val="52174C68"/>
    <w:rsid w:val="522E6796"/>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F2180D"/>
    <w:rsid w:val="550D6174"/>
    <w:rsid w:val="551045DB"/>
    <w:rsid w:val="552661B5"/>
    <w:rsid w:val="55323100"/>
    <w:rsid w:val="55344F04"/>
    <w:rsid w:val="55517F94"/>
    <w:rsid w:val="556A6D47"/>
    <w:rsid w:val="5596306C"/>
    <w:rsid w:val="55B313A7"/>
    <w:rsid w:val="55FA2AB8"/>
    <w:rsid w:val="56114DE8"/>
    <w:rsid w:val="561A06C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444423"/>
    <w:rsid w:val="5B783826"/>
    <w:rsid w:val="5B933594"/>
    <w:rsid w:val="5BC86634"/>
    <w:rsid w:val="5C683B65"/>
    <w:rsid w:val="5CD8488B"/>
    <w:rsid w:val="5D7C5EAE"/>
    <w:rsid w:val="5DB80F79"/>
    <w:rsid w:val="5DE23F89"/>
    <w:rsid w:val="5E3B3D89"/>
    <w:rsid w:val="5EF24640"/>
    <w:rsid w:val="5F261904"/>
    <w:rsid w:val="5F6D4912"/>
    <w:rsid w:val="5F7D78A8"/>
    <w:rsid w:val="5F903222"/>
    <w:rsid w:val="5F912F4D"/>
    <w:rsid w:val="5FA34F4D"/>
    <w:rsid w:val="5FC1162D"/>
    <w:rsid w:val="5FE5744D"/>
    <w:rsid w:val="60003368"/>
    <w:rsid w:val="60882A8D"/>
    <w:rsid w:val="60BE2C44"/>
    <w:rsid w:val="60E31383"/>
    <w:rsid w:val="610A2B60"/>
    <w:rsid w:val="61190980"/>
    <w:rsid w:val="61497E44"/>
    <w:rsid w:val="61795FBE"/>
    <w:rsid w:val="619568CD"/>
    <w:rsid w:val="61B74A96"/>
    <w:rsid w:val="61BF548E"/>
    <w:rsid w:val="61DA6504"/>
    <w:rsid w:val="62176272"/>
    <w:rsid w:val="623A31B8"/>
    <w:rsid w:val="62D82F16"/>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3D6EA6"/>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2466DB"/>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C2E004A"/>
    <w:rsid w:val="6C410383"/>
    <w:rsid w:val="6C4F5478"/>
    <w:rsid w:val="6C5F0404"/>
    <w:rsid w:val="6C63615E"/>
    <w:rsid w:val="6C781BC4"/>
    <w:rsid w:val="6C8E0AE9"/>
    <w:rsid w:val="6CB458A2"/>
    <w:rsid w:val="6CB93DB8"/>
    <w:rsid w:val="6CC013A9"/>
    <w:rsid w:val="6CDC5203"/>
    <w:rsid w:val="6CE13944"/>
    <w:rsid w:val="6D0A227B"/>
    <w:rsid w:val="6D566435"/>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534E"/>
    <w:rsid w:val="6F1C6502"/>
    <w:rsid w:val="6F285225"/>
    <w:rsid w:val="6F2F6BE9"/>
    <w:rsid w:val="6F5C26EC"/>
    <w:rsid w:val="6F6B2741"/>
    <w:rsid w:val="6F8B7FB3"/>
    <w:rsid w:val="701557A9"/>
    <w:rsid w:val="7031567F"/>
    <w:rsid w:val="7048104D"/>
    <w:rsid w:val="70967060"/>
    <w:rsid w:val="70F34949"/>
    <w:rsid w:val="710D7763"/>
    <w:rsid w:val="71172C34"/>
    <w:rsid w:val="715C7408"/>
    <w:rsid w:val="718D56D9"/>
    <w:rsid w:val="71AA7506"/>
    <w:rsid w:val="71AD21A3"/>
    <w:rsid w:val="71DA0B5A"/>
    <w:rsid w:val="71EC32CB"/>
    <w:rsid w:val="71FB4625"/>
    <w:rsid w:val="72083B4D"/>
    <w:rsid w:val="724A3704"/>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9531BC"/>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2D233D"/>
    <w:rsid w:val="796230E1"/>
    <w:rsid w:val="797E0817"/>
    <w:rsid w:val="79F3642F"/>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26085"/>
    <w:rsid w:val="7CCD740C"/>
    <w:rsid w:val="7D7805FA"/>
    <w:rsid w:val="7D790DF2"/>
    <w:rsid w:val="7D7D0EC6"/>
    <w:rsid w:val="7D977508"/>
    <w:rsid w:val="7DA617D2"/>
    <w:rsid w:val="7DDD367E"/>
    <w:rsid w:val="7DEC6A9C"/>
    <w:rsid w:val="7E085630"/>
    <w:rsid w:val="7E1370A0"/>
    <w:rsid w:val="7E14077C"/>
    <w:rsid w:val="7E875C8F"/>
    <w:rsid w:val="7EC80CAB"/>
    <w:rsid w:val="7ECF2FC7"/>
    <w:rsid w:val="7F1635D9"/>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1878</Words>
  <Characters>1969</Characters>
  <Lines>11</Lines>
  <Paragraphs>3</Paragraphs>
  <TotalTime>5</TotalTime>
  <ScaleCrop>false</ScaleCrop>
  <LinksUpToDate>false</LinksUpToDate>
  <CharactersWithSpaces>1997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xxxxxxxxxxxx</cp:lastModifiedBy>
  <cp:lastPrinted>2026-03-25T00:01:00Z</cp:lastPrinted>
  <dcterms:modified xsi:type="dcterms:W3CDTF">2026-03-26T01:30:03Z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