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4C" w:rsidRDefault="004E4236">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岳阳县荣湾湖小学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40684C" w:rsidRDefault="004E4236">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40684C" w:rsidRDefault="0040684C">
      <w:pPr>
        <w:widowControl/>
        <w:ind w:firstLineChars="200" w:firstLine="880"/>
        <w:jc w:val="center"/>
        <w:rPr>
          <w:rFonts w:ascii="微软雅黑" w:eastAsia="微软雅黑" w:hAnsi="微软雅黑" w:cs="微软雅黑"/>
          <w:b/>
          <w:bCs/>
          <w:kern w:val="0"/>
          <w:sz w:val="44"/>
          <w:szCs w:val="44"/>
        </w:rPr>
      </w:pPr>
    </w:p>
    <w:p w:rsidR="0040684C" w:rsidRDefault="004E4236">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40684C" w:rsidRDefault="0040684C">
      <w:pPr>
        <w:widowControl/>
        <w:ind w:firstLineChars="200" w:firstLine="640"/>
        <w:rPr>
          <w:rFonts w:ascii="微软雅黑" w:eastAsia="微软雅黑" w:hAnsi="微软雅黑" w:cs="微软雅黑"/>
          <w:b/>
          <w:bCs/>
          <w:kern w:val="0"/>
          <w:sz w:val="32"/>
          <w:szCs w:val="32"/>
        </w:rPr>
      </w:pP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40684C" w:rsidRDefault="004E4236">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40684C" w:rsidRDefault="004E4236">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40684C" w:rsidRDefault="004E4236">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40684C" w:rsidRDefault="004E4236" w:rsidP="00682502">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40684C" w:rsidRDefault="0040684C">
      <w:pPr>
        <w:widowControl/>
        <w:spacing w:line="600" w:lineRule="exact"/>
        <w:ind w:firstLineChars="200" w:firstLine="640"/>
        <w:rPr>
          <w:rFonts w:ascii="微软雅黑" w:eastAsia="微软雅黑" w:hAnsi="微软雅黑" w:cs="微软雅黑"/>
          <w:kern w:val="0"/>
          <w:sz w:val="32"/>
          <w:szCs w:val="32"/>
        </w:rPr>
      </w:pP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682502" w:rsidRPr="00682502" w:rsidRDefault="00682502" w:rsidP="00682502">
      <w:pPr>
        <w:widowControl/>
        <w:shd w:val="clear" w:color="auto" w:fill="FFFFFF"/>
        <w:spacing w:line="600" w:lineRule="atLeast"/>
        <w:ind w:firstLine="640"/>
        <w:rPr>
          <w:rFonts w:ascii="微软雅黑" w:eastAsia="微软雅黑" w:hAnsi="微软雅黑" w:cs="宋体"/>
          <w:color w:val="000000"/>
          <w:kern w:val="0"/>
        </w:rPr>
      </w:pPr>
      <w:r w:rsidRPr="00682502">
        <w:rPr>
          <w:rFonts w:ascii="微软雅黑" w:eastAsia="微软雅黑" w:hAnsi="微软雅黑" w:cs="宋体" w:hint="eastAsia"/>
          <w:color w:val="000000"/>
          <w:kern w:val="0"/>
          <w:sz w:val="32"/>
          <w:szCs w:val="32"/>
          <w:bdr w:val="none" w:sz="0" w:space="0" w:color="auto" w:frame="1"/>
        </w:rPr>
        <w:t>1、宣传贯彻执行党和国家的教育方针、政策、法律法规等，坚持依法治教、依法治学，贯彻执行县教体局的行政规章制度。</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2、配合各级人民政府制定符合党的教育方针和国家教育法律法规以及本校实际的教育发展规划和学校布局调整规划，并抓好组织实施和落实工作。</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3、配合各级人民政府依法动员、组织适龄青少年入学，严格控制辍学，依法保证青少年接受九年义务教育。</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4、负责按照教育主管部门发布的指导性教学计划、教学大纲组织实施教育教学活动。</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5、负责依据国家主管部门教学计划、课程设置等方面的规定，决定和实施本校的教学计划，组织教学评比，集体备课。对学生进行统一考核、考试等。</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6、负责指导、管理、检查、评价本校的教育教学工作，提高办学质量和办学效益。认真实施中小学的教育教学管理，全面推进素质教育，全面提高教育教学质量。</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7、负责学籍管理。</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8、按照教师的职数、编制和管理权限，负责本校教师人事管理、继续教育、考核考评等工作。</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9、负责科学管理，合理使用学校的设施和经费，并积极筹措资金改善办学条件。</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10、负责维护学校师生的合法权益，有权拒绝任何组织和个人对教育教学活动进行非法干涉。</w:t>
      </w:r>
    </w:p>
    <w:p w:rsidR="00682502" w:rsidRPr="00682502" w:rsidRDefault="00682502" w:rsidP="00682502">
      <w:pPr>
        <w:widowControl/>
        <w:shd w:val="clear" w:color="auto" w:fill="FFFFFF"/>
        <w:spacing w:line="600" w:lineRule="atLeast"/>
        <w:ind w:firstLine="640"/>
        <w:rPr>
          <w:rFonts w:ascii="微软雅黑" w:eastAsia="微软雅黑" w:hAnsi="微软雅黑" w:cs="宋体" w:hint="eastAsia"/>
          <w:color w:val="000000"/>
          <w:kern w:val="0"/>
        </w:rPr>
      </w:pPr>
      <w:r w:rsidRPr="00682502">
        <w:rPr>
          <w:rFonts w:ascii="微软雅黑" w:eastAsia="微软雅黑" w:hAnsi="微软雅黑" w:cs="宋体" w:hint="eastAsia"/>
          <w:color w:val="000000"/>
          <w:kern w:val="0"/>
          <w:sz w:val="32"/>
          <w:szCs w:val="32"/>
          <w:bdr w:val="none" w:sz="0" w:space="0" w:color="auto" w:frame="1"/>
        </w:rPr>
        <w:t>11、依法接受各级教育行政部门的检查指导和人民群众的监督。</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682502" w:rsidRDefault="00682502">
      <w:pPr>
        <w:widowControl/>
        <w:spacing w:line="600" w:lineRule="exact"/>
        <w:ind w:firstLineChars="200" w:firstLine="640"/>
        <w:rPr>
          <w:rFonts w:ascii="微软雅黑" w:eastAsia="微软雅黑" w:hAnsi="微软雅黑" w:hint="eastAsia"/>
          <w:color w:val="000000"/>
          <w:sz w:val="32"/>
          <w:szCs w:val="32"/>
          <w:bdr w:val="none" w:sz="0" w:space="0" w:color="auto" w:frame="1"/>
          <w:shd w:val="clear" w:color="auto" w:fill="FFFFFF"/>
        </w:rPr>
      </w:pPr>
      <w:r>
        <w:rPr>
          <w:rFonts w:ascii="微软雅黑" w:eastAsia="微软雅黑" w:hAnsi="微软雅黑" w:hint="eastAsia"/>
          <w:color w:val="000000"/>
          <w:sz w:val="32"/>
          <w:szCs w:val="32"/>
          <w:bdr w:val="none" w:sz="0" w:space="0" w:color="auto" w:frame="1"/>
          <w:shd w:val="clear" w:color="auto" w:fill="FFFFFF"/>
        </w:rPr>
        <w:t>岳阳县荣湾湖小学是一所县直小学，在校学生2865人，在编教师146人,56个教学班。内设9个处室，有行政办公室、教导处、德育处、教科室、安全办、党建办、团委、工会、后勤处。</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1,635.43</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1,635.43</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本单位</w:t>
      </w:r>
      <w:r w:rsidRPr="00C154D1">
        <w:rPr>
          <w:rFonts w:ascii="微软雅黑" w:eastAsia="微软雅黑" w:hAnsi="微软雅黑" w:cs="微软雅黑"/>
          <w:sz w:val="32"/>
        </w:rPr>
        <w:t>2026</w:t>
      </w:r>
      <w:r w:rsidRPr="00C154D1">
        <w:rPr>
          <w:rFonts w:ascii="微软雅黑" w:eastAsia="微软雅黑" w:hAnsi="微软雅黑" w:cs="微软雅黑"/>
          <w:sz w:val="32"/>
        </w:rPr>
        <w:t>年</w:t>
      </w:r>
      <w:r w:rsidRPr="00C154D1">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国有资本经营预算收入和纳入专户管理的非税收入拨款安排的支出，所以公开的附件</w:t>
      </w:r>
      <w:r w:rsidRPr="00C154D1">
        <w:rPr>
          <w:rFonts w:ascii="微软雅黑" w:eastAsia="微软雅黑" w:hAnsi="微软雅黑" w:cs="微软雅黑" w:hint="eastAsia"/>
          <w:kern w:val="0"/>
          <w:sz w:val="32"/>
          <w:szCs w:val="32"/>
        </w:rPr>
        <w:t>16-18</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政府性基金预算</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19</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国有资本经营预算</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20</w:t>
      </w:r>
      <w:r w:rsidRPr="00C154D1">
        <w:rPr>
          <w:rFonts w:ascii="微软雅黑" w:eastAsia="微软雅黑" w:hAnsi="微软雅黑" w:cs="微软雅黑" w:hint="eastAsia"/>
          <w:kern w:val="0"/>
          <w:sz w:val="32"/>
          <w:szCs w:val="32"/>
        </w:rPr>
        <w:t>表</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财政</w:t>
      </w:r>
      <w:r w:rsidRPr="00C154D1">
        <w:rPr>
          <w:rFonts w:ascii="微软雅黑" w:eastAsia="微软雅黑" w:hAnsi="微软雅黑" w:cs="微软雅黑" w:hint="eastAsia"/>
          <w:kern w:val="0"/>
          <w:sz w:val="32"/>
          <w:szCs w:val="32"/>
        </w:rPr>
        <w:t>专户管理</w:t>
      </w:r>
      <w:r w:rsidRPr="00C154D1">
        <w:rPr>
          <w:rFonts w:ascii="微软雅黑" w:eastAsia="微软雅黑" w:hAnsi="微软雅黑" w:cs="微软雅黑" w:hint="eastAsia"/>
          <w:kern w:val="0"/>
          <w:sz w:val="32"/>
          <w:szCs w:val="32"/>
        </w:rPr>
        <w:t>资金</w:t>
      </w:r>
      <w:r w:rsidRPr="00C154D1">
        <w:rPr>
          <w:rFonts w:ascii="微软雅黑" w:eastAsia="微软雅黑" w:hAnsi="微软雅黑" w:cs="微软雅黑" w:hint="eastAsia"/>
          <w:kern w:val="0"/>
          <w:sz w:val="32"/>
          <w:szCs w:val="32"/>
        </w:rPr>
        <w:t>预算</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均为空。</w:t>
      </w:r>
      <w:r w:rsidRPr="00C154D1">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395.30</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682502">
        <w:rPr>
          <w:rFonts w:ascii="微软雅黑" w:eastAsia="微软雅黑" w:hAnsi="微软雅黑" w:cs="微软雅黑" w:hint="eastAsia"/>
          <w:kern w:val="0"/>
          <w:sz w:val="32"/>
          <w:szCs w:val="32"/>
        </w:rPr>
        <w:t>学生、教师人数较去年有所增加。</w:t>
      </w:r>
    </w:p>
    <w:p w:rsidR="0040684C" w:rsidRDefault="004E4236">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40684C" w:rsidRDefault="004E4236">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1,635.43</w:t>
      </w:r>
      <w:r>
        <w:rPr>
          <w:rFonts w:ascii="微软雅黑" w:eastAsia="微软雅黑" w:hAnsi="微软雅黑" w:cs="微软雅黑" w:hint="eastAsia"/>
          <w:sz w:val="32"/>
          <w:szCs w:val="32"/>
        </w:rPr>
        <w:t>万元，其中，</w:t>
      </w:r>
      <w:r>
        <w:rPr>
          <w:rFonts w:ascii="微软雅黑" w:eastAsia="微软雅黑" w:hAnsi="微软雅黑" w:cs="微软雅黑"/>
          <w:sz w:val="32"/>
        </w:rPr>
        <w:t>教育</w:t>
      </w:r>
      <w:r>
        <w:rPr>
          <w:rFonts w:ascii="微软雅黑" w:eastAsia="微软雅黑" w:hAnsi="微软雅黑" w:cs="微软雅黑"/>
          <w:sz w:val="32"/>
        </w:rPr>
        <w:t>1,240.31</w:t>
      </w:r>
      <w:r>
        <w:rPr>
          <w:rFonts w:ascii="微软雅黑" w:eastAsia="微软雅黑" w:hAnsi="微软雅黑" w:cs="微软雅黑"/>
          <w:sz w:val="32"/>
        </w:rPr>
        <w:t>万元，</w:t>
      </w:r>
      <w:r w:rsidR="00682502" w:rsidRPr="00682502">
        <w:rPr>
          <w:rFonts w:ascii="微软雅黑" w:eastAsia="微软雅黑" w:hAnsi="微软雅黑" w:cs="微软雅黑" w:hint="eastAsia"/>
          <w:sz w:val="32"/>
        </w:rPr>
        <w:t>社会保障和就业支出</w:t>
      </w:r>
      <w:r w:rsidR="00682502">
        <w:rPr>
          <w:rFonts w:ascii="微软雅黑" w:eastAsia="微软雅黑" w:hAnsi="微软雅黑" w:cs="微软雅黑" w:hint="eastAsia"/>
          <w:sz w:val="32"/>
        </w:rPr>
        <w:t>174.47万元，</w:t>
      </w:r>
      <w:r w:rsidR="00682502" w:rsidRPr="00682502">
        <w:rPr>
          <w:rFonts w:ascii="微软雅黑" w:eastAsia="微软雅黑" w:hAnsi="微软雅黑" w:cs="微软雅黑" w:hint="eastAsia"/>
          <w:sz w:val="32"/>
        </w:rPr>
        <w:t>卫生健康支出</w:t>
      </w:r>
      <w:r w:rsidR="00682502">
        <w:rPr>
          <w:rFonts w:ascii="微软雅黑" w:eastAsia="微软雅黑" w:hAnsi="微软雅黑" w:cs="微软雅黑" w:hint="eastAsia"/>
          <w:sz w:val="32"/>
        </w:rPr>
        <w:t>97.5万元，</w:t>
      </w:r>
      <w:r w:rsidR="00682502" w:rsidRPr="00682502">
        <w:rPr>
          <w:rFonts w:ascii="微软雅黑" w:eastAsia="微软雅黑" w:hAnsi="微软雅黑" w:cs="微软雅黑" w:hint="eastAsia"/>
          <w:sz w:val="32"/>
        </w:rPr>
        <w:t>住房保障支出</w:t>
      </w:r>
      <w:r w:rsidR="00682502">
        <w:rPr>
          <w:rFonts w:ascii="微软雅黑" w:eastAsia="微软雅黑" w:hAnsi="微软雅黑" w:cs="微软雅黑" w:hint="eastAsia"/>
          <w:sz w:val="32"/>
        </w:rPr>
        <w:t>123.16万元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395.30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395.30</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sidRPr="00C154D1">
        <w:rPr>
          <w:rFonts w:ascii="微软雅黑" w:eastAsia="微软雅黑" w:hAnsi="微软雅黑" w:cs="微软雅黑" w:hint="eastAsia"/>
          <w:kern w:val="0"/>
          <w:sz w:val="32"/>
          <w:szCs w:val="32"/>
        </w:rPr>
        <w:t>增加</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682502">
        <w:rPr>
          <w:rFonts w:ascii="微软雅黑" w:eastAsia="微软雅黑" w:hAnsi="微软雅黑" w:cs="微软雅黑" w:hint="eastAsia"/>
          <w:kern w:val="0"/>
          <w:sz w:val="32"/>
          <w:szCs w:val="32"/>
        </w:rPr>
        <w:t>学生、教师人数较去年有所增加</w:t>
      </w:r>
      <w:r>
        <w:rPr>
          <w:rFonts w:ascii="微软雅黑" w:eastAsia="微软雅黑" w:hAnsi="微软雅黑" w:cs="微软雅黑" w:hint="eastAsia"/>
          <w:sz w:val="32"/>
          <w:szCs w:val="32"/>
        </w:rPr>
        <w:t>，项目支出</w:t>
      </w:r>
      <w:r w:rsidR="00682502">
        <w:rPr>
          <w:rFonts w:ascii="微软雅黑" w:eastAsia="微软雅黑" w:hAnsi="微软雅黑" w:cs="微软雅黑" w:hint="eastAsia"/>
          <w:sz w:val="32"/>
          <w:szCs w:val="32"/>
        </w:rPr>
        <w:t>无</w:t>
      </w:r>
      <w:r w:rsidR="00682502" w:rsidRPr="00C154D1">
        <w:rPr>
          <w:rFonts w:ascii="微软雅黑" w:eastAsia="微软雅黑" w:hAnsi="微软雅黑" w:cs="微软雅黑" w:hint="eastAsia"/>
          <w:kern w:val="0"/>
          <w:sz w:val="32"/>
          <w:szCs w:val="32"/>
        </w:rPr>
        <w:t>增</w:t>
      </w:r>
      <w:r w:rsidRPr="00C154D1">
        <w:rPr>
          <w:rFonts w:ascii="微软雅黑" w:eastAsia="微软雅黑" w:hAnsi="微软雅黑" w:cs="微软雅黑" w:hint="eastAsia"/>
          <w:kern w:val="0"/>
          <w:sz w:val="32"/>
          <w:szCs w:val="32"/>
        </w:rPr>
        <w:t>减</w:t>
      </w:r>
      <w:r w:rsidR="00682502" w:rsidRPr="00C154D1">
        <w:rPr>
          <w:rFonts w:ascii="微软雅黑" w:eastAsia="微软雅黑" w:hAnsi="微软雅黑" w:cs="微软雅黑" w:hint="eastAsia"/>
          <w:kern w:val="0"/>
          <w:sz w:val="32"/>
          <w:szCs w:val="32"/>
        </w:rPr>
        <w:t>。</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1,635.43</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682502">
        <w:rPr>
          <w:rFonts w:ascii="微软雅黑" w:eastAsia="微软雅黑" w:hAnsi="微软雅黑" w:cs="微软雅黑"/>
          <w:sz w:val="32"/>
        </w:rPr>
        <w:t>教育1,240.31万元，</w:t>
      </w:r>
      <w:r w:rsidR="00682502">
        <w:rPr>
          <w:rFonts w:ascii="微软雅黑" w:eastAsia="微软雅黑" w:hAnsi="微软雅黑" w:cs="微软雅黑" w:hint="eastAsia"/>
          <w:sz w:val="32"/>
        </w:rPr>
        <w:t>占75.84%；</w:t>
      </w:r>
      <w:r w:rsidR="00682502" w:rsidRPr="00682502">
        <w:rPr>
          <w:rFonts w:ascii="微软雅黑" w:eastAsia="微软雅黑" w:hAnsi="微软雅黑" w:cs="微软雅黑" w:hint="eastAsia"/>
          <w:sz w:val="32"/>
        </w:rPr>
        <w:t>社会保障和就业支出</w:t>
      </w:r>
      <w:r w:rsidR="00682502">
        <w:rPr>
          <w:rFonts w:ascii="微软雅黑" w:eastAsia="微软雅黑" w:hAnsi="微软雅黑" w:cs="微软雅黑" w:hint="eastAsia"/>
          <w:sz w:val="32"/>
        </w:rPr>
        <w:t>174.47万元，占10.67%；</w:t>
      </w:r>
      <w:r w:rsidR="00682502" w:rsidRPr="00682502">
        <w:rPr>
          <w:rFonts w:ascii="微软雅黑" w:eastAsia="微软雅黑" w:hAnsi="微软雅黑" w:cs="微软雅黑" w:hint="eastAsia"/>
          <w:sz w:val="32"/>
        </w:rPr>
        <w:t>卫生健康支出</w:t>
      </w:r>
      <w:r w:rsidR="00682502">
        <w:rPr>
          <w:rFonts w:ascii="微软雅黑" w:eastAsia="微软雅黑" w:hAnsi="微软雅黑" w:cs="微软雅黑" w:hint="eastAsia"/>
          <w:sz w:val="32"/>
        </w:rPr>
        <w:t>97.5万元，占5.96%；</w:t>
      </w:r>
      <w:r w:rsidR="00682502" w:rsidRPr="00682502">
        <w:rPr>
          <w:rFonts w:ascii="微软雅黑" w:eastAsia="微软雅黑" w:hAnsi="微软雅黑" w:cs="微软雅黑" w:hint="eastAsia"/>
          <w:sz w:val="32"/>
        </w:rPr>
        <w:t>住房保障支出</w:t>
      </w:r>
      <w:r w:rsidR="00682502">
        <w:rPr>
          <w:rFonts w:ascii="微软雅黑" w:eastAsia="微软雅黑" w:hAnsi="微软雅黑" w:cs="微软雅黑" w:hint="eastAsia"/>
          <w:sz w:val="32"/>
        </w:rPr>
        <w:t>123.16万元，占7.53%</w:t>
      </w:r>
      <w:r w:rsidR="00682502">
        <w:rPr>
          <w:rFonts w:ascii="微软雅黑" w:eastAsia="微软雅黑" w:hAnsi="微软雅黑" w:cs="微软雅黑" w:hint="eastAsia"/>
          <w:sz w:val="32"/>
          <w:szCs w:val="32"/>
        </w:rPr>
        <w:t>。</w:t>
      </w:r>
      <w:r>
        <w:rPr>
          <w:rFonts w:ascii="微软雅黑" w:eastAsia="微软雅黑" w:hAnsi="微软雅黑" w:cs="微软雅黑" w:hint="eastAsia"/>
          <w:kern w:val="0"/>
          <w:sz w:val="32"/>
          <w:szCs w:val="32"/>
        </w:rPr>
        <w:t>具体安排情况如下：</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2026</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1,635.43</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40684C" w:rsidRPr="00C154D1" w:rsidRDefault="004E4236">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w:t>
      </w:r>
      <w:r w:rsidRPr="00C154D1">
        <w:rPr>
          <w:rFonts w:ascii="微软雅黑" w:eastAsia="微软雅黑" w:hAnsi="微软雅黑" w:cs="微软雅黑" w:hint="eastAsia"/>
          <w:kern w:val="0"/>
          <w:sz w:val="32"/>
          <w:szCs w:val="32"/>
        </w:rPr>
        <w:t>2026</w:t>
      </w:r>
      <w:r w:rsidRPr="00C154D1">
        <w:rPr>
          <w:rFonts w:ascii="微软雅黑" w:eastAsia="微软雅黑" w:hAnsi="微软雅黑" w:cs="微软雅黑"/>
          <w:sz w:val="32"/>
        </w:rPr>
        <w:t>年度</w:t>
      </w:r>
      <w:r w:rsidRPr="00C154D1">
        <w:rPr>
          <w:rFonts w:ascii="微软雅黑" w:eastAsia="微软雅黑" w:hAnsi="微软雅黑" w:cs="微软雅黑" w:hint="eastAsia"/>
          <w:kern w:val="0"/>
          <w:sz w:val="32"/>
          <w:szCs w:val="32"/>
        </w:rPr>
        <w:t>本单位</w:t>
      </w:r>
      <w:r w:rsidRPr="00C154D1">
        <w:rPr>
          <w:rFonts w:ascii="微软雅黑" w:eastAsia="微软雅黑" w:hAnsi="微软雅黑" w:cs="微软雅黑" w:hint="eastAsia"/>
          <w:kern w:val="0"/>
          <w:sz w:val="32"/>
          <w:szCs w:val="32"/>
        </w:rPr>
        <w:t>无</w:t>
      </w:r>
      <w:r w:rsidRPr="00C154D1">
        <w:rPr>
          <w:rFonts w:ascii="微软雅黑" w:eastAsia="微软雅黑" w:hAnsi="微软雅黑" w:cs="微软雅黑" w:hint="eastAsia"/>
          <w:kern w:val="0"/>
          <w:sz w:val="32"/>
          <w:szCs w:val="32"/>
        </w:rPr>
        <w:t>项目预算</w:t>
      </w:r>
      <w:r w:rsidRPr="00C154D1">
        <w:rPr>
          <w:rFonts w:ascii="微软雅黑" w:eastAsia="微软雅黑" w:hAnsi="微软雅黑" w:cs="微软雅黑" w:hint="eastAsia"/>
          <w:kern w:val="0"/>
          <w:sz w:val="32"/>
          <w:szCs w:val="32"/>
        </w:rPr>
        <w:t>。</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40684C" w:rsidRPr="00C154D1"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2026</w:t>
      </w:r>
      <w:r w:rsidRPr="00C154D1">
        <w:rPr>
          <w:rFonts w:ascii="微软雅黑" w:eastAsia="微软雅黑" w:hAnsi="微软雅黑" w:cs="微软雅黑"/>
          <w:sz w:val="32"/>
        </w:rPr>
        <w:t>年度</w:t>
      </w:r>
      <w:r w:rsidRPr="00C154D1">
        <w:rPr>
          <w:rFonts w:ascii="微软雅黑" w:eastAsia="微软雅黑" w:hAnsi="微软雅黑" w:cs="微软雅黑" w:hint="eastAsia"/>
          <w:kern w:val="0"/>
          <w:sz w:val="32"/>
          <w:szCs w:val="32"/>
        </w:rPr>
        <w:t>本单位</w:t>
      </w:r>
      <w:r w:rsidRPr="00C154D1">
        <w:rPr>
          <w:rFonts w:ascii="微软雅黑" w:eastAsia="微软雅黑" w:hAnsi="微软雅黑" w:cs="微软雅黑" w:hint="eastAsia"/>
          <w:kern w:val="0"/>
          <w:sz w:val="32"/>
          <w:szCs w:val="32"/>
        </w:rPr>
        <w:t>无政府性基金安排的支出</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所以公开的附件</w:t>
      </w:r>
      <w:r w:rsidRPr="00C154D1">
        <w:rPr>
          <w:rFonts w:ascii="微软雅黑" w:eastAsia="微软雅黑" w:hAnsi="微软雅黑" w:cs="微软雅黑" w:hint="eastAsia"/>
          <w:kern w:val="0"/>
          <w:sz w:val="32"/>
          <w:szCs w:val="32"/>
        </w:rPr>
        <w:t>16-18</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政府性基金预算</w:t>
      </w:r>
      <w:r w:rsidRP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为空。</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40684C" w:rsidRDefault="004E4236">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sidRPr="00C154D1">
        <w:rPr>
          <w:rFonts w:ascii="微软雅黑" w:eastAsia="微软雅黑" w:hAnsi="微软雅黑" w:cs="微软雅黑" w:hint="eastAsia"/>
          <w:kern w:val="0"/>
          <w:sz w:val="32"/>
          <w:szCs w:val="32"/>
        </w:rPr>
        <w:t>增长</w:t>
      </w:r>
      <w:r w:rsidRPr="00C154D1">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40684C" w:rsidRDefault="004E4236">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sidRPr="00C154D1">
        <w:rPr>
          <w:rFonts w:ascii="微软雅黑" w:eastAsia="微软雅黑" w:hAnsi="微软雅黑" w:cs="微软雅黑" w:hint="eastAsia"/>
          <w:kern w:val="0"/>
          <w:sz w:val="32"/>
          <w:szCs w:val="32"/>
        </w:rPr>
        <w:t>增长</w:t>
      </w:r>
      <w:r w:rsidRPr="00C154D1">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682502">
        <w:rPr>
          <w:rFonts w:ascii="微软雅黑" w:eastAsia="微软雅黑" w:hAnsi="微软雅黑" w:cs="微软雅黑" w:hint="eastAsia"/>
          <w:kern w:val="0"/>
          <w:sz w:val="32"/>
          <w:szCs w:val="32"/>
        </w:rPr>
        <w:t>。</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40684C" w:rsidRPr="00C154D1" w:rsidRDefault="004E4236">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C154D1">
        <w:rPr>
          <w:rFonts w:ascii="微软雅黑" w:eastAsia="微软雅黑" w:hAnsi="微软雅黑" w:cs="微软雅黑" w:hint="eastAsia"/>
          <w:kern w:val="0"/>
          <w:sz w:val="32"/>
          <w:szCs w:val="32"/>
        </w:rPr>
        <w:t>。</w:t>
      </w:r>
      <w:r w:rsidRPr="00C154D1">
        <w:rPr>
          <w:rFonts w:ascii="微软雅黑" w:eastAsia="微软雅黑" w:hAnsi="微软雅黑" w:cs="微软雅黑" w:hint="eastAsia"/>
          <w:kern w:val="0"/>
          <w:sz w:val="32"/>
          <w:szCs w:val="32"/>
        </w:rPr>
        <w:t>2026</w:t>
      </w:r>
      <w:r w:rsidRPr="00C154D1">
        <w:rPr>
          <w:rFonts w:ascii="微软雅黑" w:eastAsia="微软雅黑" w:hAnsi="微软雅黑" w:cs="微软雅黑"/>
          <w:sz w:val="32"/>
        </w:rPr>
        <w:t>年度本单位</w:t>
      </w:r>
      <w:r w:rsidRPr="00C154D1">
        <w:rPr>
          <w:rFonts w:ascii="微软雅黑" w:eastAsia="微软雅黑" w:hAnsi="微软雅黑" w:cs="微软雅黑" w:hint="eastAsia"/>
          <w:kern w:val="0"/>
          <w:sz w:val="32"/>
          <w:szCs w:val="32"/>
        </w:rPr>
        <w:t>未计划</w:t>
      </w:r>
      <w:r w:rsidRPr="00C154D1">
        <w:rPr>
          <w:rFonts w:ascii="微软雅黑" w:eastAsia="微软雅黑" w:hAnsi="微软雅黑" w:cs="微软雅黑" w:hint="eastAsia"/>
          <w:kern w:val="0"/>
          <w:sz w:val="32"/>
          <w:szCs w:val="32"/>
        </w:rPr>
        <w:t>安排会议、培训，未计划</w:t>
      </w:r>
      <w:r w:rsidRPr="00C154D1">
        <w:rPr>
          <w:rFonts w:ascii="微软雅黑" w:eastAsia="微软雅黑" w:hAnsi="微软雅黑" w:cs="微软雅黑" w:hint="eastAsia"/>
          <w:kern w:val="0"/>
          <w:sz w:val="32"/>
          <w:szCs w:val="32"/>
        </w:rPr>
        <w:t>举办</w:t>
      </w:r>
      <w:r w:rsidRPr="00C154D1">
        <w:rPr>
          <w:rFonts w:ascii="微软雅黑" w:eastAsia="微软雅黑" w:hAnsi="微软雅黑" w:cs="微软雅黑" w:hint="eastAsia"/>
          <w:kern w:val="0"/>
          <w:sz w:val="32"/>
          <w:szCs w:val="32"/>
        </w:rPr>
        <w:t>节庆、晚会、论坛、赛事活动</w:t>
      </w:r>
      <w:r w:rsidRPr="00C154D1">
        <w:rPr>
          <w:rFonts w:ascii="微软雅黑" w:eastAsia="微软雅黑" w:hAnsi="微软雅黑" w:cs="微软雅黑" w:hint="eastAsia"/>
          <w:kern w:val="0"/>
          <w:sz w:val="32"/>
          <w:szCs w:val="32"/>
        </w:rPr>
        <w:t>。</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40684C" w:rsidRPr="00C154D1"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C154D1">
        <w:rPr>
          <w:rFonts w:ascii="微软雅黑" w:eastAsia="微软雅黑" w:hAnsi="微软雅黑" w:cs="微软雅黑"/>
          <w:sz w:val="32"/>
        </w:rPr>
        <w:t>2026</w:t>
      </w:r>
      <w:r w:rsidRPr="00C154D1">
        <w:rPr>
          <w:rFonts w:ascii="微软雅黑" w:eastAsia="微软雅黑" w:hAnsi="微软雅黑" w:cs="微软雅黑"/>
          <w:sz w:val="32"/>
        </w:rPr>
        <w:t>年度本单位未安排政府采购预算。</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682502">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40684C" w:rsidRPr="00C154D1" w:rsidRDefault="004E4236">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68250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sidRPr="00C154D1">
        <w:rPr>
          <w:rFonts w:ascii="微软雅黑" w:eastAsia="微软雅黑" w:hAnsi="微软雅黑" w:cs="微软雅黑"/>
          <w:sz w:val="32"/>
        </w:rPr>
        <w:t>2026</w:t>
      </w:r>
      <w:r w:rsidRPr="00C154D1">
        <w:rPr>
          <w:rFonts w:ascii="微软雅黑" w:eastAsia="微软雅黑" w:hAnsi="微软雅黑" w:cs="微软雅黑"/>
          <w:sz w:val="32"/>
        </w:rPr>
        <w:t>年度本单位未计划处置或新增车辆、设备等。</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1,635.43</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1,635.43</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40684C" w:rsidRDefault="004E423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40684C" w:rsidRDefault="004E4236">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40684C" w:rsidRDefault="004E4236">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40684C" w:rsidRDefault="004E4236">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岳阳县荣湾湖小学</w:t>
      </w:r>
      <w:r>
        <w:rPr>
          <w:rFonts w:ascii="微软雅黑" w:eastAsia="微软雅黑" w:hAnsi="微软雅黑" w:cs="微软雅黑"/>
          <w:b/>
          <w:sz w:val="32"/>
        </w:rPr>
        <w:t>单位预算公开表格</w:t>
      </w:r>
    </w:p>
    <w:sectPr w:rsidR="0040684C" w:rsidSect="0040684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36" w:rsidRDefault="004E4236" w:rsidP="0040684C">
      <w:r>
        <w:separator/>
      </w:r>
    </w:p>
  </w:endnote>
  <w:endnote w:type="continuationSeparator" w:id="0">
    <w:p w:rsidR="004E4236" w:rsidRDefault="004E4236" w:rsidP="00406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22A7D414-5E1A-4378-B8FE-87571E69056A}"/>
    <w:embedBold r:id="rId2" w:subsetted="1" w:fontKey="{CEABB606-4D27-4107-82DB-92D2F730C2F2}"/>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36" w:rsidRDefault="004E4236" w:rsidP="0040684C">
      <w:r>
        <w:separator/>
      </w:r>
    </w:p>
  </w:footnote>
  <w:footnote w:type="continuationSeparator" w:id="0">
    <w:p w:rsidR="004E4236" w:rsidRDefault="004E4236" w:rsidP="00406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4C" w:rsidRDefault="0040684C">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0684C"/>
    <w:rsid w:val="00452611"/>
    <w:rsid w:val="00464A20"/>
    <w:rsid w:val="00466617"/>
    <w:rsid w:val="004711E9"/>
    <w:rsid w:val="00490880"/>
    <w:rsid w:val="0049696B"/>
    <w:rsid w:val="004A0D4C"/>
    <w:rsid w:val="004A798F"/>
    <w:rsid w:val="004B4F1A"/>
    <w:rsid w:val="004B766D"/>
    <w:rsid w:val="004D0879"/>
    <w:rsid w:val="004E302C"/>
    <w:rsid w:val="004E4236"/>
    <w:rsid w:val="0054440F"/>
    <w:rsid w:val="005E6320"/>
    <w:rsid w:val="006137D9"/>
    <w:rsid w:val="00617392"/>
    <w:rsid w:val="00637664"/>
    <w:rsid w:val="00682502"/>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154D1"/>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0684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40684C"/>
    <w:pPr>
      <w:spacing w:before="120" w:after="200" w:line="276" w:lineRule="auto"/>
    </w:pPr>
    <w:rPr>
      <w:rFonts w:ascii="Arial" w:hAnsi="Arial"/>
      <w:sz w:val="24"/>
    </w:rPr>
  </w:style>
  <w:style w:type="paragraph" w:styleId="a4">
    <w:name w:val="Body Text"/>
    <w:basedOn w:val="a"/>
    <w:link w:val="Char"/>
    <w:qFormat/>
    <w:rsid w:val="0040684C"/>
    <w:pPr>
      <w:spacing w:after="120"/>
    </w:pPr>
  </w:style>
  <w:style w:type="paragraph" w:styleId="a5">
    <w:name w:val="Date"/>
    <w:basedOn w:val="a"/>
    <w:next w:val="a"/>
    <w:link w:val="Char0"/>
    <w:qFormat/>
    <w:rsid w:val="0040684C"/>
    <w:pPr>
      <w:ind w:leftChars="2500" w:left="100"/>
    </w:pPr>
  </w:style>
  <w:style w:type="paragraph" w:styleId="a6">
    <w:name w:val="Balloon Text"/>
    <w:basedOn w:val="a"/>
    <w:link w:val="Char1"/>
    <w:semiHidden/>
    <w:qFormat/>
    <w:rsid w:val="0040684C"/>
    <w:rPr>
      <w:sz w:val="18"/>
      <w:szCs w:val="18"/>
    </w:rPr>
  </w:style>
  <w:style w:type="paragraph" w:styleId="a7">
    <w:name w:val="footer"/>
    <w:basedOn w:val="a"/>
    <w:link w:val="Char2"/>
    <w:qFormat/>
    <w:rsid w:val="0040684C"/>
    <w:pPr>
      <w:tabs>
        <w:tab w:val="center" w:pos="4153"/>
        <w:tab w:val="right" w:pos="8306"/>
      </w:tabs>
      <w:snapToGrid w:val="0"/>
      <w:jc w:val="left"/>
    </w:pPr>
    <w:rPr>
      <w:sz w:val="18"/>
      <w:szCs w:val="18"/>
    </w:rPr>
  </w:style>
  <w:style w:type="paragraph" w:styleId="a8">
    <w:name w:val="header"/>
    <w:basedOn w:val="a"/>
    <w:link w:val="Char3"/>
    <w:qFormat/>
    <w:rsid w:val="0040684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40684C"/>
    <w:pPr>
      <w:spacing w:before="100" w:beforeAutospacing="1" w:after="100" w:afterAutospacing="1"/>
      <w:jc w:val="left"/>
    </w:pPr>
    <w:rPr>
      <w:kern w:val="0"/>
      <w:sz w:val="24"/>
    </w:rPr>
  </w:style>
  <w:style w:type="character" w:customStyle="1" w:styleId="Char">
    <w:name w:val="正文文本 Char"/>
    <w:basedOn w:val="a1"/>
    <w:link w:val="a4"/>
    <w:qFormat/>
    <w:locked/>
    <w:rsid w:val="0040684C"/>
    <w:rPr>
      <w:rFonts w:eastAsia="宋体"/>
      <w:kern w:val="2"/>
      <w:sz w:val="21"/>
      <w:szCs w:val="21"/>
      <w:lang w:val="en-US" w:eastAsia="zh-CN" w:bidi="ar-SA"/>
    </w:rPr>
  </w:style>
  <w:style w:type="character" w:customStyle="1" w:styleId="Char0">
    <w:name w:val="日期 Char"/>
    <w:basedOn w:val="a1"/>
    <w:link w:val="a5"/>
    <w:qFormat/>
    <w:locked/>
    <w:rsid w:val="0040684C"/>
    <w:rPr>
      <w:rFonts w:eastAsia="宋体"/>
      <w:kern w:val="2"/>
      <w:sz w:val="21"/>
      <w:szCs w:val="21"/>
      <w:lang w:val="en-US" w:eastAsia="zh-CN" w:bidi="ar-SA"/>
    </w:rPr>
  </w:style>
  <w:style w:type="character" w:customStyle="1" w:styleId="Char1">
    <w:name w:val="批注框文本 Char"/>
    <w:basedOn w:val="a1"/>
    <w:link w:val="a6"/>
    <w:qFormat/>
    <w:locked/>
    <w:rsid w:val="0040684C"/>
    <w:rPr>
      <w:rFonts w:eastAsia="宋体"/>
      <w:kern w:val="2"/>
      <w:sz w:val="18"/>
      <w:szCs w:val="18"/>
      <w:lang w:val="en-US" w:eastAsia="zh-CN" w:bidi="ar-SA"/>
    </w:rPr>
  </w:style>
  <w:style w:type="character" w:customStyle="1" w:styleId="Char2">
    <w:name w:val="页脚 Char"/>
    <w:basedOn w:val="a1"/>
    <w:link w:val="a7"/>
    <w:qFormat/>
    <w:locked/>
    <w:rsid w:val="0040684C"/>
    <w:rPr>
      <w:rFonts w:eastAsia="宋体"/>
      <w:kern w:val="2"/>
      <w:sz w:val="18"/>
      <w:szCs w:val="18"/>
      <w:lang w:val="en-US" w:eastAsia="zh-CN" w:bidi="ar-SA"/>
    </w:rPr>
  </w:style>
  <w:style w:type="character" w:customStyle="1" w:styleId="Char3">
    <w:name w:val="页眉 Char"/>
    <w:basedOn w:val="a1"/>
    <w:link w:val="a8"/>
    <w:qFormat/>
    <w:locked/>
    <w:rsid w:val="0040684C"/>
    <w:rPr>
      <w:rFonts w:eastAsia="宋体"/>
      <w:kern w:val="2"/>
      <w:sz w:val="18"/>
      <w:szCs w:val="18"/>
      <w:lang w:val="en-US" w:eastAsia="zh-CN" w:bidi="ar-SA"/>
    </w:rPr>
  </w:style>
  <w:style w:type="paragraph" w:customStyle="1" w:styleId="aa">
    <w:name w:val="表格内容"/>
    <w:basedOn w:val="a4"/>
    <w:qFormat/>
    <w:rsid w:val="0040684C"/>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58155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482</Words>
  <Characters>2750</Characters>
  <Application>Microsoft Office Word</Application>
  <DocSecurity>0</DocSecurity>
  <Lines>22</Lines>
  <Paragraphs>6</Paragraphs>
  <ScaleCrop>false</ScaleCrop>
  <Company>Microsoft Corporation</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5</cp:revision>
  <cp:lastPrinted>2019-05-05T07:55:00Z</cp:lastPrinted>
  <dcterms:created xsi:type="dcterms:W3CDTF">2018-08-09T00:21:00Z</dcterms:created>
  <dcterms:modified xsi:type="dcterms:W3CDTF">2026-03-28T10:22:00Z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